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11-K</w:t>
      </w:r>
    </w:p>
    <w:p>
      <w:pPr>
        <w:spacing w:after="0" w:line="243" w:lineRule="exact"/>
        <w:rPr>
          <w:sz w:val="24"/>
          <w:szCs w:val="24"/>
          <w:color w:val="auto"/>
        </w:rPr>
      </w:pPr>
    </w:p>
    <w:p>
      <w:pPr>
        <w:ind w:left="2700" w:right="1659" w:hanging="1054"/>
        <w:spacing w:after="0" w:line="256" w:lineRule="auto"/>
        <w:tabs>
          <w:tab w:leader="none" w:pos="198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ANNUAL REPORT PURSUANT TO SECTION 15(d) OF THE SECURITIES EXCHANGE ACT OF 1934</w:t>
      </w:r>
    </w:p>
    <w:p>
      <w:pPr>
        <w:spacing w:after="0" w:line="1" w:lineRule="exact"/>
        <w:rPr>
          <w:rFonts w:ascii="Times New Roman" w:cs="Times New Roman" w:eastAsia="Times New Roman" w:hAnsi="Times New Roman"/>
          <w:sz w:val="20"/>
          <w:szCs w:val="20"/>
          <w:b w:val="1"/>
          <w:bCs w:val="1"/>
          <w:color w:val="auto"/>
        </w:rPr>
      </w:pPr>
    </w:p>
    <w:p>
      <w:pPr>
        <w:ind w:left="26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 the fiscal year ended December 31, 2025</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243" w:lineRule="exact"/>
        <w:rPr>
          <w:sz w:val="24"/>
          <w:szCs w:val="24"/>
          <w:color w:val="auto"/>
        </w:rPr>
      </w:pPr>
    </w:p>
    <w:p>
      <w:pPr>
        <w:jc w:val="center"/>
        <w:ind w:left="2700" w:right="1499" w:hanging="1211"/>
        <w:spacing w:after="0" w:line="273" w:lineRule="auto"/>
        <w:tabs>
          <w:tab w:leader="none" w:pos="1614"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TRANSITION REPORT PURSUANT TO SECTION 15(d) OF THE SECURITIES EXCHANGE ACT OF 1934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number 1-9861</w:t>
      </w:r>
    </w:p>
    <w:p>
      <w:pPr>
        <w:spacing w:after="0" w:line="228"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A. Full title of the plan and the address of the</w:t>
      </w:r>
    </w:p>
    <w:p>
      <w:pPr>
        <w:ind w:left="840"/>
        <w:spacing w:after="0" w:line="197" w:lineRule="auto"/>
        <w:rPr>
          <w:sz w:val="20"/>
          <w:szCs w:val="20"/>
          <w:color w:val="auto"/>
        </w:rPr>
      </w:pPr>
      <w:r>
        <w:rPr>
          <w:rFonts w:ascii="Times New Roman" w:cs="Times New Roman" w:eastAsia="Times New Roman" w:hAnsi="Times New Roman"/>
          <w:sz w:val="20"/>
          <w:szCs w:val="20"/>
          <w:b w:val="1"/>
          <w:bCs w:val="1"/>
          <w:color w:val="auto"/>
        </w:rPr>
        <w:t>plan, if different from that of the issuer named</w:t>
      </w:r>
    </w:p>
    <w:p>
      <w:pPr>
        <w:ind w:left="2780"/>
        <w:spacing w:after="0"/>
        <w:rPr>
          <w:sz w:val="20"/>
          <w:szCs w:val="20"/>
          <w:color w:val="auto"/>
        </w:rPr>
      </w:pPr>
      <w:r>
        <w:rPr>
          <w:rFonts w:ascii="Times New Roman" w:cs="Times New Roman" w:eastAsia="Times New Roman" w:hAnsi="Times New Roman"/>
          <w:sz w:val="20"/>
          <w:szCs w:val="20"/>
          <w:b w:val="1"/>
          <w:bCs w:val="1"/>
          <w:color w:val="auto"/>
        </w:rPr>
        <w:t>below:</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M&amp;T BANK CORPORATION</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217" w:lineRule="exact"/>
        <w:rPr>
          <w:sz w:val="24"/>
          <w:szCs w:val="24"/>
          <w:color w:val="auto"/>
        </w:rPr>
      </w:pPr>
    </w:p>
    <w:p>
      <w:pPr>
        <w:ind w:left="1480" w:right="2479" w:firstLine="982"/>
        <w:spacing w:after="0" w:line="217" w:lineRule="auto"/>
        <w:rPr>
          <w:sz w:val="20"/>
          <w:szCs w:val="20"/>
          <w:color w:val="auto"/>
        </w:rPr>
      </w:pPr>
      <w:r>
        <w:rPr>
          <w:rFonts w:ascii="Times New Roman" w:cs="Times New Roman" w:eastAsia="Times New Roman" w:hAnsi="Times New Roman"/>
          <w:sz w:val="20"/>
          <w:szCs w:val="20"/>
          <w:b w:val="1"/>
          <w:bCs w:val="1"/>
          <w:color w:val="auto"/>
        </w:rPr>
        <w:t>B. Name of issuer of the securities held pursuant to the plan and the address of its principal</w:t>
      </w:r>
    </w:p>
    <w:p>
      <w:pPr>
        <w:spacing w:after="0" w:line="2"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executive office: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M&amp;T BANK CORPORATION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One M&amp;T Plaza</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Buffalo, New York 14203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3039110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auto"/>
        </w:rPr>
        <w:t>Table of Contents of Information Required in Report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4. Financial Statements and Supplemental Schedule for the Plan.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M&amp;T Bank Corporation Retirement Savings Plan (“the Plan”) is subject to the Employee Retirement Income Security Act of 1974, as amended (“ERISA”). In lieu of the requirements of Items 1-3 of this Form, the Plan is filing the financial statements and supplemental schedule prepared in accordance with the financial reporting requirements of ERISA. The Plan financial statements for the years ended December 31, 2025 and 2024 and the supplemental schedule as of December 31, 2025 are included as Exhibit 99.1 to this report on Form 11-K and are incorporated herein by reference. The Plan financial statements and supplemental schedule have been examined by PricewaterhouseCoopers LLP, Independent Registered Public Accounting Firm, and their report is included therein.</w:t>
      </w:r>
    </w:p>
    <w:tbl>
      <w:tblPr>
        <w:tblLayout w:type="fixed"/>
        <w:tblInd w:w="80" w:type="dxa"/>
        <w:tblCellMar>
          <w:top w:w="0" w:type="dxa"/>
          <w:left w:w="0" w:type="dxa"/>
          <w:bottom w:w="0" w:type="dxa"/>
          <w:right w:w="0" w:type="dxa"/>
        </w:tblCellMar>
      </w:tblPr>
      <w:tr>
        <w:trPr>
          <w:trHeight w:val="217"/>
        </w:trPr>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w w:val="92"/>
              </w:rPr>
              <w:t>Page</w:t>
            </w:r>
          </w:p>
        </w:tc>
      </w:tr>
      <w:tr>
        <w:trPr>
          <w:trHeight w:val="263"/>
        </w:trPr>
        <w:tc>
          <w:tcPr>
            <w:tcW w:w="2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SIGNATURES</w:t>
            </w:r>
          </w:p>
        </w:tc>
        <w:tc>
          <w:tcPr>
            <w:tcW w:w="4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3</w:t>
            </w:r>
          </w:p>
        </w:tc>
      </w:tr>
      <w:tr>
        <w:trPr>
          <w:trHeight w:val="507"/>
        </w:trPr>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EXHIBITS</w:t>
            </w:r>
          </w:p>
        </w:tc>
        <w:tc>
          <w:tcPr>
            <w:tcW w:w="8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63"/>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23.1</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tc>
        <w:tc>
          <w:tcPr>
            <w:tcW w:w="102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4</w:t>
            </w:r>
          </w:p>
        </w:tc>
      </w:tr>
      <w:tr>
        <w:trPr>
          <w:trHeight w:val="20"/>
        </w:trPr>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50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8"/>
              </w:rPr>
              <w:t>Financial statements and supplemental schedule of the M&amp;T Bank</w:t>
            </w:r>
          </w:p>
        </w:tc>
        <w:tc>
          <w:tcPr>
            <w:tcW w:w="1380" w:type="dxa"/>
            <w:vAlign w:val="bottom"/>
            <w:gridSpan w:val="3"/>
          </w:tcPr>
          <w:p>
            <w:pPr>
              <w:spacing w:after="0"/>
              <w:rPr>
                <w:sz w:val="24"/>
                <w:szCs w:val="24"/>
                <w:color w:val="auto"/>
              </w:rPr>
            </w:pPr>
          </w:p>
        </w:tc>
        <w:tc>
          <w:tcPr>
            <w:tcW w:w="102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5</w:t>
            </w:r>
          </w:p>
        </w:tc>
      </w:tr>
      <w:tr>
        <w:trPr>
          <w:trHeight w:val="209"/>
        </w:trPr>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00" w:type="dxa"/>
            <w:vAlign w:val="bottom"/>
            <w:tcBorders>
              <w:bottom w:val="single" w:sz="8" w:color="auto"/>
            </w:tcBorders>
            <w:gridSpan w:val="4"/>
          </w:tcPr>
          <w:p>
            <w:pPr>
              <w:spacing w:after="0" w:line="209" w:lineRule="exact"/>
              <w:rPr>
                <w:sz w:val="20"/>
                <w:szCs w:val="20"/>
                <w:color w:val="auto"/>
              </w:rPr>
            </w:pPr>
            <w:r>
              <w:rPr>
                <w:rFonts w:ascii="Times New Roman" w:cs="Times New Roman" w:eastAsia="Times New Roman" w:hAnsi="Times New Roman"/>
                <w:sz w:val="20"/>
                <w:szCs w:val="20"/>
                <w:color w:val="auto"/>
                <w:w w:val="98"/>
              </w:rPr>
              <w:t>Corporation Retirement Savings Plan for the year ended December 31, 2025,</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23"/>
        </w:trPr>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960" w:type="dxa"/>
            <w:vAlign w:val="bottom"/>
            <w:tcBorders>
              <w:bottom w:val="single" w:sz="8" w:color="auto"/>
            </w:tcBorders>
            <w:gridSpan w:val="3"/>
          </w:tcPr>
          <w:p>
            <w:pPr>
              <w:spacing w:after="0" w:line="223" w:lineRule="exact"/>
              <w:rPr>
                <w:sz w:val="20"/>
                <w:szCs w:val="20"/>
                <w:color w:val="auto"/>
              </w:rPr>
            </w:pPr>
            <w:r>
              <w:rPr>
                <w:rFonts w:ascii="Times New Roman" w:cs="Times New Roman" w:eastAsia="Times New Roman" w:hAnsi="Times New Roman"/>
                <w:sz w:val="20"/>
                <w:szCs w:val="20"/>
                <w:color w:val="auto"/>
                <w:w w:val="98"/>
              </w:rPr>
              <w:t>prepared in accordance with the financial reporting requirements of ERISA</w:t>
            </w:r>
          </w:p>
        </w:tc>
        <w:tc>
          <w:tcPr>
            <w:tcW w:w="70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210185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13" w:right="339" w:bottom="1440" w:gutter="0" w:footer="0" w:header="0"/>
        </w:sectPr>
      </w:pPr>
    </w:p>
    <w:bookmarkStart w:id="2" w:name="page3"/>
    <w:bookmarkEnd w:id="2"/>
    <w:p>
      <w:pPr>
        <w:jc w:val="center"/>
        <w:ind w:right="480"/>
        <w:spacing w:after="0"/>
        <w:rPr>
          <w:sz w:val="20"/>
          <w:szCs w:val="20"/>
          <w:color w:val="auto"/>
        </w:rPr>
      </w:pPr>
      <w:r>
        <w:rPr>
          <w:rFonts w:ascii="Times New Roman" w:cs="Times New Roman" w:eastAsia="Times New Roman" w:hAnsi="Times New Roman"/>
          <w:sz w:val="20"/>
          <w:szCs w:val="20"/>
          <w:u w:val="single" w:color="auto"/>
          <w:color w:val="auto"/>
        </w:rPr>
        <w:t>SIGNATURES</w:t>
      </w:r>
    </w:p>
    <w:p>
      <w:pPr>
        <w:spacing w:after="0" w:line="200" w:lineRule="exact"/>
        <w:rPr>
          <w:sz w:val="20"/>
          <w:szCs w:val="20"/>
          <w:color w:val="auto"/>
        </w:rPr>
      </w:pPr>
    </w:p>
    <w:p>
      <w:pPr>
        <w:spacing w:after="0" w:line="2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M&amp;T Bank Corporation Employee Benefit Plans Committee has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M&amp;T BANK CORPORATION</w:t>
      </w:r>
    </w:p>
    <w:p>
      <w:pPr>
        <w:spacing w:after="0" w:line="2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RETIREMENT SAVINGS PLAN</w:t>
      </w:r>
    </w:p>
    <w:p>
      <w:pPr>
        <w:spacing w:after="0" w:line="396" w:lineRule="exact"/>
        <w:rPr>
          <w:sz w:val="20"/>
          <w:szCs w:val="20"/>
          <w:color w:val="auto"/>
        </w:rPr>
      </w:pPr>
    </w:p>
    <w:p>
      <w:pPr>
        <w:ind w:left="100"/>
        <w:spacing w:after="0"/>
        <w:tabs>
          <w:tab w:leader="none" w:pos="4280" w:val="left"/>
        </w:tabs>
        <w:rPr>
          <w:sz w:val="20"/>
          <w:szCs w:val="20"/>
          <w:color w:val="auto"/>
        </w:rPr>
      </w:pPr>
      <w:r>
        <w:rPr>
          <w:rFonts w:ascii="Times New Roman" w:cs="Times New Roman" w:eastAsia="Times New Roman" w:hAnsi="Times New Roman"/>
          <w:sz w:val="20"/>
          <w:szCs w:val="20"/>
          <w:color w:val="auto"/>
        </w:rPr>
        <w:t>Date: June 26, 2026</w:t>
      </w:r>
      <w:r>
        <w:rPr>
          <w:sz w:val="20"/>
          <w:szCs w:val="20"/>
          <w:color w:val="auto"/>
        </w:rPr>
        <w:tab/>
      </w: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Andrea Kozlowski</w:t>
      </w:r>
    </w:p>
    <w:p>
      <w:pPr>
        <w:spacing w:after="0" w:line="5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Andrea Kozlowski</w:t>
      </w:r>
    </w:p>
    <w:p>
      <w:pPr>
        <w:spacing w:after="0" w:line="2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M&amp;T Bank Corporation Employee</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Benefit Plans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820" w:top="1170" w:right="339" w:bottom="1440" w:gutter="0" w:footer="0" w:header="0"/>
        </w:sectPr>
      </w:pPr>
    </w:p>
    <w:bookmarkStart w:id="3" w:name="page4"/>
    <w:bookmarkEnd w:id="3"/>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S-8 (Nos. 333-32044, 333-189097, 333-164015, 333-84384, 333-16077, 333-264392, and 333-231217) of M&amp;T Bank Corporation of our report dated June 26, 2026 relating to the financial statements and supplemental schedule of M&amp;T Bank Corporation Retirement Savings Plan, which appears in this Form 11-K.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11" w:lineRule="auto"/>
        <w:rPr>
          <w:sz w:val="20"/>
          <w:szCs w:val="20"/>
          <w:color w:val="auto"/>
        </w:rPr>
      </w:pPr>
      <w:r>
        <w:rPr>
          <w:rFonts w:ascii="Times New Roman" w:cs="Times New Roman" w:eastAsia="Times New Roman" w:hAnsi="Times New Roman"/>
          <w:sz w:val="20"/>
          <w:szCs w:val="20"/>
          <w:color w:val="auto"/>
        </w:rPr>
        <w:t>Philadelphia, Pennsylvania</w:t>
      </w:r>
    </w:p>
    <w:p>
      <w:pPr>
        <w:spacing w:after="0"/>
        <w:rPr>
          <w:sz w:val="20"/>
          <w:szCs w:val="20"/>
          <w:color w:val="auto"/>
        </w:rPr>
      </w:pPr>
      <w:r>
        <w:rPr>
          <w:rFonts w:ascii="Times New Roman" w:cs="Times New Roman" w:eastAsia="Times New Roman" w:hAnsi="Times New Roman"/>
          <w:sz w:val="20"/>
          <w:szCs w:val="20"/>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w w:val="97"/>
              </w:rPr>
              <w:t>Exhibit 99.1</w:t>
            </w:r>
          </w:p>
        </w:tc>
        <w:tc>
          <w:tcPr>
            <w:tcW w:w="0" w:type="dxa"/>
            <w:vAlign w:val="bottom"/>
          </w:tcPr>
          <w:p>
            <w:pPr>
              <w:spacing w:after="0"/>
              <w:rPr>
                <w:sz w:val="1"/>
                <w:szCs w:val="1"/>
                <w:color w:val="auto"/>
              </w:rPr>
            </w:pPr>
          </w:p>
        </w:tc>
      </w:tr>
      <w:tr>
        <w:trPr>
          <w:trHeight w:val="1182"/>
        </w:trPr>
        <w:tc>
          <w:tcPr>
            <w:tcW w:w="9000" w:type="dxa"/>
            <w:vAlign w:val="bottom"/>
          </w:tcPr>
          <w:p>
            <w:pPr>
              <w:ind w:left="1860"/>
              <w:spacing w:after="0"/>
              <w:rPr>
                <w:sz w:val="20"/>
                <w:szCs w:val="20"/>
                <w:color w:val="auto"/>
              </w:rPr>
            </w:pPr>
            <w:r>
              <w:rPr>
                <w:rFonts w:ascii="Times New Roman" w:cs="Times New Roman" w:eastAsia="Times New Roman" w:hAnsi="Times New Roman"/>
                <w:sz w:val="20"/>
                <w:szCs w:val="20"/>
                <w:b w:val="1"/>
                <w:bCs w:val="1"/>
                <w:color w:val="auto"/>
              </w:rPr>
              <w:t>INDEX TO FINANCIAL STATEMENTS AND SUPPLEMENTAL SCHEDULE</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9000" w:type="dxa"/>
            <w:vAlign w:val="bottom"/>
          </w:tcPr>
          <w:p>
            <w:pPr>
              <w:ind w:left="2100"/>
              <w:spacing w:after="0"/>
              <w:rPr>
                <w:sz w:val="20"/>
                <w:szCs w:val="20"/>
                <w:color w:val="auto"/>
              </w:rPr>
            </w:pPr>
            <w:r>
              <w:rPr>
                <w:rFonts w:ascii="Times New Roman" w:cs="Times New Roman" w:eastAsia="Times New Roman" w:hAnsi="Times New Roman"/>
                <w:sz w:val="20"/>
                <w:szCs w:val="20"/>
                <w:b w:val="1"/>
                <w:bCs w:val="1"/>
                <w:color w:val="auto"/>
              </w:rPr>
              <w:t>OF THE M&amp;T BANK CORPORATION RETIREMENT SAVINGS PLAN</w:t>
            </w: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4"/>
        </w:trPr>
        <w:tc>
          <w:tcPr>
            <w:tcW w:w="9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458"/>
        </w:trPr>
        <w:tc>
          <w:tcPr>
            <w:tcW w:w="90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tc>
        <w:tc>
          <w:tcPr>
            <w:tcW w:w="50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w w:val="99"/>
              </w:rPr>
              <w:t>6</w:t>
            </w:r>
          </w:p>
        </w:tc>
        <w:tc>
          <w:tcPr>
            <w:tcW w:w="40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Financial Statements</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Statement of Net Assets Available for Benefits as of December 31, 2025 and 2024</w:t>
            </w:r>
          </w:p>
        </w:tc>
        <w:tc>
          <w:tcPr>
            <w:tcW w:w="500" w:type="dxa"/>
            <w:vAlign w:val="bottom"/>
            <w:vMerge w:val="restart"/>
          </w:tcPr>
          <w:p>
            <w:pPr>
              <w:jc w:val="center"/>
              <w:ind w:left="261"/>
              <w:spacing w:after="0"/>
              <w:rPr>
                <w:sz w:val="20"/>
                <w:szCs w:val="20"/>
                <w:color w:val="auto"/>
              </w:rPr>
            </w:pPr>
            <w:r>
              <w:rPr>
                <w:rFonts w:ascii="Times New Roman" w:cs="Times New Roman" w:eastAsia="Times New Roman" w:hAnsi="Times New Roman"/>
                <w:sz w:val="20"/>
                <w:szCs w:val="20"/>
                <w:color w:val="auto"/>
                <w:w w:val="99"/>
              </w:rPr>
              <w:t>7</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1"/>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Statement of Changes in Net Assets Available for Benefits for the years ended</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0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December 31, 2025 and 2024</w:t>
            </w:r>
          </w:p>
        </w:tc>
        <w:tc>
          <w:tcPr>
            <w:tcW w:w="500" w:type="dxa"/>
            <w:vAlign w:val="bottom"/>
            <w:vMerge w:val="restart"/>
          </w:tcPr>
          <w:p>
            <w:pPr>
              <w:jc w:val="center"/>
              <w:ind w:left="261"/>
              <w:spacing w:after="0"/>
              <w:rPr>
                <w:sz w:val="20"/>
                <w:szCs w:val="20"/>
                <w:color w:val="auto"/>
              </w:rPr>
            </w:pPr>
            <w:r>
              <w:rPr>
                <w:rFonts w:ascii="Times New Roman" w:cs="Times New Roman" w:eastAsia="Times New Roman" w:hAnsi="Times New Roman"/>
                <w:sz w:val="20"/>
                <w:szCs w:val="20"/>
                <w:color w:val="auto"/>
                <w:w w:val="99"/>
              </w:rPr>
              <w:t>8</w:t>
            </w: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00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50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w w:val="99"/>
              </w:rPr>
              <w:t>9</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90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Supplemental Schedule*</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 as of December 31, 2025</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18</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9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 The other supplemental schedules required by 29 CFR 2520.103-10 of the Department of</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60" w:right="3740"/>
        <w:spacing w:after="0" w:line="233" w:lineRule="auto"/>
        <w:rPr>
          <w:sz w:val="20"/>
          <w:szCs w:val="20"/>
          <w:color w:val="auto"/>
        </w:rPr>
      </w:pPr>
      <w:r>
        <w:rPr>
          <w:rFonts w:ascii="Times New Roman" w:cs="Times New Roman" w:eastAsia="Times New Roman" w:hAnsi="Times New Roman"/>
          <w:sz w:val="19"/>
          <w:szCs w:val="19"/>
          <w:color w:val="auto"/>
        </w:rPr>
        <w:t>Labor’s Rules and Regulations for Reporting and Disclosure under the Employee Retirement Income Security Act of 1974 are not applicable and are therefore omitted.</w:t>
      </w:r>
    </w:p>
    <w:p>
      <w:pPr>
        <w:sectPr>
          <w:pgSz w:w="11900" w:h="16838" w:orient="portrait"/>
          <w:cols w:equalWidth="0" w:num="1">
            <w:col w:w="10880"/>
          </w:cols>
          <w:pgMar w:left="68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224790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440" w:right="339" w:bottom="1440" w:gutter="0" w:footer="0" w:header="0"/>
          <w:type w:val="continuous"/>
        </w:sectPr>
      </w:pPr>
    </w:p>
    <w:bookmarkStart w:id="5" w:name="page6"/>
    <w:bookmarkEnd w:id="5"/>
    <w:p>
      <w:pPr>
        <w:spacing w:after="0" w:line="236" w:lineRule="exact"/>
        <w:rPr>
          <w:sz w:val="20"/>
          <w:szCs w:val="20"/>
          <w:color w:val="auto"/>
        </w:rPr>
      </w:pPr>
    </w:p>
    <w:p>
      <w:pPr>
        <w:ind w:right="2880" w:firstLine="2923"/>
        <w:spacing w:after="0" w:line="237" w:lineRule="auto"/>
        <w:rPr>
          <w:sz w:val="20"/>
          <w:szCs w:val="20"/>
          <w:color w:val="auto"/>
        </w:rPr>
      </w:pPr>
      <w:r>
        <w:rPr>
          <w:rFonts w:ascii="Georgia" w:cs="Georgia" w:eastAsia="Georgia" w:hAnsi="Georgia"/>
          <w:sz w:val="18"/>
          <w:szCs w:val="18"/>
          <w:b w:val="1"/>
          <w:bCs w:val="1"/>
          <w:color w:val="auto"/>
        </w:rPr>
        <w:t xml:space="preserve">Report of Independent Registered Public Accounting Firm </w:t>
      </w:r>
      <w:r>
        <w:rPr>
          <w:rFonts w:ascii="Georgia" w:cs="Georgia" w:eastAsia="Georgia" w:hAnsi="Georgia"/>
          <w:sz w:val="18"/>
          <w:szCs w:val="18"/>
          <w:color w:val="auto"/>
        </w:rPr>
        <w:t xml:space="preserve">To the Administrator and Plan Participants of </w:t>
      </w:r>
      <w:r>
        <w:rPr>
          <w:rFonts w:ascii="Georgia" w:cs="Georgia" w:eastAsia="Georgia" w:hAnsi="Georgia"/>
          <w:sz w:val="16"/>
          <w:szCs w:val="16"/>
          <w:color w:val="auto"/>
        </w:rPr>
        <w:t>M&amp;T Bank Corporation Retirement Savings Plan</w:t>
      </w: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 on the Financial Statements</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audited the accompanying statements of net assets available for benefits of M&amp;T Bank Corporation Retirement Savings Plan (the</w:t>
      </w:r>
    </w:p>
    <w:p>
      <w:pPr>
        <w:spacing w:after="0" w:line="40" w:lineRule="exact"/>
        <w:rPr>
          <w:sz w:val="20"/>
          <w:szCs w:val="20"/>
          <w:color w:val="auto"/>
        </w:rPr>
      </w:pPr>
    </w:p>
    <w:p>
      <w:pPr>
        <w:spacing w:after="0" w:line="263" w:lineRule="auto"/>
        <w:rPr>
          <w:sz w:val="20"/>
          <w:szCs w:val="20"/>
          <w:color w:val="auto"/>
        </w:rPr>
      </w:pPr>
      <w:r>
        <w:rPr>
          <w:rFonts w:ascii="Georgia" w:cs="Georgia" w:eastAsia="Georgia" w:hAnsi="Georgia"/>
          <w:sz w:val="17"/>
          <w:szCs w:val="17"/>
          <w:color w:val="auto"/>
        </w:rPr>
        <w:t>“Plan”) as of December 31, 2025 and 2024 and the related statements of changes in net assets available for benefits for the years then ended, including the related notes (collectively referred to as the “financial statements”). In our opinion, the financial statements present fairly, in all</w:t>
      </w:r>
    </w:p>
    <w:p>
      <w:pPr>
        <w:spacing w:after="0" w:line="22"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24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color w:val="auto"/>
        </w:rPr>
        <w:t>We conducted our audits of these financial statements in accordance with the standards of the PCAOB. Those standards require that we plan</w:t>
      </w:r>
    </w:p>
    <w:p>
      <w:pPr>
        <w:ind w:right="60"/>
        <w:spacing w:after="0" w:line="230" w:lineRule="auto"/>
        <w:rPr>
          <w:sz w:val="20"/>
          <w:szCs w:val="20"/>
          <w:color w:val="auto"/>
        </w:rPr>
      </w:pPr>
      <w:r>
        <w:rPr>
          <w:rFonts w:ascii="Georgia" w:cs="Georgia" w:eastAsia="Georgia" w:hAnsi="Georgia"/>
          <w:sz w:val="18"/>
          <w:szCs w:val="18"/>
          <w:color w:val="auto"/>
        </w:rPr>
        <w:t>and perform the audit to obtain reasonable assurance about whether the financial statements are free of material misstatement, whether due to error or fraud.</w:t>
      </w:r>
    </w:p>
    <w:p>
      <w:pPr>
        <w:spacing w:after="0" w:line="24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4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Supplemental Information</w:t>
      </w:r>
    </w:p>
    <w:p>
      <w:pPr>
        <w:spacing w:after="0" w:line="242" w:lineRule="exact"/>
        <w:rPr>
          <w:sz w:val="20"/>
          <w:szCs w:val="20"/>
          <w:color w:val="auto"/>
        </w:rPr>
      </w:pPr>
    </w:p>
    <w:p>
      <w:pPr>
        <w:ind w:right="60"/>
        <w:spacing w:after="0" w:line="229" w:lineRule="auto"/>
        <w:rPr>
          <w:sz w:val="20"/>
          <w:szCs w:val="20"/>
          <w:color w:val="auto"/>
        </w:rPr>
      </w:pPr>
      <w:r>
        <w:rPr>
          <w:rFonts w:ascii="Georgia" w:cs="Georgia" w:eastAsia="Georgia" w:hAnsi="Georgia"/>
          <w:sz w:val="18"/>
          <w:szCs w:val="18"/>
          <w:color w:val="auto"/>
        </w:rPr>
        <w:t>The supplemental Schedule H, Line 4i - Schedule of Assets (Held at End of Year) as of December 31, 2025 has been subjected to audit procedures performed in conjunction with the audit of the Plan’s financial statements. The supplemental schedule is the responsibility of the</w:t>
      </w:r>
    </w:p>
    <w:p>
      <w:pPr>
        <w:spacing w:after="0" w:line="1"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w:t>
      </w:r>
    </w:p>
    <w:p>
      <w:pPr>
        <w:spacing w:after="0" w:line="41" w:lineRule="exact"/>
        <w:rPr>
          <w:sz w:val="20"/>
          <w:szCs w:val="20"/>
          <w:color w:val="auto"/>
        </w:rPr>
      </w:pPr>
    </w:p>
    <w:p>
      <w:pPr>
        <w:spacing w:after="0"/>
        <w:rPr>
          <w:sz w:val="20"/>
          <w:szCs w:val="20"/>
          <w:color w:val="auto"/>
        </w:rPr>
      </w:pPr>
      <w:r>
        <w:rPr>
          <w:rFonts w:ascii="Georgia" w:cs="Georgia" w:eastAsia="Georgia" w:hAnsi="Georgia"/>
          <w:sz w:val="18"/>
          <w:szCs w:val="18"/>
          <w:color w:val="auto"/>
        </w:rPr>
        <w:t>supplemental schedule, including its form and content, is presented in conformity with the Department of Labor’s Rules and Regulations for</w:t>
      </w:r>
    </w:p>
    <w:p>
      <w:pPr>
        <w:spacing w:after="0" w:line="40" w:lineRule="exact"/>
        <w:rPr>
          <w:sz w:val="20"/>
          <w:szCs w:val="20"/>
          <w:color w:val="auto"/>
        </w:rPr>
      </w:pPr>
    </w:p>
    <w:p>
      <w:pPr>
        <w:ind w:right="220"/>
        <w:spacing w:after="0" w:line="237" w:lineRule="auto"/>
        <w:rPr>
          <w:sz w:val="20"/>
          <w:szCs w:val="20"/>
          <w:color w:val="auto"/>
        </w:rPr>
      </w:pPr>
      <w:r>
        <w:rPr>
          <w:rFonts w:ascii="Georgia" w:cs="Georgia" w:eastAsia="Georgia" w:hAnsi="Georgia"/>
          <w:sz w:val="18"/>
          <w:szCs w:val="18"/>
          <w:color w:val="auto"/>
        </w:rPr>
        <w:t>Reporting and Disclosure under the Employee Retirement Income Security Act of 1974. In our opinion, the supplemental schedule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Georgia" w:cs="Georgia" w:eastAsia="Georgia" w:hAnsi="Georgia"/>
          <w:sz w:val="18"/>
          <w:szCs w:val="18"/>
          <w:color w:val="auto"/>
        </w:rPr>
        <w:t>/s/PricewaterhouseCoopers LLP</w:t>
      </w:r>
    </w:p>
    <w:p>
      <w:pPr>
        <w:spacing w:after="0" w:line="237" w:lineRule="auto"/>
        <w:rPr>
          <w:sz w:val="20"/>
          <w:szCs w:val="20"/>
          <w:color w:val="auto"/>
        </w:rPr>
      </w:pPr>
      <w:r>
        <w:rPr>
          <w:rFonts w:ascii="Georgia" w:cs="Georgia" w:eastAsia="Georgia" w:hAnsi="Georgia"/>
          <w:sz w:val="18"/>
          <w:szCs w:val="18"/>
          <w:color w:val="auto"/>
        </w:rPr>
        <w:t>Philadelphia, Pennsylvania</w:t>
      </w:r>
    </w:p>
    <w:p>
      <w:pPr>
        <w:spacing w:after="0"/>
        <w:rPr>
          <w:sz w:val="20"/>
          <w:szCs w:val="20"/>
          <w:color w:val="auto"/>
        </w:rPr>
      </w:pPr>
      <w:r>
        <w:rPr>
          <w:rFonts w:ascii="Georgia" w:cs="Georgia" w:eastAsia="Georgia" w:hAnsi="Georgia"/>
          <w:sz w:val="18"/>
          <w:szCs w:val="18"/>
          <w:color w:val="auto"/>
        </w:rPr>
        <w:t>June 26, 2026</w:t>
      </w:r>
    </w:p>
    <w:p>
      <w:pPr>
        <w:spacing w:after="0" w:line="240"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Plan’s auditor since 1986.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b w:val="1"/>
          <w:bCs w:val="1"/>
          <w:color w:val="auto"/>
        </w:rPr>
        <w:t>M&amp;T BANK CORPORATION RETIREMENT SAVINGS PLAN</w:t>
      </w: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4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00"/>
        </w:trPr>
        <w:tc>
          <w:tcPr>
            <w:tcW w:w="67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Investments</w:t>
            </w:r>
          </w:p>
        </w:tc>
        <w:tc>
          <w:tcPr>
            <w:tcW w:w="4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5,400,433</w:t>
            </w:r>
          </w:p>
        </w:tc>
        <w:tc>
          <w:tcPr>
            <w:tcW w:w="260" w:type="dxa"/>
            <w:vAlign w:val="bottom"/>
          </w:tcPr>
          <w:p>
            <w:pPr>
              <w:spacing w:after="0"/>
              <w:rPr>
                <w:sz w:val="22"/>
                <w:szCs w:val="22"/>
                <w:color w:val="auto"/>
              </w:rPr>
            </w:pPr>
          </w:p>
        </w:tc>
        <w:tc>
          <w:tcPr>
            <w:tcW w:w="760" w:type="dxa"/>
            <w:vAlign w:val="bottom"/>
          </w:tcPr>
          <w:p>
            <w:pPr>
              <w:jc w:val="right"/>
              <w:ind w:right="54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5,104,529</w:t>
            </w:r>
          </w:p>
        </w:tc>
        <w:tc>
          <w:tcPr>
            <w:tcW w:w="0" w:type="dxa"/>
            <w:vAlign w:val="bottom"/>
          </w:tcPr>
          <w:p>
            <w:pPr>
              <w:spacing w:after="0"/>
              <w:rPr>
                <w:sz w:val="1"/>
                <w:szCs w:val="1"/>
                <w:color w:val="auto"/>
              </w:rPr>
            </w:pPr>
          </w:p>
        </w:tc>
      </w:tr>
      <w:tr>
        <w:trPr>
          <w:trHeight w:val="259"/>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Investments, at contract value</w:t>
            </w:r>
          </w:p>
        </w:tc>
        <w:tc>
          <w:tcPr>
            <w:tcW w:w="4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321,760</w:t>
            </w:r>
          </w:p>
        </w:tc>
        <w:tc>
          <w:tcPr>
            <w:tcW w:w="26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67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 investments</w:t>
            </w:r>
          </w:p>
        </w:tc>
        <w:tc>
          <w:tcPr>
            <w:tcW w:w="4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5,722,193</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5,104,529</w:t>
            </w:r>
          </w:p>
        </w:tc>
        <w:tc>
          <w:tcPr>
            <w:tcW w:w="0" w:type="dxa"/>
            <w:vAlign w:val="bottom"/>
          </w:tcPr>
          <w:p>
            <w:pPr>
              <w:spacing w:after="0"/>
              <w:rPr>
                <w:sz w:val="1"/>
                <w:szCs w:val="1"/>
                <w:color w:val="auto"/>
              </w:rPr>
            </w:pPr>
          </w:p>
        </w:tc>
      </w:tr>
      <w:tr>
        <w:trPr>
          <w:trHeight w:val="515"/>
        </w:trPr>
        <w:tc>
          <w:tcPr>
            <w:tcW w:w="6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Receivables</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Participant contributions</w:t>
            </w:r>
          </w:p>
        </w:tc>
        <w:tc>
          <w:tcPr>
            <w:tcW w:w="4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4,911</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4,310</w:t>
            </w:r>
          </w:p>
        </w:tc>
        <w:tc>
          <w:tcPr>
            <w:tcW w:w="0" w:type="dxa"/>
            <w:vAlign w:val="bottom"/>
          </w:tcPr>
          <w:p>
            <w:pPr>
              <w:spacing w:after="0"/>
              <w:rPr>
                <w:sz w:val="1"/>
                <w:szCs w:val="1"/>
                <w:color w:val="auto"/>
              </w:rPr>
            </w:pPr>
          </w:p>
        </w:tc>
      </w:tr>
      <w:tr>
        <w:trPr>
          <w:trHeight w:val="257"/>
        </w:trPr>
        <w:tc>
          <w:tcPr>
            <w:tcW w:w="6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Employer – Matching contribution</w:t>
            </w:r>
          </w:p>
        </w:tc>
        <w:tc>
          <w:tcPr>
            <w:tcW w:w="4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4,223</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4,007</w:t>
            </w:r>
          </w:p>
        </w:tc>
        <w:tc>
          <w:tcPr>
            <w:tcW w:w="0" w:type="dxa"/>
            <w:vAlign w:val="bottom"/>
          </w:tcPr>
          <w:p>
            <w:pPr>
              <w:spacing w:after="0"/>
              <w:rPr>
                <w:sz w:val="1"/>
                <w:szCs w:val="1"/>
                <w:color w:val="auto"/>
              </w:rPr>
            </w:pPr>
          </w:p>
        </w:tc>
      </w:tr>
      <w:tr>
        <w:trPr>
          <w:trHeight w:val="257"/>
        </w:trPr>
        <w:tc>
          <w:tcPr>
            <w:tcW w:w="6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Employer – Retirement Accumulation Account</w:t>
            </w:r>
          </w:p>
        </w:tc>
        <w:tc>
          <w:tcPr>
            <w:tcW w:w="4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contribution</w:t>
            </w:r>
          </w:p>
        </w:tc>
        <w:tc>
          <w:tcPr>
            <w:tcW w:w="4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37,819</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38,295</w:t>
            </w:r>
          </w:p>
        </w:tc>
        <w:tc>
          <w:tcPr>
            <w:tcW w:w="0" w:type="dxa"/>
            <w:vAlign w:val="bottom"/>
          </w:tcPr>
          <w:p>
            <w:pPr>
              <w:spacing w:after="0"/>
              <w:rPr>
                <w:sz w:val="1"/>
                <w:szCs w:val="1"/>
                <w:color w:val="auto"/>
              </w:rPr>
            </w:pPr>
          </w:p>
        </w:tc>
      </w:tr>
      <w:tr>
        <w:trPr>
          <w:trHeight w:val="259"/>
        </w:trPr>
        <w:tc>
          <w:tcPr>
            <w:tcW w:w="6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4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47,880</w:t>
            </w:r>
          </w:p>
        </w:tc>
        <w:tc>
          <w:tcPr>
            <w:tcW w:w="26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46,591</w:t>
            </w:r>
          </w:p>
        </w:tc>
        <w:tc>
          <w:tcPr>
            <w:tcW w:w="0" w:type="dxa"/>
            <w:vAlign w:val="bottom"/>
          </w:tcPr>
          <w:p>
            <w:pPr>
              <w:spacing w:after="0"/>
              <w:rPr>
                <w:sz w:val="1"/>
                <w:szCs w:val="1"/>
                <w:color w:val="auto"/>
              </w:rPr>
            </w:pPr>
          </w:p>
        </w:tc>
      </w:tr>
      <w:tr>
        <w:trPr>
          <w:trHeight w:val="258"/>
        </w:trPr>
        <w:tc>
          <w:tcPr>
            <w:tcW w:w="67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 receivables</w:t>
            </w:r>
          </w:p>
        </w:tc>
        <w:tc>
          <w:tcPr>
            <w:tcW w:w="4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94,833</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93,203</w:t>
            </w:r>
          </w:p>
        </w:tc>
        <w:tc>
          <w:tcPr>
            <w:tcW w:w="0" w:type="dxa"/>
            <w:vAlign w:val="bottom"/>
          </w:tcPr>
          <w:p>
            <w:pPr>
              <w:spacing w:after="0"/>
              <w:rPr>
                <w:sz w:val="1"/>
                <w:szCs w:val="1"/>
                <w:color w:val="auto"/>
              </w:rPr>
            </w:pPr>
          </w:p>
        </w:tc>
      </w:tr>
      <w:tr>
        <w:trPr>
          <w:trHeight w:val="521"/>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Due from broker</w:t>
            </w:r>
          </w:p>
        </w:tc>
        <w:tc>
          <w:tcPr>
            <w:tcW w:w="4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510"/>
        </w:trPr>
        <w:tc>
          <w:tcPr>
            <w:tcW w:w="6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4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5,817,070</w:t>
            </w:r>
          </w:p>
        </w:tc>
        <w:tc>
          <w:tcPr>
            <w:tcW w:w="260" w:type="dxa"/>
            <w:vAlign w:val="bottom"/>
          </w:tcPr>
          <w:p>
            <w:pPr>
              <w:spacing w:after="0"/>
              <w:rPr>
                <w:sz w:val="24"/>
                <w:szCs w:val="24"/>
                <w:color w:val="auto"/>
              </w:rPr>
            </w:pPr>
          </w:p>
        </w:tc>
        <w:tc>
          <w:tcPr>
            <w:tcW w:w="7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5,197,836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1900" w:h="16838" w:orient="portrait"/>
          <w:cols w:equalWidth="0" w:num="1">
            <w:col w:w="11220"/>
          </w:cols>
          <w:pgMar w:left="340" w:top="150" w:right="339" w:bottom="2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0" w:right="339" w:bottom="268"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b w:val="1"/>
          <w:bCs w:val="1"/>
          <w:color w:val="auto"/>
        </w:rPr>
        <w:t>M&amp;T BANK CORPORATION RETIREMENT SAVINGS PLAN</w:t>
      </w: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80" w:type="dxa"/>
            <w:vAlign w:val="bottom"/>
            <w:gridSpan w:val="4"/>
          </w:tcPr>
          <w:p>
            <w:pPr>
              <w:jc w:val="right"/>
              <w:ind w:right="1101"/>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5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42"/>
        </w:trPr>
        <w:tc>
          <w:tcPr>
            <w:tcW w:w="6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511"/>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Investment income</w:t>
            </w: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7"/>
        </w:trPr>
        <w:tc>
          <w:tcPr>
            <w:tcW w:w="66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Interest and dividends</w:t>
            </w:r>
          </w:p>
        </w:tc>
        <w:tc>
          <w:tcPr>
            <w:tcW w:w="5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24,700</w:t>
            </w:r>
          </w:p>
        </w:tc>
        <w:tc>
          <w:tcPr>
            <w:tcW w:w="260" w:type="dxa"/>
            <w:vAlign w:val="bottom"/>
          </w:tcPr>
          <w:p>
            <w:pPr>
              <w:spacing w:after="0"/>
              <w:rPr>
                <w:sz w:val="22"/>
                <w:szCs w:val="22"/>
                <w:color w:val="auto"/>
              </w:rPr>
            </w:pPr>
          </w:p>
        </w:tc>
        <w:tc>
          <w:tcPr>
            <w:tcW w:w="5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22,494</w:t>
            </w:r>
          </w:p>
        </w:tc>
      </w:tr>
      <w:tr>
        <w:trPr>
          <w:trHeight w:val="259"/>
        </w:trPr>
        <w:tc>
          <w:tcPr>
            <w:tcW w:w="66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713,975</w:t>
            </w:r>
          </w:p>
        </w:tc>
        <w:tc>
          <w:tcPr>
            <w:tcW w:w="2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704,110</w:t>
            </w:r>
          </w:p>
        </w:tc>
      </w:tr>
      <w:tr>
        <w:trPr>
          <w:trHeight w:val="257"/>
        </w:trPr>
        <w:tc>
          <w:tcPr>
            <w:tcW w:w="66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 investment income</w:t>
            </w: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738,675</w:t>
            </w:r>
          </w:p>
        </w:tc>
        <w:tc>
          <w:tcPr>
            <w:tcW w:w="2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726,604</w:t>
            </w:r>
          </w:p>
        </w:tc>
      </w:tr>
      <w:tr>
        <w:trPr>
          <w:trHeight w:val="50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 on notes receivable from participants</w:t>
            </w:r>
          </w:p>
        </w:tc>
        <w:tc>
          <w:tcPr>
            <w:tcW w:w="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3,855</w:t>
            </w:r>
          </w:p>
        </w:tc>
        <w:tc>
          <w:tcPr>
            <w:tcW w:w="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3,351</w:t>
            </w:r>
          </w:p>
        </w:tc>
      </w:tr>
      <w:tr>
        <w:trPr>
          <w:trHeight w:val="504"/>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Contributions</w:t>
            </w: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7"/>
        </w:trPr>
        <w:tc>
          <w:tcPr>
            <w:tcW w:w="66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Participants</w:t>
            </w: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219,226</w:t>
            </w: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204,709</w:t>
            </w:r>
          </w:p>
        </w:tc>
      </w:tr>
      <w:tr>
        <w:trPr>
          <w:trHeight w:val="257"/>
        </w:trPr>
        <w:tc>
          <w:tcPr>
            <w:tcW w:w="66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Employer – Matching</w:t>
            </w: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105,786</w:t>
            </w: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99,210</w:t>
            </w:r>
          </w:p>
        </w:tc>
      </w:tr>
      <w:tr>
        <w:trPr>
          <w:trHeight w:val="256"/>
        </w:trPr>
        <w:tc>
          <w:tcPr>
            <w:tcW w:w="66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Employer – Retirement Accumulation Account</w:t>
            </w: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37,819</w:t>
            </w: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38,295</w:t>
            </w:r>
          </w:p>
        </w:tc>
      </w:tr>
      <w:tr>
        <w:trPr>
          <w:trHeight w:val="259"/>
        </w:trPr>
        <w:tc>
          <w:tcPr>
            <w:tcW w:w="66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Employer – Discretionary</w:t>
            </w: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18,907</w:t>
            </w:r>
          </w:p>
        </w:tc>
        <w:tc>
          <w:tcPr>
            <w:tcW w:w="2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13,789</w:t>
            </w:r>
          </w:p>
        </w:tc>
      </w:tr>
      <w:tr>
        <w:trPr>
          <w:trHeight w:val="256"/>
        </w:trPr>
        <w:tc>
          <w:tcPr>
            <w:tcW w:w="66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 contributions</w:t>
            </w: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381,738</w:t>
            </w:r>
          </w:p>
        </w:tc>
        <w:tc>
          <w:tcPr>
            <w:tcW w:w="2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356,003</w:t>
            </w:r>
          </w:p>
        </w:tc>
      </w:tr>
      <w:tr>
        <w:trPr>
          <w:trHeight w:val="500"/>
        </w:trPr>
        <w:tc>
          <w:tcPr>
            <w:tcW w:w="66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Total additions</w:t>
            </w:r>
          </w:p>
        </w:tc>
        <w:tc>
          <w:tcPr>
            <w:tcW w:w="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1,124,268</w:t>
            </w:r>
          </w:p>
        </w:tc>
        <w:tc>
          <w:tcPr>
            <w:tcW w:w="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1,085,958</w:t>
            </w:r>
          </w:p>
        </w:tc>
      </w:tr>
      <w:tr>
        <w:trPr>
          <w:trHeight w:val="504"/>
        </w:trPr>
        <w:tc>
          <w:tcPr>
            <w:tcW w:w="6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62"/>
        </w:trPr>
        <w:tc>
          <w:tcPr>
            <w:tcW w:w="66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Participant withdrawals and distributions</w:t>
            </w: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(505,034)</w:t>
            </w:r>
          </w:p>
        </w:tc>
        <w:tc>
          <w:tcPr>
            <w:tcW w:w="2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(493,208)</w:t>
            </w:r>
          </w:p>
        </w:tc>
      </w:tr>
      <w:tr>
        <w:trPr>
          <w:trHeight w:val="503"/>
        </w:trPr>
        <w:tc>
          <w:tcPr>
            <w:tcW w:w="66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Change in net assets available for benefits</w:t>
            </w:r>
          </w:p>
        </w:tc>
        <w:tc>
          <w:tcPr>
            <w:tcW w:w="5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619,234</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592,750</w:t>
            </w:r>
          </w:p>
        </w:tc>
      </w:tr>
      <w:tr>
        <w:trPr>
          <w:trHeight w:val="526"/>
        </w:trPr>
        <w:tc>
          <w:tcPr>
            <w:tcW w:w="6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530"/>
        </w:trPr>
        <w:tc>
          <w:tcPr>
            <w:tcW w:w="66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Beginning of year</w:t>
            </w:r>
          </w:p>
        </w:tc>
        <w:tc>
          <w:tcPr>
            <w:tcW w:w="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5,197,836</w:t>
            </w:r>
          </w:p>
        </w:tc>
        <w:tc>
          <w:tcPr>
            <w:tcW w:w="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4,605,086</w:t>
            </w:r>
          </w:p>
        </w:tc>
      </w:tr>
      <w:tr>
        <w:trPr>
          <w:trHeight w:val="510"/>
        </w:trPr>
        <w:tc>
          <w:tcPr>
            <w:tcW w:w="66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End of year</w:t>
            </w:r>
          </w:p>
        </w:tc>
        <w:tc>
          <w:tcPr>
            <w:tcW w:w="5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5,817,070</w:t>
            </w:r>
          </w:p>
        </w:tc>
        <w:tc>
          <w:tcPr>
            <w:tcW w:w="260" w:type="dxa"/>
            <w:vAlign w:val="bottom"/>
          </w:tcPr>
          <w:p>
            <w:pPr>
              <w:spacing w:after="0"/>
              <w:rPr>
                <w:sz w:val="24"/>
                <w:szCs w:val="24"/>
                <w:color w:val="auto"/>
              </w:rPr>
            </w:pPr>
          </w:p>
        </w:tc>
        <w:tc>
          <w:tcPr>
            <w:tcW w:w="5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5,197,836</w:t>
            </w:r>
          </w:p>
        </w:tc>
      </w:tr>
      <w:tr>
        <w:trPr>
          <w:trHeight w:val="20"/>
        </w:trPr>
        <w:tc>
          <w:tcPr>
            <w:tcW w:w="6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1900" w:h="16838" w:orient="portrait"/>
          <w:cols w:equalWidth="0" w:num="1">
            <w:col w:w="11220"/>
          </w:cols>
          <w:pgMar w:left="340" w:top="150" w:right="339" w:bottom="9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0" w:right="339" w:bottom="983"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M&amp;T BANK CORPORATION RETIREMENT SAVINGS PLAN</w:t>
      </w: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 of plan</w:t>
      </w:r>
    </w:p>
    <w:p>
      <w:pPr>
        <w:spacing w:after="0" w:line="111" w:lineRule="exact"/>
        <w:rPr>
          <w:rFonts w:ascii="Times New Roman" w:cs="Times New Roman" w:eastAsia="Times New Roman" w:hAnsi="Times New Roman"/>
          <w:sz w:val="20"/>
          <w:szCs w:val="20"/>
          <w:b w:val="1"/>
          <w:bCs w:val="1"/>
          <w:color w:val="auto"/>
        </w:rPr>
      </w:pPr>
    </w:p>
    <w:p>
      <w:pPr>
        <w:jc w:val="both"/>
        <w:ind w:left="3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description of the M&amp;T Bank Corporation Retirement Savings Plan (“the Plan”) is provided for general information purposes and is qualified in its entirety by reference to the Plan document. Participants should refer to the Plan document for a more complete description of the Plan’s provisions. The Plan is subject to the provisions of the Employee Retirement Income Security Act of 1974, as amended (“ERISA”).</w:t>
      </w:r>
    </w:p>
    <w:p>
      <w:pPr>
        <w:spacing w:after="0" w:line="75" w:lineRule="exact"/>
        <w:rPr>
          <w:rFonts w:ascii="Times New Roman" w:cs="Times New Roman" w:eastAsia="Times New Roman" w:hAnsi="Times New Roman"/>
          <w:sz w:val="20"/>
          <w:szCs w:val="20"/>
          <w:b w:val="1"/>
          <w:bCs w:val="1"/>
          <w:color w:val="auto"/>
        </w:rPr>
      </w:pPr>
    </w:p>
    <w:p>
      <w:pPr>
        <w:ind w:left="3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w:t>
      </w:r>
    </w:p>
    <w:p>
      <w:pPr>
        <w:spacing w:after="0" w:line="111" w:lineRule="exact"/>
        <w:rPr>
          <w:rFonts w:ascii="Times New Roman" w:cs="Times New Roman" w:eastAsia="Times New Roman" w:hAnsi="Times New Roman"/>
          <w:sz w:val="20"/>
          <w:szCs w:val="20"/>
          <w:b w:val="1"/>
          <w:bCs w:val="1"/>
          <w:color w:val="auto"/>
        </w:rPr>
      </w:pPr>
    </w:p>
    <w:p>
      <w:pPr>
        <w:jc w:val="both"/>
        <w:ind w:left="3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is a defined contribution combined 401(k)/stock bonus plan. The stock bonus component is intended to be an employee stock ownership plan (“ESOP”), which is designed to invest primarily in the common stock of M&amp;T Bank Corporation (“M&amp;T”). The Plan also offers matching contributions, Retirement Accumulation Account (“RAA”) and Discretionary Employer Contribution (“DEC”) features. The Plan exists for the benefit of employees of M&amp;T and its subsidiaries (“the Company”).</w:t>
      </w:r>
    </w:p>
    <w:p>
      <w:pPr>
        <w:spacing w:after="0" w:line="61" w:lineRule="exact"/>
        <w:rPr>
          <w:rFonts w:ascii="Times New Roman" w:cs="Times New Roman" w:eastAsia="Times New Roman" w:hAnsi="Times New Roman"/>
          <w:sz w:val="20"/>
          <w:szCs w:val="20"/>
          <w:b w:val="1"/>
          <w:bCs w:val="1"/>
          <w:color w:val="auto"/>
        </w:rPr>
      </w:pPr>
    </w:p>
    <w:p>
      <w:pPr>
        <w:ind w:left="3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Eligibility and participation</w:t>
      </w:r>
    </w:p>
    <w:p>
      <w:pPr>
        <w:spacing w:after="0" w:line="111" w:lineRule="exact"/>
        <w:rPr>
          <w:rFonts w:ascii="Times New Roman" w:cs="Times New Roman" w:eastAsia="Times New Roman" w:hAnsi="Times New Roman"/>
          <w:sz w:val="20"/>
          <w:szCs w:val="20"/>
          <w:b w:val="1"/>
          <w:bCs w:val="1"/>
          <w:color w:val="auto"/>
        </w:rPr>
      </w:pPr>
    </w:p>
    <w:p>
      <w:pPr>
        <w:jc w:val="both"/>
        <w:ind w:left="340"/>
        <w:spacing w:after="0" w:line="25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Employees who are at least 21 years of age are immediately eligible to participate in the Plan and make pre-tax or Roth contributions through salary reduction (each a “participant”). A participant may receive matching contributions upon completing six months of service. Participants hired before January 1, 2020 are also eligible to receive RAA contributions for any plan year in which the participant is credited with 1,000 hours of service and employed by the Company on the last day of the year (or retired during the plan year). Participants hired after December 31, 2019, are eligible to receive a DEC contribution (instead of the RAA contribution) for any plan year in which the participant is credited with 1,000 hours of service and employed by the Company on the last day of the year.</w:t>
      </w:r>
    </w:p>
    <w:p>
      <w:pPr>
        <w:spacing w:after="0" w:line="64" w:lineRule="exact"/>
        <w:rPr>
          <w:rFonts w:ascii="Times New Roman" w:cs="Times New Roman" w:eastAsia="Times New Roman" w:hAnsi="Times New Roman"/>
          <w:sz w:val="20"/>
          <w:szCs w:val="20"/>
          <w:b w:val="1"/>
          <w:bCs w:val="1"/>
          <w:color w:val="auto"/>
        </w:rPr>
      </w:pPr>
    </w:p>
    <w:p>
      <w:pPr>
        <w:ind w:left="3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p>
    <w:p>
      <w:pPr>
        <w:spacing w:after="0" w:line="125" w:lineRule="exact"/>
        <w:rPr>
          <w:rFonts w:ascii="Times New Roman" w:cs="Times New Roman" w:eastAsia="Times New Roman" w:hAnsi="Times New Roman"/>
          <w:sz w:val="20"/>
          <w:szCs w:val="20"/>
          <w:b w:val="1"/>
          <w:bCs w:val="1"/>
          <w:color w:val="auto"/>
        </w:rPr>
      </w:pPr>
    </w:p>
    <w:p>
      <w:pPr>
        <w:jc w:val="both"/>
        <w:ind w:left="340"/>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is administered by M&amp;T’s Employee Benefit Plans Committee (“Administrative Committee”) which is appointed by the Board of Directors of M&amp;T Bank, a wholly owned subsidiary of M&amp;T. The assets of the Plan are held by T. Rowe Price Trust Company (“T. Rowe”), as trustee. T. Rowe Price Retirement Plan Services, Inc. provides recordkeeping services for the Plan. Willis Towers Watson (“WTW”) provides advisory services for Plan investments, as well as providing recommendations related to the investment alternatives offered by the Plan.</w:t>
      </w:r>
    </w:p>
    <w:p>
      <w:pPr>
        <w:spacing w:after="0" w:line="71" w:lineRule="exact"/>
        <w:rPr>
          <w:rFonts w:ascii="Times New Roman" w:cs="Times New Roman" w:eastAsia="Times New Roman" w:hAnsi="Times New Roman"/>
          <w:sz w:val="20"/>
          <w:szCs w:val="20"/>
          <w:b w:val="1"/>
          <w:bCs w:val="1"/>
          <w:color w:val="auto"/>
        </w:rPr>
      </w:pPr>
    </w:p>
    <w:p>
      <w:pPr>
        <w:jc w:val="both"/>
        <w:ind w:left="3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Although the Company has not expressed any intent to terminate, amend, or modify the Plan, it may do so at any time. If contributions are discontinued or the Plan is terminated, affected participants will become fully vested. Upon Plan termination, net assets of the Plan will be distributed in the manner M&amp;T elects in accordance with the Plan document and in accordance with ERISA and its related regulations.</w:t>
      </w:r>
    </w:p>
    <w:p>
      <w:pPr>
        <w:spacing w:after="0" w:line="61" w:lineRule="exact"/>
        <w:rPr>
          <w:rFonts w:ascii="Times New Roman" w:cs="Times New Roman" w:eastAsia="Times New Roman" w:hAnsi="Times New Roman"/>
          <w:sz w:val="20"/>
          <w:szCs w:val="20"/>
          <w:b w:val="1"/>
          <w:bCs w:val="1"/>
          <w:color w:val="auto"/>
        </w:rPr>
      </w:pPr>
    </w:p>
    <w:p>
      <w:pPr>
        <w:ind w:left="3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Contributions</w:t>
      </w:r>
    </w:p>
    <w:p>
      <w:pPr>
        <w:spacing w:after="0" w:line="125" w:lineRule="exact"/>
        <w:rPr>
          <w:rFonts w:ascii="Times New Roman" w:cs="Times New Roman" w:eastAsia="Times New Roman" w:hAnsi="Times New Roman"/>
          <w:sz w:val="20"/>
          <w:szCs w:val="20"/>
          <w:b w:val="1"/>
          <w:bCs w:val="1"/>
          <w:color w:val="auto"/>
        </w:rPr>
      </w:pPr>
    </w:p>
    <w:p>
      <w:pPr>
        <w:jc w:val="both"/>
        <w:ind w:left="340"/>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Contributions to the Plan are made by participants through salary reduction and by the Company through employer matching, DEC and RAA contributions. Employees who are participants may elect to reduce their compensation by a specified whole percentage not to exceed 50% subject to certain limitations under Section 401(k) and Section 415 of the Internal Revenue Code ("IRC"). The Company remits to the Plan on behalf of each participant the amount by which the participant’s compensation is reduced. Contributions may be suspended at any time.</w:t>
      </w:r>
    </w:p>
    <w:p>
      <w:pPr>
        <w:spacing w:after="0" w:line="71" w:lineRule="exact"/>
        <w:rPr>
          <w:rFonts w:ascii="Times New Roman" w:cs="Times New Roman" w:eastAsia="Times New Roman" w:hAnsi="Times New Roman"/>
          <w:sz w:val="20"/>
          <w:szCs w:val="20"/>
          <w:b w:val="1"/>
          <w:bCs w:val="1"/>
          <w:color w:val="auto"/>
        </w:rPr>
      </w:pPr>
    </w:p>
    <w:p>
      <w:pPr>
        <w:jc w:val="both"/>
        <w:ind w:left="34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Compensation is generally defined in the Plan to mean a participant’s base salary and overtime pay, all commissions earned, incentive/bonus payments and before-tax deferral amounts made by participants under IRC Sections 125, 132(f), 402(e)(3), 402(h) and 403(b), but excludes any compensation derived from equity awards.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M&amp;T BANK CORPORATION RETIREMENT SAVINGS PLAN</w:t>
      </w: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 of plan, continued</w:t>
      </w:r>
    </w:p>
    <w:p>
      <w:pPr>
        <w:spacing w:after="0" w:line="125" w:lineRule="exact"/>
        <w:rPr>
          <w:rFonts w:ascii="Times New Roman" w:cs="Times New Roman" w:eastAsia="Times New Roman" w:hAnsi="Times New Roman"/>
          <w:sz w:val="20"/>
          <w:szCs w:val="20"/>
          <w:b w:val="1"/>
          <w:bCs w:val="1"/>
          <w:color w:val="auto"/>
        </w:rPr>
      </w:pPr>
    </w:p>
    <w:p>
      <w:pPr>
        <w:ind w:left="34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Generally, an individual participant’s contributions were subject to Internal Revenue Service ("IRS") limits of $23,500 in 2025 and $23,000 in 2024. Participants are permitted to make Roth after-tax contributions to the Plan, subject to IRS limits.</w:t>
      </w:r>
    </w:p>
    <w:p>
      <w:pPr>
        <w:spacing w:after="0" w:line="51" w:lineRule="exact"/>
        <w:rPr>
          <w:rFonts w:ascii="Times New Roman" w:cs="Times New Roman" w:eastAsia="Times New Roman" w:hAnsi="Times New Roman"/>
          <w:sz w:val="20"/>
          <w:szCs w:val="20"/>
          <w:b w:val="1"/>
          <w:bCs w:val="1"/>
          <w:color w:val="auto"/>
        </w:rPr>
      </w:pPr>
    </w:p>
    <w:p>
      <w:pPr>
        <w:jc w:val="both"/>
        <w:ind w:left="34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When an eligible employee first becomes a participant in the Plan, after six months of continuous service, the employee is automatically deemed to enter into a salary reduction agreement providing for pre-tax contributions of 1% of the employee’s compensation, starting on the first administratively practicable pay date. The contribution percentage will automatically increase by 1% on the first pay date in February after employee contributions start, unless the eligible employee elects to opt out of the salary reduction agreement. If the eligible participant has a salary reduction agreement in effect providing for employee pre-tax contributions at a rate less than 10%, the contribution percentage will automatically increase by 1% on the first practicable pay date in February each year, until the rate reaches 10%.</w:t>
      </w:r>
    </w:p>
    <w:p>
      <w:pPr>
        <w:spacing w:after="0" w:line="87" w:lineRule="exact"/>
        <w:rPr>
          <w:rFonts w:ascii="Times New Roman" w:cs="Times New Roman" w:eastAsia="Times New Roman" w:hAnsi="Times New Roman"/>
          <w:sz w:val="20"/>
          <w:szCs w:val="20"/>
          <w:b w:val="1"/>
          <w:bCs w:val="1"/>
          <w:color w:val="auto"/>
        </w:rPr>
      </w:pPr>
    </w:p>
    <w:p>
      <w:pPr>
        <w:ind w:left="3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Employer matching contributions</w:t>
      </w:r>
    </w:p>
    <w:p>
      <w:pPr>
        <w:spacing w:after="0" w:line="111" w:lineRule="exact"/>
        <w:rPr>
          <w:rFonts w:ascii="Times New Roman" w:cs="Times New Roman" w:eastAsia="Times New Roman" w:hAnsi="Times New Roman"/>
          <w:sz w:val="20"/>
          <w:szCs w:val="20"/>
          <w:b w:val="1"/>
          <w:bCs w:val="1"/>
          <w:color w:val="auto"/>
        </w:rPr>
      </w:pPr>
    </w:p>
    <w:p>
      <w:pPr>
        <w:ind w:left="34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completing six months of employment, the Company will make an employer matching contribution in an amount equal to 100% of the participant’s contributions that do not exceed 5% of compensation for the Plan year.</w:t>
      </w:r>
    </w:p>
    <w:p>
      <w:pPr>
        <w:spacing w:after="0" w:line="60" w:lineRule="exact"/>
        <w:rPr>
          <w:rFonts w:ascii="Times New Roman" w:cs="Times New Roman" w:eastAsia="Times New Roman" w:hAnsi="Times New Roman"/>
          <w:sz w:val="20"/>
          <w:szCs w:val="20"/>
          <w:b w:val="1"/>
          <w:bCs w:val="1"/>
          <w:color w:val="auto"/>
        </w:rPr>
      </w:pPr>
    </w:p>
    <w:p>
      <w:pPr>
        <w:ind w:left="3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Catch-up contributions</w:t>
      </w:r>
    </w:p>
    <w:p>
      <w:pPr>
        <w:spacing w:after="0" w:line="111" w:lineRule="exact"/>
        <w:rPr>
          <w:rFonts w:ascii="Times New Roman" w:cs="Times New Roman" w:eastAsia="Times New Roman" w:hAnsi="Times New Roman"/>
          <w:sz w:val="20"/>
          <w:szCs w:val="20"/>
          <w:b w:val="1"/>
          <w:bCs w:val="1"/>
          <w:color w:val="auto"/>
        </w:rPr>
      </w:pPr>
    </w:p>
    <w:p>
      <w:pPr>
        <w:ind w:left="34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participant who has attained age 50 before the close of the respective Plan year is eligible to make additional unmatched catch-up contributions. The IRS maximum amount of those catch-up contributions was $7,500 at each of 2025 and 2024.</w:t>
      </w:r>
    </w:p>
    <w:p>
      <w:pPr>
        <w:spacing w:after="0" w:line="199" w:lineRule="exact"/>
        <w:rPr>
          <w:rFonts w:ascii="Times New Roman" w:cs="Times New Roman" w:eastAsia="Times New Roman" w:hAnsi="Times New Roman"/>
          <w:sz w:val="20"/>
          <w:szCs w:val="20"/>
          <w:b w:val="1"/>
          <w:bCs w:val="1"/>
          <w:color w:val="auto"/>
        </w:rPr>
      </w:pPr>
    </w:p>
    <w:p>
      <w:pPr>
        <w:jc w:val="both"/>
        <w:ind w:left="340" w:right="2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Effective January 1, 2025, the Company adopted the enhanced catch-up contribution provisions under Section 109 of the SECURE 2.0 Act of 2022 which allows eligible participants ages 60 through 63 to make additional catch-up contributions subject to IRS limits. For 2025, the enhanced catch-up contribution limit was $11,250.</w:t>
      </w:r>
    </w:p>
    <w:p>
      <w:pPr>
        <w:spacing w:after="0" w:line="305" w:lineRule="exact"/>
        <w:rPr>
          <w:rFonts w:ascii="Times New Roman" w:cs="Times New Roman" w:eastAsia="Times New Roman" w:hAnsi="Times New Roman"/>
          <w:sz w:val="20"/>
          <w:szCs w:val="20"/>
          <w:b w:val="1"/>
          <w:bCs w:val="1"/>
          <w:color w:val="auto"/>
        </w:rPr>
      </w:pPr>
    </w:p>
    <w:p>
      <w:pPr>
        <w:ind w:left="3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Employer Retirement Accumulation Account and Discretionary Employer Contributions</w:t>
      </w:r>
    </w:p>
    <w:p>
      <w:pPr>
        <w:spacing w:after="0" w:line="125" w:lineRule="exact"/>
        <w:rPr>
          <w:rFonts w:ascii="Times New Roman" w:cs="Times New Roman" w:eastAsia="Times New Roman" w:hAnsi="Times New Roman"/>
          <w:sz w:val="20"/>
          <w:szCs w:val="20"/>
          <w:b w:val="1"/>
          <w:bCs w:val="1"/>
          <w:color w:val="auto"/>
        </w:rPr>
      </w:pPr>
    </w:p>
    <w:p>
      <w:pPr>
        <w:jc w:val="both"/>
        <w:ind w:left="340"/>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each Plan year for employees hired before January 1, 2020, the Company will contribute on behalf of each eligible participant a percentage of each participant’s compensation. An eligible participant is entitled to receive an RAA contribution if they (1) satisfy the Plan’s eligibility requirements; (2) are credited with at least 1,000 hours of service during the Plan year; (3) are an active employee of the Company on the last day of the Plan year; and (4) do not participate in the M&amp;T defined benefit pension plan if hired prior to July 2, 2004. An eligible participant that has retired during the Plan year is not required to satisfy conditions (2) and (3) in the preceding sentence. The percentage contributed by the Company is based on the years of vesting service credited to the participant. The RAA contribution will be made as soon as practicable after the close of the Plan year. RAA contributions are invested in the available investment alternatives in the proportion elected by the participants.</w:t>
      </w:r>
    </w:p>
    <w:p>
      <w:pPr>
        <w:spacing w:after="0" w:line="77" w:lineRule="exact"/>
        <w:rPr>
          <w:rFonts w:ascii="Times New Roman" w:cs="Times New Roman" w:eastAsia="Times New Roman" w:hAnsi="Times New Roman"/>
          <w:sz w:val="20"/>
          <w:szCs w:val="20"/>
          <w:b w:val="1"/>
          <w:bCs w:val="1"/>
          <w:color w:val="auto"/>
        </w:rPr>
      </w:pPr>
    </w:p>
    <w:p>
      <w:pPr>
        <w:jc w:val="both"/>
        <w:ind w:left="3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participants hired after December 31, 2019, eligible participants may receive the DEC if they (1) are not eligible to accrue benefits for the Plan year under the M&amp;T Bank Corporation Pension Plan; (2) are not eligible to receive an RAA contribution; (3) complete at least 1,000 hours of service during the Plan year; (4) are an employee of M&amp;T Bank as of the last day of the Plan year; and (5) satisfy the Plan’s other eligibility requirements. The DEC for a Plan year will be a uniform percentage of each Discretionary Participant’s Benefit Compensation for the Plan year, excluding benefit compensation earned before becoming a Discretionary participant. The DEC must be made by the due date of the M&amp;T Bank’s federal income tax return for the Plan Year to which the DEC relates and will be allocated as of the last day of such Plan year.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M&amp;T BANK CORPORATION RETIREMENT SAVINGS PLAN</w:t>
      </w: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right="8360" w:hanging="332"/>
        <w:spacing w:after="0" w:line="380" w:lineRule="auto"/>
        <w:tabs>
          <w:tab w:leader="none" w:pos="340" w:val="left"/>
        </w:tabs>
        <w:numPr>
          <w:ilvl w:val="0"/>
          <w:numId w:val="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Description of plan, continued Rollover contributions</w:t>
      </w:r>
    </w:p>
    <w:p>
      <w:pPr>
        <w:ind w:left="340"/>
        <w:spacing w:after="0" w:line="269"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Employees may also contribute amounts representing rollover distributions from other qualified defined contribution and benefit plans at any time during their employment.</w:t>
      </w:r>
    </w:p>
    <w:p>
      <w:pPr>
        <w:spacing w:after="0" w:line="47" w:lineRule="exact"/>
        <w:rPr>
          <w:rFonts w:ascii="Times New Roman" w:cs="Times New Roman" w:eastAsia="Times New Roman" w:hAnsi="Times New Roman"/>
          <w:sz w:val="19"/>
          <w:szCs w:val="19"/>
          <w:b w:val="1"/>
          <w:bCs w:val="1"/>
          <w:color w:val="auto"/>
        </w:rPr>
      </w:pPr>
    </w:p>
    <w:p>
      <w:pPr>
        <w:ind w:left="34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Participant accounts</w:t>
      </w:r>
    </w:p>
    <w:p>
      <w:pPr>
        <w:spacing w:after="0" w:line="125" w:lineRule="exact"/>
        <w:rPr>
          <w:rFonts w:ascii="Times New Roman" w:cs="Times New Roman" w:eastAsia="Times New Roman" w:hAnsi="Times New Roman"/>
          <w:sz w:val="19"/>
          <w:szCs w:val="19"/>
          <w:b w:val="1"/>
          <w:bCs w:val="1"/>
          <w:color w:val="auto"/>
        </w:rPr>
      </w:pPr>
    </w:p>
    <w:p>
      <w:pPr>
        <w:jc w:val="both"/>
        <w:ind w:left="340"/>
        <w:spacing w:after="0" w:line="254"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Each participant’s account is credited with the participant’s contributions, employer contributions (as applicable), and allocations of Plan earnings or losses. Participant accounts are also charged with an allocation of administrative expenses. Allocations are based upon participant earnings or account balances as defined in the Plan document. The benefit to which a participant is entitled is the benefit that can be provided from the participant’s vested account.</w:t>
      </w:r>
    </w:p>
    <w:p>
      <w:pPr>
        <w:spacing w:after="0" w:line="48" w:lineRule="exact"/>
        <w:rPr>
          <w:rFonts w:ascii="Times New Roman" w:cs="Times New Roman" w:eastAsia="Times New Roman" w:hAnsi="Times New Roman"/>
          <w:sz w:val="19"/>
          <w:szCs w:val="19"/>
          <w:b w:val="1"/>
          <w:bCs w:val="1"/>
          <w:color w:val="auto"/>
        </w:rPr>
      </w:pPr>
    </w:p>
    <w:p>
      <w:pPr>
        <w:ind w:left="34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Vesting</w:t>
      </w:r>
    </w:p>
    <w:p>
      <w:pPr>
        <w:spacing w:after="0" w:line="98" w:lineRule="exact"/>
        <w:rPr>
          <w:rFonts w:ascii="Times New Roman" w:cs="Times New Roman" w:eastAsia="Times New Roman" w:hAnsi="Times New Roman"/>
          <w:sz w:val="19"/>
          <w:szCs w:val="19"/>
          <w:b w:val="1"/>
          <w:bCs w:val="1"/>
          <w:color w:val="auto"/>
        </w:rPr>
      </w:pPr>
    </w:p>
    <w:p>
      <w:pPr>
        <w:jc w:val="both"/>
        <w:ind w:left="340"/>
        <w:spacing w:after="0" w:line="249"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Participants’ accounts are at all times fully vested and nonforfeitable, with the exception of DEC and RAA contributions plus earnings thereon. Participants become fully vested in their DEC and RAA contributions after completion of five years of vesting service, death, or when normal retirement age is reached while employed by the Company. Normal retirement age is the later of age 65 and the fifth anniversary of the date the participant began participation in the Plan. Participants vest in their DEC and RAA contributions as follows:</w:t>
      </w:r>
    </w:p>
    <w:p>
      <w:pPr>
        <w:spacing w:after="0" w:line="126" w:lineRule="exact"/>
        <w:rPr>
          <w:sz w:val="20"/>
          <w:szCs w:val="20"/>
          <w:color w:val="auto"/>
        </w:rPr>
      </w:pPr>
    </w:p>
    <w:tbl>
      <w:tblPr>
        <w:tblLayout w:type="fixed"/>
        <w:tblInd w:w="1640" w:type="dxa"/>
        <w:tblCellMar>
          <w:top w:w="0" w:type="dxa"/>
          <w:left w:w="0" w:type="dxa"/>
          <w:bottom w:w="0" w:type="dxa"/>
          <w:right w:w="0" w:type="dxa"/>
        </w:tblCellMar>
      </w:tblPr>
      <w:tr>
        <w:trPr>
          <w:trHeight w:val="262"/>
        </w:trPr>
        <w:tc>
          <w:tcPr>
            <w:tcW w:w="1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Vesting service</w:t>
            </w:r>
          </w:p>
        </w:tc>
        <w:tc>
          <w:tcPr>
            <w:tcW w:w="2220" w:type="dxa"/>
            <w:vAlign w:val="bottom"/>
          </w:tcPr>
          <w:p>
            <w:pPr>
              <w:spacing w:after="0"/>
              <w:rPr>
                <w:sz w:val="22"/>
                <w:szCs w:val="22"/>
                <w:color w:val="auto"/>
              </w:rPr>
            </w:pPr>
          </w:p>
        </w:tc>
        <w:tc>
          <w:tcPr>
            <w:tcW w:w="1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Vested percentage</w:t>
            </w:r>
          </w:p>
        </w:tc>
      </w:tr>
      <w:tr>
        <w:trPr>
          <w:trHeight w:val="501"/>
        </w:trPr>
        <w:tc>
          <w:tcPr>
            <w:tcW w:w="3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Less than 2 years</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0%</w:t>
            </w:r>
          </w:p>
        </w:tc>
      </w:tr>
      <w:tr>
        <w:trPr>
          <w:trHeight w:val="256"/>
        </w:trPr>
        <w:tc>
          <w:tcPr>
            <w:tcW w:w="3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 years</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r>
      <w:tr>
        <w:trPr>
          <w:trHeight w:val="257"/>
        </w:trPr>
        <w:tc>
          <w:tcPr>
            <w:tcW w:w="3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3 years</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r>
      <w:tr>
        <w:trPr>
          <w:trHeight w:val="257"/>
        </w:trPr>
        <w:tc>
          <w:tcPr>
            <w:tcW w:w="3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4 years</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60%</w:t>
            </w:r>
          </w:p>
        </w:tc>
      </w:tr>
      <w:tr>
        <w:trPr>
          <w:trHeight w:val="258"/>
        </w:trPr>
        <w:tc>
          <w:tcPr>
            <w:tcW w:w="3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5 years</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bl>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Forfeitures</w:t>
      </w:r>
    </w:p>
    <w:p>
      <w:pPr>
        <w:spacing w:after="0" w:line="125"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20"/>
          <w:szCs w:val="20"/>
          <w:color w:val="auto"/>
        </w:rPr>
        <w:t>Forfeitures represent the DECs and RAAs of participants who have terminated employment with the Company and do not have a 100% non-forfeitable right in their DEC or RAA. Forfeitures are used first to restore participant accounts that are required to be reinstated pursuant to the provisions of the Plan. At the discretion of the Administrative Committee, any remaining forfeitures may be used to reduce employer contributions (including DEC and RAA contributions). Employer contributions were reduced by $2.2 million and $1.4 million from the forfeiture account during 2025 and 2024, respectively.</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Investment programs</w:t>
      </w:r>
    </w:p>
    <w:p>
      <w:pPr>
        <w:spacing w:after="0" w:line="112" w:lineRule="exact"/>
        <w:rPr>
          <w:sz w:val="20"/>
          <w:szCs w:val="20"/>
          <w:color w:val="auto"/>
        </w:rPr>
      </w:pPr>
    </w:p>
    <w:p>
      <w:pPr>
        <w:jc w:val="both"/>
        <w:ind w:left="340"/>
        <w:spacing w:after="0" w:line="283" w:lineRule="auto"/>
        <w:rPr>
          <w:sz w:val="20"/>
          <w:szCs w:val="20"/>
          <w:color w:val="auto"/>
        </w:rPr>
      </w:pPr>
      <w:r>
        <w:rPr>
          <w:rFonts w:ascii="Times New Roman" w:cs="Times New Roman" w:eastAsia="Times New Roman" w:hAnsi="Times New Roman"/>
          <w:sz w:val="20"/>
          <w:szCs w:val="20"/>
          <w:color w:val="auto"/>
        </w:rPr>
        <w:t>Participants may direct the investment of their plan balances in 1% increments in any of several investment alternatives, which include mutual funds, common trust funds, a stable value fund and the common stock of M&amp;T.</w:t>
      </w:r>
    </w:p>
    <w:p>
      <w:pPr>
        <w:spacing w:after="0" w:line="3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20"/>
          <w:szCs w:val="20"/>
          <w:color w:val="auto"/>
        </w:rPr>
        <w:t>Participants may, in accordance with the rules of the Plan, transfer existing balances among the available investment alternatives and/or redirect their current contributions into different investment alternatives at any time. A participant may increase or decrease, at any time, the percentage of salary reduction elected, effective the first day of each payroll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M&amp;T BANK CORPORATION RETIREMENT SAVINGS PLAN</w:t>
      </w: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right="8360" w:hanging="332"/>
        <w:spacing w:after="0" w:line="358" w:lineRule="auto"/>
        <w:tabs>
          <w:tab w:leader="none" w:pos="340" w:val="left"/>
        </w:tabs>
        <w:numPr>
          <w:ilvl w:val="0"/>
          <w:numId w:val="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Description of plan, continued Notes to participants</w:t>
      </w:r>
    </w:p>
    <w:p>
      <w:pPr>
        <w:jc w:val="both"/>
        <w:ind w:left="340"/>
        <w:spacing w:after="0" w:line="248"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 xml:space="preserve">Participants may borrow from their account (other than the portion attributable to DEC and RAA contributions) an amount not to exceed the lesser of (1) 50% of the participant’s vested account balance as of the most recent valuation date or (2) $50,000 reduced by the participant’s highest outstanding loan balance in the twelve months prior to the date of loan origination. The minimum loan amount is $1,000. A participant may have only one loan outstanding at any time. Loans bear interest at one percentage point above the prime rate published by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on the date the loan is processed. Loans are repaid in equal installments through after-tax payroll deductions for a period of up to five years, except for certain loans formerly associated with acquired plans, which allowed loan terms greater than five years under certain circumstances. Participants are charged a one-time $50 administrative fee for each new loan processed, which is deducted from the loan proceeds and has been included in Participant withdrawals and distributions in the Statement of Changes in Net Assets Available for Benefits.</w:t>
      </w:r>
    </w:p>
    <w:p>
      <w:pPr>
        <w:spacing w:after="0" w:line="71" w:lineRule="exact"/>
        <w:rPr>
          <w:rFonts w:ascii="Times New Roman" w:cs="Times New Roman" w:eastAsia="Times New Roman" w:hAnsi="Times New Roman"/>
          <w:sz w:val="19"/>
          <w:szCs w:val="19"/>
          <w:b w:val="1"/>
          <w:bCs w:val="1"/>
          <w:color w:val="auto"/>
        </w:rPr>
      </w:pPr>
    </w:p>
    <w:p>
      <w:pPr>
        <w:ind w:left="34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Withdrawals and distributions</w:t>
      </w:r>
    </w:p>
    <w:p>
      <w:pPr>
        <w:spacing w:after="0" w:line="111" w:lineRule="exact"/>
        <w:rPr>
          <w:rFonts w:ascii="Times New Roman" w:cs="Times New Roman" w:eastAsia="Times New Roman" w:hAnsi="Times New Roman"/>
          <w:sz w:val="19"/>
          <w:szCs w:val="19"/>
          <w:b w:val="1"/>
          <w:bCs w:val="1"/>
          <w:color w:val="auto"/>
        </w:rPr>
      </w:pPr>
    </w:p>
    <w:p>
      <w:pPr>
        <w:jc w:val="both"/>
        <w:ind w:left="340"/>
        <w:spacing w:after="0" w:line="24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A participant who has attained age 59-1/2 or is undergoing financial hardship may make withdrawals from the Plan, subject to Plan limitations. Upon termination of employment for any reason, participants are entitled to a distribution of the full amount of vested individual account balances as of the valuation date immediately following such termination of service. Such participants have the option of receiving distributions in the form of installments, partial distributions, lump-sum payments or by rollover contribution to other qualified plans. Participants also have the option to keep their balance invested in the Plan, provided the balance exceeds $5,000. Balances less than $5,000 are subject to mandatory distribution. Mandatory distributions that exceed $1,000 but are less than $5,000 (excluding rollover contributions) are automatically rolled over into an individual retirement account unless otherwise directed by the participant. Distributions equal to $1,000 or less are automatically made by lump-sum payment less the mandatory 20% federal income tax withholding, unless otherwise elected within 90 days following termination. The non-vested portion of a participant’s RAA or DEC is forfeited upon termination. A participant can defer distribution from the Plan until no later than April 1 of the calendar year following the year in which age 73 is attained, and later to age 75 starting January 1, 2033, at which time distributions to satisfy IRC Section 401(a)(9) will occur. If a participant terminates employment after that date, distribution is made as soon as administratively practicable following termination of employment.</w:t>
      </w:r>
    </w:p>
    <w:p>
      <w:pPr>
        <w:spacing w:after="0" w:line="77" w:lineRule="exact"/>
        <w:rPr>
          <w:rFonts w:ascii="Times New Roman" w:cs="Times New Roman" w:eastAsia="Times New Roman" w:hAnsi="Times New Roman"/>
          <w:sz w:val="19"/>
          <w:szCs w:val="19"/>
          <w:b w:val="1"/>
          <w:bCs w:val="1"/>
          <w:color w:val="auto"/>
        </w:rPr>
      </w:pPr>
    </w:p>
    <w:p>
      <w:pPr>
        <w:ind w:left="34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ESOP provisions</w:t>
      </w:r>
    </w:p>
    <w:p>
      <w:pPr>
        <w:spacing w:after="0" w:line="111" w:lineRule="exact"/>
        <w:rPr>
          <w:rFonts w:ascii="Times New Roman" w:cs="Times New Roman" w:eastAsia="Times New Roman" w:hAnsi="Times New Roman"/>
          <w:sz w:val="19"/>
          <w:szCs w:val="19"/>
          <w:b w:val="1"/>
          <w:bCs w:val="1"/>
          <w:color w:val="auto"/>
        </w:rPr>
      </w:pPr>
    </w:p>
    <w:p>
      <w:pPr>
        <w:jc w:val="both"/>
        <w:ind w:left="340"/>
        <w:spacing w:after="0" w:line="25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A participant entitled to a distribution who has directed that some or all of their balance be invested in common stock of M&amp;T has the right to elect the distribution in the form of M&amp;T common stock. A participant may also elect to receive a distribution of dividends paid on shares of M&amp;T common stock held in the Plan and allocated to the participant’s account. Dividends will be distributed quarterly as soon as administratively practicable after the dividends are paid to the Plan. If no election is made, dividends will be reinvested in the common stock of M&amp;T.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M&amp;T BANK CORPORATION RETIREMENT SAVINGS PLAN</w:t>
      </w: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right="7400" w:hanging="332"/>
        <w:spacing w:after="0" w:line="347" w:lineRule="auto"/>
        <w:tabs>
          <w:tab w:leader="none" w:pos="214"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Basis of accounting</w:t>
      </w:r>
    </w:p>
    <w:p>
      <w:pPr>
        <w:jc w:val="both"/>
        <w:ind w:left="340"/>
        <w:spacing w:after="0" w:line="269" w:lineRule="auto"/>
        <w:rPr>
          <w:sz w:val="20"/>
          <w:szCs w:val="20"/>
          <w:color w:val="auto"/>
        </w:rPr>
      </w:pPr>
      <w:r>
        <w:rPr>
          <w:rFonts w:ascii="Times New Roman" w:cs="Times New Roman" w:eastAsia="Times New Roman" w:hAnsi="Times New Roman"/>
          <w:sz w:val="20"/>
          <w:szCs w:val="20"/>
          <w:color w:val="auto"/>
        </w:rPr>
        <w:t>The financial statements of the Plan are prepared under the accrual method of accounting in accordance with accounting principles generally accepted in the United States of America (“GAAP”).</w:t>
      </w: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1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the Administrative Committee to make estimates and assumptions that affect the reported amounts of net assets and liabilities and changes therein. Actual results could differ from those estimates.</w:t>
      </w:r>
    </w:p>
    <w:p>
      <w:pPr>
        <w:spacing w:after="0" w:line="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Investment valuation and income recognition</w:t>
      </w:r>
    </w:p>
    <w:p>
      <w:pPr>
        <w:spacing w:after="0" w:line="112"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20"/>
          <w:szCs w:val="20"/>
          <w:color w:val="auto"/>
        </w:rPr>
        <w:t>Investments in common stock and mutual funds are reported at fair value. Investments in the common trust funds are reported at Net Asset Value (“NAV”) as a practical expedient to estimate fair value. Information on fair value measurements is provided in note 3. During 2025, the Plan introduced a stable value fund as a new investment option for participants, which is reported at contract value. Information on investment contracts is provided in note 4. Investment income of M&amp;T common stock, the common trust funds, the stable value fund and each mutual fund is allocated to participants based on their proportionate share of the net assets of the respective investment alternative. Interest income on loans to participants is allocated to participants based on their respective loan agreement.</w:t>
      </w:r>
    </w:p>
    <w:p>
      <w:pPr>
        <w:spacing w:after="0" w:line="69" w:lineRule="exact"/>
        <w:rPr>
          <w:sz w:val="20"/>
          <w:szCs w:val="20"/>
          <w:color w:val="auto"/>
        </w:rPr>
      </w:pPr>
    </w:p>
    <w:p>
      <w:pPr>
        <w:jc w:val="both"/>
        <w:ind w:left="340" w:right="20"/>
        <w:spacing w:after="0" w:line="269" w:lineRule="auto"/>
        <w:rPr>
          <w:sz w:val="20"/>
          <w:szCs w:val="20"/>
          <w:color w:val="auto"/>
        </w:rPr>
      </w:pPr>
      <w:r>
        <w:rPr>
          <w:rFonts w:ascii="Times New Roman" w:cs="Times New Roman" w:eastAsia="Times New Roman" w:hAnsi="Times New Roman"/>
          <w:sz w:val="20"/>
          <w:szCs w:val="20"/>
          <w:color w:val="auto"/>
        </w:rPr>
        <w:t>Purchases and sales of securities are reflected on a trade-date basis. Interest income is recorded on the accrual basis. Dividend income is recorded on the ex-dividend date.</w:t>
      </w:r>
    </w:p>
    <w:p>
      <w:pPr>
        <w:spacing w:after="0" w:line="65" w:lineRule="exact"/>
        <w:rPr>
          <w:sz w:val="20"/>
          <w:szCs w:val="20"/>
          <w:color w:val="auto"/>
        </w:rPr>
      </w:pPr>
    </w:p>
    <w:p>
      <w:pPr>
        <w:jc w:val="both"/>
        <w:ind w:left="340"/>
        <w:spacing w:after="0" w:line="269" w:lineRule="auto"/>
        <w:rPr>
          <w:sz w:val="20"/>
          <w:szCs w:val="20"/>
          <w:color w:val="auto"/>
        </w:rPr>
      </w:pPr>
      <w:r>
        <w:rPr>
          <w:rFonts w:ascii="Times New Roman" w:cs="Times New Roman" w:eastAsia="Times New Roman" w:hAnsi="Times New Roman"/>
          <w:sz w:val="20"/>
          <w:szCs w:val="20"/>
          <w:color w:val="auto"/>
        </w:rPr>
        <w:t>The Plan presents in the Statement of Changes in Net Assets Available for Benefits the net appreciation in the fair value of its investments, which consists of realized gains and losses and the change in unrealized appreciation on investments.</w:t>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Notes receivable from participants</w:t>
      </w:r>
    </w:p>
    <w:p>
      <w:pPr>
        <w:spacing w:after="0" w:line="112" w:lineRule="exact"/>
        <w:rPr>
          <w:sz w:val="20"/>
          <w:szCs w:val="20"/>
          <w:color w:val="auto"/>
        </w:rPr>
      </w:pPr>
    </w:p>
    <w:p>
      <w:pPr>
        <w:jc w:val="both"/>
        <w:ind w:left="340"/>
        <w:spacing w:after="0" w:line="283"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Delinquent participant loans are reclassified as distributions based upon the terms of the plan document.</w:t>
      </w: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Administrative expenses</w:t>
      </w:r>
    </w:p>
    <w:p>
      <w:pPr>
        <w:spacing w:after="0" w:line="112"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20"/>
          <w:szCs w:val="20"/>
          <w:color w:val="auto"/>
        </w:rPr>
        <w:t>The Plan’s expenses are paid by either the Plan or the Company, as provided by the Plan document. Expenses that are paid directly by the Company are excluded from these financial statements. In addition, certain investment-related expenses are included in Net appreciation in fair value of investments presented in the accompanying Statement of Changes in Net Assets Available for Benefits. Fees related to the administration of notes receivable from participants are charged directly to the participant’s account and are reflected as a reduction in plan assets. Brokerage commissions for acquiring or selling securities are paid by the Plan.</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Participant benefits and withdrawals</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M&amp;T BANK CORPORATION RETIREMENT SAVINGS PLAN</w:t>
      </w: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Fair value measurements</w:t>
      </w:r>
    </w:p>
    <w:p>
      <w:pPr>
        <w:spacing w:after="0" w:line="11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20"/>
          <w:szCs w:val="20"/>
          <w:color w:val="auto"/>
        </w:rPr>
        <w:t>GAAP defines fair value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100" w:lineRule="exact"/>
        <w:rPr>
          <w:sz w:val="20"/>
          <w:szCs w:val="20"/>
          <w:color w:val="auto"/>
        </w:rPr>
      </w:pPr>
    </w:p>
    <w:p>
      <w:pPr>
        <w:ind w:left="960" w:hanging="237"/>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w:t>
      </w:r>
      <w:r>
        <w:rPr>
          <w:rFonts w:ascii="Times New Roman" w:cs="Times New Roman" w:eastAsia="Times New Roman" w:hAnsi="Times New Roman"/>
          <w:sz w:val="19"/>
          <w:szCs w:val="19"/>
          <w:color w:val="auto"/>
        </w:rPr>
        <w:t>Valuation is based on quoted prices in active markets for identical assets and liabilities.</w:t>
      </w:r>
    </w:p>
    <w:p>
      <w:pPr>
        <w:spacing w:after="0" w:line="296" w:lineRule="exact"/>
        <w:rPr>
          <w:rFonts w:ascii="Times New Roman" w:cs="Times New Roman" w:eastAsia="Times New Roman" w:hAnsi="Times New Roman"/>
          <w:sz w:val="20"/>
          <w:szCs w:val="20"/>
          <w:color w:val="auto"/>
        </w:rPr>
      </w:pPr>
    </w:p>
    <w:p>
      <w:pPr>
        <w:ind w:left="2160" w:right="860" w:hanging="1437"/>
        <w:spacing w:after="0" w:line="230" w:lineRule="auto"/>
        <w:tabs>
          <w:tab w:leader="none" w:pos="97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56" w:lineRule="exact"/>
        <w:rPr>
          <w:rFonts w:ascii="Times New Roman" w:cs="Times New Roman" w:eastAsia="Times New Roman" w:hAnsi="Times New Roman"/>
          <w:sz w:val="20"/>
          <w:szCs w:val="20"/>
          <w:color w:val="auto"/>
        </w:rPr>
      </w:pPr>
    </w:p>
    <w:p>
      <w:pPr>
        <w:ind w:left="2160" w:right="840" w:hanging="1437"/>
        <w:spacing w:after="0" w:line="230" w:lineRule="auto"/>
        <w:tabs>
          <w:tab w:leader="none" w:pos="97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3Valuation is derived from model-based and other techniques in which at least one significant input is unobservable and which may be based on the Plan’s own estimates about the assumptions that market participants would use to value the asset or liability.</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20"/>
          <w:szCs w:val="20"/>
          <w:color w:val="auto"/>
        </w:rPr>
        <w:t>Assets and liabilities are classified within the fair value hierarchy based upon the lowest level classification of an input that is considered significant to the overall valuation. In general, the valuation techniques used attempt to maximize the use of observable inputs and minimize the use of unobservable inputs.</w:t>
      </w:r>
    </w:p>
    <w:p>
      <w:pPr>
        <w:spacing w:after="0" w:line="60"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20"/>
          <w:szCs w:val="20"/>
          <w:color w:val="auto"/>
        </w:rPr>
        <w:t>The valuation methodologies described below may produce a fair value calculation that may not be indicative of net realizable value or reflective of future fair values. Furthermore, although the Administrative Committee believes the Plan’s valuation methods are appropriate and consistent with other market participants, the use of different methodologies or assumptions to determine the fair value of certain financial instruments could result in a different fair value measurement at the end of the Plan year.</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following is a description of the valuation methodologies used for assets measured at fair value:</w:t>
      </w:r>
    </w:p>
    <w:p>
      <w:pPr>
        <w:spacing w:after="0" w:line="108" w:lineRule="exact"/>
        <w:rPr>
          <w:sz w:val="20"/>
          <w:szCs w:val="20"/>
          <w:color w:val="auto"/>
        </w:rPr>
      </w:pPr>
    </w:p>
    <w:p>
      <w:pPr>
        <w:ind w:left="900" w:right="20" w:hanging="244"/>
        <w:spacing w:after="0" w:line="283" w:lineRule="auto"/>
        <w:tabs>
          <w:tab w:leader="none" w:pos="89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M&amp;T Bank Corporation common stock is valued at the closing price reported on the active market on which the stock is traded and therefore classified as Level 1.</w:t>
      </w:r>
    </w:p>
    <w:p>
      <w:pPr>
        <w:spacing w:after="0" w:line="38" w:lineRule="exact"/>
        <w:rPr>
          <w:rFonts w:ascii="Times New Roman" w:cs="Times New Roman" w:eastAsia="Times New Roman" w:hAnsi="Times New Roman"/>
          <w:sz w:val="20"/>
          <w:szCs w:val="20"/>
          <w:color w:val="auto"/>
        </w:rPr>
      </w:pPr>
    </w:p>
    <w:p>
      <w:pPr>
        <w:jc w:val="both"/>
        <w:ind w:left="900" w:hanging="244"/>
        <w:spacing w:after="0" w:line="261" w:lineRule="auto"/>
        <w:tabs>
          <w:tab w:leader="none" w:pos="89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Mutual funds are valued at the daily closing prices as reported by the fund. Mutual funds held by the Plan are open-ended funds that are registered with the U.S. Securities and Exchange Commission. These funds are required to publish their daily NAV and transact at that price. The mutual funds held by the Plan are deemed to be actively traded and therefore classified as Level 1.</w:t>
      </w:r>
    </w:p>
    <w:p>
      <w:pPr>
        <w:spacing w:after="0" w:line="59" w:lineRule="exact"/>
        <w:rPr>
          <w:rFonts w:ascii="Times New Roman" w:cs="Times New Roman" w:eastAsia="Times New Roman" w:hAnsi="Times New Roman"/>
          <w:sz w:val="20"/>
          <w:szCs w:val="20"/>
          <w:color w:val="auto"/>
        </w:rPr>
      </w:pPr>
    </w:p>
    <w:p>
      <w:pPr>
        <w:jc w:val="both"/>
        <w:ind w:left="900" w:hanging="244"/>
        <w:spacing w:after="0" w:line="254" w:lineRule="auto"/>
        <w:tabs>
          <w:tab w:leader="none" w:pos="89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Common trust funds are valued at the NAV of units of a bank collective trust. The NAV, as provided by the trustee, is used as a practical expedient to estimate fair value. The NAV is based on the fair value of the underlying investments held by the fund less its liabilities. This practical expedient is not used when it is determined to be probable that the fund will sell the investment for an amount different from the reported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M&amp;T BANK CORPORATION RETIREMENT SAVINGS PLAN</w:t>
      </w: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Fair value measurements, continued</w:t>
      </w:r>
    </w:p>
    <w:p>
      <w:pPr>
        <w:spacing w:after="0" w:line="112" w:lineRule="exact"/>
        <w:rPr>
          <w:sz w:val="20"/>
          <w:szCs w:val="20"/>
          <w:color w:val="auto"/>
        </w:rPr>
      </w:pPr>
    </w:p>
    <w:p>
      <w:pPr>
        <w:ind w:left="340" w:right="20"/>
        <w:spacing w:after="0" w:line="283" w:lineRule="auto"/>
        <w:rPr>
          <w:sz w:val="20"/>
          <w:szCs w:val="20"/>
          <w:color w:val="auto"/>
        </w:rPr>
      </w:pPr>
      <w:r>
        <w:rPr>
          <w:rFonts w:ascii="Times New Roman" w:cs="Times New Roman" w:eastAsia="Times New Roman" w:hAnsi="Times New Roman"/>
          <w:sz w:val="20"/>
          <w:szCs w:val="20"/>
          <w:color w:val="auto"/>
        </w:rPr>
        <w:t>The following tables present the Plan’s investments at December 31, 2025 and 2024 measured at estimated fair value on a recurring basis:</w:t>
      </w:r>
    </w:p>
    <w:p>
      <w:pPr>
        <w:spacing w:after="0" w:line="31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20" w:type="dxa"/>
            <w:vAlign w:val="bottom"/>
          </w:tcPr>
          <w:p>
            <w:pPr>
              <w:spacing w:after="0"/>
              <w:rPr>
                <w:sz w:val="19"/>
                <w:szCs w:val="19"/>
                <w:color w:val="auto"/>
              </w:rPr>
            </w:pPr>
          </w:p>
        </w:tc>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320" w:type="dxa"/>
            <w:vAlign w:val="bottom"/>
          </w:tcPr>
          <w:p>
            <w:pPr>
              <w:spacing w:after="0"/>
              <w:rPr>
                <w:sz w:val="19"/>
                <w:szCs w:val="19"/>
                <w:color w:val="auto"/>
              </w:rPr>
            </w:pP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154"/>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20" w:type="dxa"/>
            <w:vAlign w:val="bottom"/>
          </w:tcPr>
          <w:p>
            <w:pPr>
              <w:spacing w:after="0"/>
              <w:rPr>
                <w:sz w:val="13"/>
                <w:szCs w:val="13"/>
                <w:color w:val="auto"/>
              </w:rPr>
            </w:pPr>
          </w:p>
        </w:tc>
        <w:tc>
          <w:tcPr>
            <w:tcW w:w="1720" w:type="dxa"/>
            <w:vAlign w:val="bottom"/>
            <w:vMerge w:val="restart"/>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Measurements</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940" w:type="dxa"/>
            <w:vAlign w:val="bottom"/>
            <w:gridSpan w:val="2"/>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9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94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0"/>
                <w:szCs w:val="20"/>
                <w:color w:val="auto"/>
              </w:rPr>
              <w:t>M&amp;T Bank Corporation</w:t>
            </w:r>
          </w:p>
        </w:tc>
        <w:tc>
          <w:tcPr>
            <w:tcW w:w="2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447,557</w:t>
            </w:r>
          </w:p>
        </w:tc>
        <w:tc>
          <w:tcPr>
            <w:tcW w:w="54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447,557</w:t>
            </w:r>
          </w:p>
        </w:tc>
        <w:tc>
          <w:tcPr>
            <w:tcW w:w="160" w:type="dxa"/>
            <w:vAlign w:val="bottom"/>
          </w:tcPr>
          <w:p>
            <w:pPr>
              <w:spacing w:after="0"/>
              <w:rPr>
                <w:sz w:val="18"/>
                <w:szCs w:val="18"/>
                <w:color w:val="auto"/>
              </w:rPr>
            </w:pPr>
          </w:p>
        </w:tc>
        <w:tc>
          <w:tcPr>
            <w:tcW w:w="3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vMerge w:val="restart"/>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3"/>
        </w:trPr>
        <w:tc>
          <w:tcPr>
            <w:tcW w:w="2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common stock</w:t>
            </w:r>
          </w:p>
        </w:tc>
        <w:tc>
          <w:tcPr>
            <w:tcW w:w="22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Mutual funds</w:t>
            </w:r>
          </w:p>
        </w:tc>
        <w:tc>
          <w:tcPr>
            <w:tcW w:w="2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46,028</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46,028</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32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493,585</w:t>
            </w:r>
          </w:p>
        </w:tc>
        <w:tc>
          <w:tcPr>
            <w:tcW w:w="1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493,585</w:t>
            </w:r>
          </w:p>
        </w:tc>
        <w:tc>
          <w:tcPr>
            <w:tcW w:w="1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
        </w:trPr>
        <w:tc>
          <w:tcPr>
            <w:tcW w:w="2940" w:type="dxa"/>
            <w:vAlign w:val="bottom"/>
            <w:gridSpan w:val="2"/>
            <w:vMerge w:val="restart"/>
          </w:tcPr>
          <w:p>
            <w:pPr>
              <w:ind w:left="20"/>
              <w:spacing w:after="0" w:line="200" w:lineRule="exact"/>
              <w:rPr>
                <w:sz w:val="20"/>
                <w:szCs w:val="20"/>
                <w:color w:val="auto"/>
              </w:rPr>
            </w:pPr>
            <w:r>
              <w:rPr>
                <w:rFonts w:ascii="Times New Roman" w:cs="Times New Roman" w:eastAsia="Times New Roman" w:hAnsi="Times New Roman"/>
                <w:sz w:val="20"/>
                <w:szCs w:val="20"/>
                <w:color w:val="auto"/>
              </w:rPr>
              <w:t>Investments measured</w:t>
            </w:r>
          </w:p>
        </w:tc>
        <w:tc>
          <w:tcPr>
            <w:tcW w:w="22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4,906,848</w:t>
            </w: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9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at NAV (a) (b)</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5,400,433</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20" w:type="dxa"/>
            <w:vAlign w:val="bottom"/>
          </w:tcPr>
          <w:p>
            <w:pPr>
              <w:spacing w:after="0"/>
              <w:rPr>
                <w:sz w:val="19"/>
                <w:szCs w:val="19"/>
                <w:color w:val="auto"/>
              </w:rPr>
            </w:pPr>
          </w:p>
        </w:tc>
        <w:tc>
          <w:tcPr>
            <w:tcW w:w="16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300" w:type="dxa"/>
            <w:vAlign w:val="bottom"/>
          </w:tcPr>
          <w:p>
            <w:pPr>
              <w:spacing w:after="0"/>
              <w:rPr>
                <w:sz w:val="19"/>
                <w:szCs w:val="19"/>
                <w:color w:val="auto"/>
              </w:rPr>
            </w:pPr>
          </w:p>
        </w:tc>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154"/>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40" w:type="dxa"/>
            <w:vAlign w:val="bottom"/>
          </w:tcPr>
          <w:p>
            <w:pPr>
              <w:spacing w:after="0"/>
              <w:rPr>
                <w:sz w:val="13"/>
                <w:szCs w:val="13"/>
                <w:color w:val="auto"/>
              </w:rPr>
            </w:pPr>
          </w:p>
        </w:tc>
        <w:tc>
          <w:tcPr>
            <w:tcW w:w="1720" w:type="dxa"/>
            <w:vAlign w:val="bottom"/>
            <w:vMerge w:val="restart"/>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Measurements</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780" w:type="dxa"/>
            <w:vAlign w:val="bottom"/>
            <w:gridSpan w:val="2"/>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7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20"/>
                <w:szCs w:val="20"/>
                <w:color w:val="auto"/>
              </w:rPr>
              <w:t>M&amp;T Bank Corporation</w:t>
            </w:r>
          </w:p>
        </w:tc>
        <w:tc>
          <w:tcPr>
            <w:tcW w:w="24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441,099</w:t>
            </w:r>
          </w:p>
        </w:tc>
        <w:tc>
          <w:tcPr>
            <w:tcW w:w="52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441,099</w:t>
            </w:r>
          </w:p>
        </w:tc>
        <w:tc>
          <w:tcPr>
            <w:tcW w:w="220" w:type="dxa"/>
            <w:vAlign w:val="bottom"/>
          </w:tcPr>
          <w:p>
            <w:pPr>
              <w:spacing w:after="0"/>
              <w:rPr>
                <w:sz w:val="18"/>
                <w:szCs w:val="18"/>
                <w:color w:val="auto"/>
              </w:rPr>
            </w:pPr>
          </w:p>
        </w:tc>
        <w:tc>
          <w:tcPr>
            <w:tcW w:w="3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6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vMerge w:val="restart"/>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7"/>
        </w:trPr>
        <w:tc>
          <w:tcPr>
            <w:tcW w:w="2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common stock</w:t>
            </w:r>
          </w:p>
        </w:tc>
        <w:tc>
          <w:tcPr>
            <w:tcW w:w="24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520" w:type="dxa"/>
            <w:vAlign w:val="bottom"/>
            <w:gridSpan w:val="2"/>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Mutual funds</w:t>
            </w:r>
          </w:p>
        </w:tc>
        <w:tc>
          <w:tcPr>
            <w:tcW w:w="24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48,377</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48,377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2"/>
          </w:tcPr>
          <w:p>
            <w:pPr>
              <w:ind w:left="11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2"/>
                <w:szCs w:val="22"/>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489,476</w:t>
            </w:r>
          </w:p>
        </w:tc>
        <w:tc>
          <w:tcPr>
            <w:tcW w:w="1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489,476</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2780" w:type="dxa"/>
            <w:vAlign w:val="bottom"/>
            <w:gridSpan w:val="2"/>
            <w:vMerge w:val="restart"/>
          </w:tcPr>
          <w:p>
            <w:pPr>
              <w:ind w:left="20"/>
              <w:spacing w:after="0" w:line="196" w:lineRule="exact"/>
              <w:rPr>
                <w:sz w:val="20"/>
                <w:szCs w:val="20"/>
                <w:color w:val="auto"/>
              </w:rPr>
            </w:pPr>
            <w:r>
              <w:rPr>
                <w:rFonts w:ascii="Times New Roman" w:cs="Times New Roman" w:eastAsia="Times New Roman" w:hAnsi="Times New Roman"/>
                <w:sz w:val="20"/>
                <w:szCs w:val="20"/>
                <w:color w:val="auto"/>
              </w:rPr>
              <w:t>Investments measured</w:t>
            </w:r>
          </w:p>
        </w:tc>
        <w:tc>
          <w:tcPr>
            <w:tcW w:w="24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4,615,053</w:t>
            </w: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7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at NAV (a) (b)</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vMerge w:val="continue"/>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5,104,529</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left="660" w:hanging="328"/>
        <w:spacing w:after="0" w:line="266" w:lineRule="auto"/>
        <w:tabs>
          <w:tab w:leader="none" w:pos="6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Subtopic 820-10 of ASU 2015-07, the common trust funds have not been classified in the Fair Value Hierarchy as of December 31, 2025 and 2024. The fair value amounts presented in this table are intended to permit reconciliation of the fair value hierarchy to the line items presented in the Statement of Net Assets Available for Benefits.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transactions (purchases and sales) may occur daily in any of the common trust funds. Were the Plan to initiate a full redemption of any of the common trust funds, the investment advisor reserves the right to temporarily delay withdrawal from the trust generally no earlier than thirty</w:t>
      </w:r>
    </w:p>
    <w:p>
      <w:pPr>
        <w:ind w:left="660" w:hanging="4"/>
        <w:spacing w:after="0" w:line="260" w:lineRule="auto"/>
        <w:tabs>
          <w:tab w:leader="none" w:pos="1031"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notice is provided, in order to ensure that securities liquidations will be carried out in an orderly business manner. The common trust funds had no unfunded commitments at December 31, 2025 and 2024.</w:t>
      </w:r>
    </w:p>
    <w:p>
      <w:pPr>
        <w:spacing w:after="0" w:line="294"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Investment contracts</w:t>
      </w:r>
    </w:p>
    <w:p>
      <w:pPr>
        <w:spacing w:after="0" w:line="125"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20"/>
          <w:szCs w:val="20"/>
          <w:color w:val="auto"/>
        </w:rPr>
        <w:t>The Plan maintains a portfolio of synthetic investment contracts ("SICs") included within the stable value fund. The underlying assets of the SICs are owned by the Plan and have investment contracts with insurance companies and banks. The wrap providers are contractually required to protect the principal by ensuring that the crediting rating does not fall below 0%. The crediting rating is calculated periodically based on yield, market value, book value and portfolio duration of underlying assets. The average yield earned by the SICs ranged from 4.1% to 4.7% at December 31, 2025.</w:t>
      </w:r>
    </w:p>
    <w:p>
      <w:pPr>
        <w:sectPr>
          <w:pgSz w:w="11900" w:h="16838" w:orient="portrait"/>
          <w:cols w:equalWidth="0" w:num="1">
            <w:col w:w="11240"/>
          </w:cols>
          <w:pgMar w:left="320" w:top="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M&amp;T BANK CORPORATION RETIREMENT SAVINGS PLAN</w:t>
      </w: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Investment contracts, continued</w:t>
      </w:r>
    </w:p>
    <w:p>
      <w:pPr>
        <w:spacing w:after="0" w:line="233"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9"/>
          <w:szCs w:val="19"/>
          <w:color w:val="auto"/>
        </w:rPr>
        <w:t>The stable value fund is measured at contract value which reflects contributions made under the contract plus credited earnings, reduced by participant withdrawals. Participants may elect to withdraw or transfer all or a portion of their investment at contract value.</w:t>
      </w:r>
    </w:p>
    <w:p>
      <w:pPr>
        <w:spacing w:after="0" w:line="42"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20"/>
          <w:szCs w:val="20"/>
          <w:color w:val="auto"/>
        </w:rPr>
        <w:t>Certain circumstances may restrict the Plan's ability to transact with the issuer at contract value. These circumstances include, but are not limited to, divestitures, mergers, spin-offs, complete or partial Plan terminations, bankruptcy or insolvency of the Plan sponsor, or amendments that significantly affect participant withdrawal activity. The Plan administrator does not consider it likely that any event would occur which might restrict the Plans' ability to process participants transactions at contract value.</w:t>
      </w:r>
    </w:p>
    <w:p>
      <w:pPr>
        <w:spacing w:after="0" w:line="66" w:lineRule="exact"/>
        <w:rPr>
          <w:sz w:val="20"/>
          <w:szCs w:val="20"/>
          <w:color w:val="auto"/>
        </w:rPr>
      </w:pPr>
    </w:p>
    <w:p>
      <w:pPr>
        <w:jc w:val="both"/>
        <w:ind w:left="340"/>
        <w:spacing w:after="0" w:line="269" w:lineRule="auto"/>
        <w:rPr>
          <w:sz w:val="20"/>
          <w:szCs w:val="20"/>
          <w:color w:val="auto"/>
        </w:rPr>
      </w:pPr>
      <w:r>
        <w:rPr>
          <w:rFonts w:ascii="Times New Roman" w:cs="Times New Roman" w:eastAsia="Times New Roman" w:hAnsi="Times New Roman"/>
          <w:sz w:val="20"/>
          <w:szCs w:val="20"/>
          <w:color w:val="auto"/>
        </w:rPr>
        <w:t>The investment contracts permit the issuer to terminate the agreements. Agreement terminations may be subject to a wind-down period to allow market value and contract value to converge before final settlement.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Risks and uncertainties</w:t>
      </w:r>
    </w:p>
    <w:p>
      <w:pPr>
        <w:spacing w:after="0" w:line="112" w:lineRule="exact"/>
        <w:rPr>
          <w:sz w:val="20"/>
          <w:szCs w:val="20"/>
          <w:color w:val="auto"/>
        </w:rPr>
      </w:pPr>
    </w:p>
    <w:p>
      <w:pPr>
        <w:jc w:val="both"/>
        <w:ind w:left="340"/>
        <w:spacing w:after="0" w:line="248" w:lineRule="auto"/>
        <w:rPr>
          <w:sz w:val="20"/>
          <w:szCs w:val="20"/>
          <w:color w:val="auto"/>
        </w:rPr>
      </w:pPr>
      <w:r>
        <w:rPr>
          <w:rFonts w:ascii="Times New Roman" w:cs="Times New Roman" w:eastAsia="Times New Roman" w:hAnsi="Times New Roman"/>
          <w:sz w:val="20"/>
          <w:szCs w:val="20"/>
          <w:color w:val="auto"/>
        </w:rPr>
        <w:t>The Plan invests in various investment securities, which include mutual funds, common trust funds, the stable value fund and the common stock of M&amp;T. Investment securities, in general, are exposed to various risks, such as interest rate, credit and overall market volatility. Market risks include global events which could impact the value of investment securities, such as international conflicts. Due to the level of risk associated with certain investment securities, it is reasonably possible that changes in the values of investment securities will occur in the near term and such changes could materially affect the amounts reported in the Statement of Net Assets Available for Benefits and the Statement of Changes in Net Assets Available for Benefits.</w:t>
      </w:r>
    </w:p>
    <w:p>
      <w:pPr>
        <w:spacing w:after="0" w:line="86" w:lineRule="exact"/>
        <w:rPr>
          <w:sz w:val="20"/>
          <w:szCs w:val="20"/>
          <w:color w:val="auto"/>
        </w:rPr>
      </w:pPr>
    </w:p>
    <w:p>
      <w:pPr>
        <w:jc w:val="both"/>
        <w:ind w:left="340"/>
        <w:spacing w:after="0" w:line="269" w:lineRule="auto"/>
        <w:rPr>
          <w:sz w:val="20"/>
          <w:szCs w:val="20"/>
          <w:color w:val="auto"/>
        </w:rPr>
      </w:pPr>
      <w:r>
        <w:rPr>
          <w:rFonts w:ascii="Times New Roman" w:cs="Times New Roman" w:eastAsia="Times New Roman" w:hAnsi="Times New Roman"/>
          <w:sz w:val="20"/>
          <w:szCs w:val="20"/>
          <w:color w:val="auto"/>
        </w:rPr>
        <w:t>The Plan has varying degrees of concentrations in investments, which exposes the Plan to additional risk of those investments experiencing a material change in value.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Income taxes</w:t>
      </w:r>
    </w:p>
    <w:p>
      <w:pPr>
        <w:spacing w:after="0" w:line="98" w:lineRule="exact"/>
        <w:rPr>
          <w:sz w:val="20"/>
          <w:szCs w:val="20"/>
          <w:color w:val="auto"/>
        </w:rPr>
      </w:pPr>
    </w:p>
    <w:p>
      <w:pPr>
        <w:jc w:val="both"/>
        <w:ind w:left="340"/>
        <w:spacing w:after="0" w:line="247" w:lineRule="auto"/>
        <w:rPr>
          <w:sz w:val="20"/>
          <w:szCs w:val="20"/>
          <w:color w:val="auto"/>
        </w:rPr>
      </w:pPr>
      <w:r>
        <w:rPr>
          <w:rFonts w:ascii="Times New Roman" w:cs="Times New Roman" w:eastAsia="Times New Roman" w:hAnsi="Times New Roman"/>
          <w:sz w:val="20"/>
          <w:szCs w:val="20"/>
          <w:color w:val="auto"/>
        </w:rPr>
        <w:t>The IRS has determined and informed the Company by a letter dated November 22, 2016 that the Plan is designed in accordance with applicable sections of the IRC. The Plan has been amended since receiving the determination letter. However, the Plan Administrator and the Plan’s tax counsel are of the opinion that changes in the Plan have not affected the tax-exempt status of the Plan and, accordingly, no provision has been made for income taxes. GAAP requires Plan management to evaluate tax positions taken by the Plan and recognize a tax liability if the Plan has taken an uncertain position that more likely than not would not be sustained upon examination by the IRS. The Administrative Committee has analyzed the tax positions taken by the Plan and has concluded that as of December 31, 2025 and 2024 there were no uncertain positions taken or expected to be taken that would require recognition of a liability or disclosure in the financial statements.</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tax years 2022-2025 remain subject to examination by federal and state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M&amp;T BANK CORPORATION RETIREMENT SAVINGS PLAN</w:t>
      </w: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Related-party transactions and party in interest</w:t>
      </w:r>
    </w:p>
    <w:p>
      <w:pPr>
        <w:spacing w:after="0" w:line="112" w:lineRule="exact"/>
        <w:rPr>
          <w:sz w:val="20"/>
          <w:szCs w:val="20"/>
          <w:color w:val="auto"/>
        </w:rPr>
      </w:pPr>
    </w:p>
    <w:p>
      <w:pPr>
        <w:jc w:val="both"/>
        <w:ind w:left="340"/>
        <w:spacing w:after="0" w:line="283" w:lineRule="auto"/>
        <w:rPr>
          <w:sz w:val="20"/>
          <w:szCs w:val="20"/>
          <w:color w:val="auto"/>
        </w:rPr>
      </w:pPr>
      <w:r>
        <w:rPr>
          <w:rFonts w:ascii="Times New Roman" w:cs="Times New Roman" w:eastAsia="Times New Roman" w:hAnsi="Times New Roman"/>
          <w:sz w:val="20"/>
          <w:szCs w:val="20"/>
          <w:color w:val="auto"/>
        </w:rPr>
        <w:t>The Plan invests in shares of the common stock of M&amp;T. The Plan held 2,221,345 shares with a fair value of $448 million and 2,346,144 shares with a fair value of $441 million at December 31, 2025 and 2024, respectively.</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following table presents the Plan's party-in-interest transactions regarding M&amp;T's common stock at December 31, 2025 and 2024:</w:t>
      </w:r>
    </w:p>
    <w:p>
      <w:pPr>
        <w:spacing w:after="0" w:line="131" w:lineRule="exact"/>
        <w:rPr>
          <w:sz w:val="20"/>
          <w:szCs w:val="20"/>
          <w:color w:val="auto"/>
        </w:rPr>
      </w:pPr>
    </w:p>
    <w:tbl>
      <w:tblPr>
        <w:tblLayout w:type="fixed"/>
        <w:tblInd w:w="360" w:type="dxa"/>
        <w:tblCellMar>
          <w:top w:w="0" w:type="dxa"/>
          <w:left w:w="0" w:type="dxa"/>
          <w:bottom w:w="0" w:type="dxa"/>
          <w:right w:w="0" w:type="dxa"/>
        </w:tblCellMar>
      </w:tblPr>
      <w:tr>
        <w:trPr>
          <w:trHeight w:val="257"/>
        </w:trPr>
        <w:tc>
          <w:tcPr>
            <w:tcW w:w="5880" w:type="dxa"/>
            <w:vAlign w:val="bottom"/>
          </w:tcPr>
          <w:p>
            <w:pPr>
              <w:spacing w:after="0"/>
              <w:rPr>
                <w:sz w:val="22"/>
                <w:szCs w:val="22"/>
                <w:color w:val="auto"/>
              </w:rPr>
            </w:pPr>
          </w:p>
        </w:tc>
        <w:tc>
          <w:tcPr>
            <w:tcW w:w="3800" w:type="dxa"/>
            <w:vAlign w:val="bottom"/>
            <w:gridSpan w:val="3"/>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00" w:type="dxa"/>
            <w:vAlign w:val="bottom"/>
          </w:tcPr>
          <w:p>
            <w:pPr>
              <w:spacing w:after="0"/>
              <w:rPr>
                <w:sz w:val="22"/>
                <w:szCs w:val="22"/>
                <w:color w:val="auto"/>
              </w:rPr>
            </w:pPr>
          </w:p>
        </w:tc>
      </w:tr>
      <w:tr>
        <w:trPr>
          <w:trHeight w:val="263"/>
        </w:trPr>
        <w:tc>
          <w:tcPr>
            <w:tcW w:w="5880" w:type="dxa"/>
            <w:vAlign w:val="bottom"/>
          </w:tcPr>
          <w:p>
            <w:pPr>
              <w:spacing w:after="0"/>
              <w:rPr>
                <w:sz w:val="22"/>
                <w:szCs w:val="22"/>
                <w:color w:val="auto"/>
              </w:rPr>
            </w:pPr>
          </w:p>
        </w:tc>
        <w:tc>
          <w:tcPr>
            <w:tcW w:w="14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0" w:type="dxa"/>
            <w:vAlign w:val="bottom"/>
            <w:tcBorders>
              <w:bottom w:val="single" w:sz="8" w:color="auto"/>
            </w:tcBorders>
          </w:tcPr>
          <w:p>
            <w:pPr>
              <w:spacing w:after="0"/>
              <w:rPr>
                <w:sz w:val="22"/>
                <w:szCs w:val="22"/>
                <w:color w:val="auto"/>
              </w:rPr>
            </w:pPr>
          </w:p>
        </w:tc>
      </w:tr>
      <w:tr>
        <w:trPr>
          <w:trHeight w:val="193"/>
        </w:trPr>
        <w:tc>
          <w:tcPr>
            <w:tcW w:w="5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Purchases</w:t>
            </w:r>
          </w:p>
        </w:tc>
        <w:tc>
          <w:tcPr>
            <w:tcW w:w="1400" w:type="dxa"/>
            <w:vAlign w:val="bottom"/>
          </w:tcPr>
          <w:p>
            <w:pPr>
              <w:jc w:val="right"/>
              <w:ind w:right="1201"/>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32,994</w:t>
            </w:r>
          </w:p>
        </w:tc>
        <w:tc>
          <w:tcPr>
            <w:tcW w:w="1540" w:type="dxa"/>
            <w:vAlign w:val="bottom"/>
          </w:tcPr>
          <w:p>
            <w:pPr>
              <w:jc w:val="right"/>
              <w:ind w:right="114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26,842</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Sales</w:t>
            </w:r>
          </w:p>
        </w:tc>
        <w:tc>
          <w:tcPr>
            <w:tcW w:w="140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31,385</w:t>
            </w:r>
          </w:p>
        </w:tc>
        <w:tc>
          <w:tcPr>
            <w:tcW w:w="15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76,847</w:t>
            </w: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Cash dividends received</w:t>
            </w:r>
          </w:p>
        </w:tc>
        <w:tc>
          <w:tcPr>
            <w:tcW w:w="140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12,454</w:t>
            </w:r>
          </w:p>
        </w:tc>
        <w:tc>
          <w:tcPr>
            <w:tcW w:w="15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13,302</w:t>
            </w: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Realized gains</w:t>
            </w:r>
          </w:p>
        </w:tc>
        <w:tc>
          <w:tcPr>
            <w:tcW w:w="140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754</w:t>
            </w:r>
          </w:p>
        </w:tc>
        <w:tc>
          <w:tcPr>
            <w:tcW w:w="15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21,943</w:t>
            </w:r>
          </w:p>
        </w:tc>
      </w:tr>
      <w:tr>
        <w:trPr>
          <w:trHeight w:val="258"/>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Unrealized gains</w:t>
            </w:r>
          </w:p>
        </w:tc>
        <w:tc>
          <w:tcPr>
            <w:tcW w:w="140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30,148</w:t>
            </w:r>
          </w:p>
        </w:tc>
        <w:tc>
          <w:tcPr>
            <w:tcW w:w="15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114,111</w:t>
            </w: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340"/>
        <w:spacing w:after="0" w:line="247" w:lineRule="auto"/>
        <w:rPr>
          <w:sz w:val="20"/>
          <w:szCs w:val="20"/>
          <w:color w:val="auto"/>
        </w:rPr>
      </w:pPr>
      <w:r>
        <w:rPr>
          <w:rFonts w:ascii="Times New Roman" w:cs="Times New Roman" w:eastAsia="Times New Roman" w:hAnsi="Times New Roman"/>
          <w:sz w:val="20"/>
          <w:szCs w:val="20"/>
          <w:color w:val="auto"/>
        </w:rPr>
        <w:t>Certain Plan investment alternatives totaling $3.6 billion and $2.9 billion at December 31, 2025 and 2024, respectively, represent units of common trust funds and the stable value fund that are advised by an entity related to T. Rowe, which qualify as party-in-interest transactions and are measured at NAV and contract value, respectively. T. Rowe serves as trustee and recordkeeper. Participant transactions (purchases and sales) may occur daily in any of the T. Rowe common trust funds and the stable value fund. Were the Plan to initiate a full redemption of any of the T. Rowe common trust funds and the stable value fund, the investment advisor reserves the right to temporarily delay withdrawal from the trust no earlier than thirty (30) days after such notice is provided, in order to ensure that securities liquidations will be carried out in an orderly business manner. The T. Rowe common trust funds and the stable value fund trust had no unfunded commitments at December 31, 2025 and 2024.</w:t>
      </w:r>
    </w:p>
    <w:p>
      <w:pPr>
        <w:spacing w:after="0" w:line="91"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20"/>
          <w:szCs w:val="20"/>
          <w:color w:val="auto"/>
        </w:rPr>
        <w:t>The Plan allows participants to take loans from their accounts in the Plan. These notes receivable from participants qualify as party-in-interest transactions and totaled $47.9 million and $46.6 million at December 31, 2025 and 2024, respectively. The rates on the notes receivable ranged from 4.25% to 9.50% at each of December 31, 2025 and 2024.</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Subsequent events</w:t>
      </w:r>
    </w:p>
    <w:p>
      <w:pPr>
        <w:spacing w:after="0" w:line="112" w:lineRule="exact"/>
        <w:rPr>
          <w:sz w:val="20"/>
          <w:szCs w:val="20"/>
          <w:color w:val="auto"/>
        </w:rPr>
      </w:pPr>
    </w:p>
    <w:p>
      <w:pPr>
        <w:jc w:val="both"/>
        <w:ind w:left="340"/>
        <w:spacing w:after="0" w:line="269" w:lineRule="auto"/>
        <w:rPr>
          <w:sz w:val="20"/>
          <w:szCs w:val="20"/>
          <w:color w:val="auto"/>
        </w:rPr>
      </w:pPr>
      <w:r>
        <w:rPr>
          <w:rFonts w:ascii="Times New Roman" w:cs="Times New Roman" w:eastAsia="Times New Roman" w:hAnsi="Times New Roman"/>
          <w:sz w:val="20"/>
          <w:szCs w:val="20"/>
          <w:color w:val="auto"/>
        </w:rPr>
        <w:t>The Company has evaluated the impact of subsequent events on these financial statements through the date of financial statement issuance and noted no subsequent events requiring financial statement recognition or disclosure.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SUPPLEMENTAL</w:t>
      </w:r>
    </w:p>
    <w:p>
      <w:pPr>
        <w:sectPr>
          <w:pgSz w:w="11900" w:h="16838" w:orient="portrait"/>
          <w:cols w:equalWidth="0" w:num="1">
            <w:col w:w="9019"/>
          </w:cols>
          <w:pgMar w:left="1440" w:top="1440"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5777865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M&amp;T BANK CORPORATION RETIREMENT SAVINGS PLAN</w:t>
      </w:r>
    </w:p>
    <w:p>
      <w:pPr>
        <w:spacing w:after="0"/>
        <w:rPr>
          <w:sz w:val="20"/>
          <w:szCs w:val="20"/>
          <w:color w:val="auto"/>
        </w:rPr>
      </w:pPr>
      <w:r>
        <w:rPr>
          <w:rFonts w:ascii="Times New Roman" w:cs="Times New Roman" w:eastAsia="Times New Roman" w:hAnsi="Times New Roman"/>
          <w:sz w:val="18"/>
          <w:szCs w:val="18"/>
          <w:b w:val="1"/>
          <w:bCs w:val="1"/>
          <w:color w:val="auto"/>
        </w:rPr>
        <w:t>EIN 16-0538020 Plan 004</w:t>
      </w:r>
    </w:p>
    <w:p>
      <w:pPr>
        <w:spacing w:after="0" w:line="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34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400" w:val="left"/>
          <w:tab w:leader="none" w:pos="5860" w:val="left"/>
          <w:tab w:leader="none" w:pos="8900" w:val="left"/>
          <w:tab w:leader="none" w:pos="9880" w:val="left"/>
        </w:tabs>
        <w:rPr>
          <w:sz w:val="20"/>
          <w:szCs w:val="20"/>
          <w:color w:val="auto"/>
        </w:rPr>
      </w:pPr>
      <w:r>
        <w:rPr>
          <w:rFonts w:ascii="Times New Roman" w:cs="Times New Roman" w:eastAsia="Times New Roman" w:hAnsi="Times New Roman"/>
          <w:sz w:val="14"/>
          <w:szCs w:val="14"/>
          <w:b w:val="1"/>
          <w:bCs w:val="1"/>
          <w:color w:val="auto"/>
        </w:rPr>
        <w:t>a.)</w:t>
      </w:r>
      <w:r>
        <w:rPr>
          <w:sz w:val="20"/>
          <w:szCs w:val="20"/>
          <w:color w:val="auto"/>
        </w:rPr>
        <w:tab/>
      </w:r>
      <w:r>
        <w:rPr>
          <w:rFonts w:ascii="Times New Roman" w:cs="Times New Roman" w:eastAsia="Times New Roman" w:hAnsi="Times New Roman"/>
          <w:sz w:val="14"/>
          <w:szCs w:val="14"/>
          <w:b w:val="1"/>
          <w:bCs w:val="1"/>
          <w:color w:val="auto"/>
        </w:rPr>
        <w:t>b.) Identity of issue, borrower, lessor, or similar party</w:t>
      </w:r>
      <w:r>
        <w:rPr>
          <w:sz w:val="20"/>
          <w:szCs w:val="20"/>
          <w:color w:val="auto"/>
        </w:rPr>
        <w:tab/>
      </w:r>
      <w:r>
        <w:rPr>
          <w:rFonts w:ascii="Times New Roman" w:cs="Times New Roman" w:eastAsia="Times New Roman" w:hAnsi="Times New Roman"/>
          <w:sz w:val="14"/>
          <w:szCs w:val="14"/>
          <w:b w:val="1"/>
          <w:bCs w:val="1"/>
          <w:color w:val="auto"/>
        </w:rPr>
        <w:t>c.) Description of investment</w:t>
      </w:r>
      <w:r>
        <w:rPr>
          <w:sz w:val="20"/>
          <w:szCs w:val="20"/>
          <w:color w:val="auto"/>
        </w:rPr>
        <w:tab/>
      </w:r>
      <w:r>
        <w:rPr>
          <w:rFonts w:ascii="Times New Roman" w:cs="Times New Roman" w:eastAsia="Times New Roman" w:hAnsi="Times New Roman"/>
          <w:sz w:val="14"/>
          <w:szCs w:val="14"/>
          <w:b w:val="1"/>
          <w:bCs w:val="1"/>
          <w:color w:val="auto"/>
        </w:rPr>
        <w:t>d.) Cost</w:t>
      </w:r>
      <w:r>
        <w:rPr>
          <w:sz w:val="20"/>
          <w:szCs w:val="20"/>
          <w:color w:val="auto"/>
        </w:rPr>
        <w:tab/>
      </w:r>
      <w:r>
        <w:rPr>
          <w:rFonts w:ascii="Times New Roman" w:cs="Times New Roman" w:eastAsia="Times New Roman" w:hAnsi="Times New Roman"/>
          <w:sz w:val="14"/>
          <w:szCs w:val="14"/>
          <w:b w:val="1"/>
          <w:bCs w:val="1"/>
          <w:color w:val="auto"/>
        </w:rPr>
        <w:t>e.) Current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M&amp;T Bank Corporation</w:t>
            </w:r>
          </w:p>
        </w:tc>
        <w:tc>
          <w:tcPr>
            <w:tcW w:w="258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Common Stock</w:t>
            </w:r>
          </w:p>
        </w:tc>
      </w:tr>
      <w:tr>
        <w:trPr>
          <w:trHeight w:val="473"/>
        </w:trPr>
        <w:tc>
          <w:tcPr>
            <w:tcW w:w="240" w:type="dxa"/>
            <w:vAlign w:val="bottom"/>
          </w:tcPr>
          <w:p>
            <w:pPr>
              <w:spacing w:after="0"/>
              <w:rPr>
                <w:sz w:val="24"/>
                <w:szCs w:val="24"/>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Meridian Small Cap Growth Fund Institutional</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Mutual fund investment</w:t>
            </w:r>
          </w:p>
        </w:tc>
      </w:tr>
      <w:tr>
        <w:trPr>
          <w:trHeight w:val="47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Retirement 2010 Fund - Class E</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Retirement 2015 Fund - Class E</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Retirement 2020 Fund - Class E</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Retirement 2025 Fund - Class E</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Retirement 2030 Fund - Class E</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Retirement 2035 Fund - Class E</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Retirement 2040 Fund - Class E</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Retirement 2045 Fund - Class E</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Retirement 2050 Fund - Class E</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2"/>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Retirement 2055 Fund - Class E</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Retirement 2060 Fund - Class E</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Retirement 2065 Fund - Class E</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Retirement 2070 Fund - Class E</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Retirement Balanced Fund - Class E</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Growth Stock Trust E</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Small-Cap Value Equity Trust D</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spacing w:after="0"/>
              <w:rPr>
                <w:sz w:val="17"/>
                <w:szCs w:val="17"/>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Diamond Hill Large Cap Portfolio R2</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spacing w:after="0"/>
              <w:rPr>
                <w:sz w:val="17"/>
                <w:szCs w:val="17"/>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Metropolitan West Total Return Bond Fund C</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spacing w:after="0"/>
              <w:rPr>
                <w:sz w:val="17"/>
                <w:szCs w:val="17"/>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Vanguard Group, Inc. Institutional International Market Index</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spacing w:after="0"/>
              <w:rPr>
                <w:sz w:val="17"/>
                <w:szCs w:val="17"/>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Vanguard Group, Inc. Institutional Bond Market Index C</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spacing w:after="0"/>
              <w:rPr>
                <w:sz w:val="17"/>
                <w:szCs w:val="17"/>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Vanguard Group, Inc. Institutional Extended Market Index C</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r>
        <w:trPr>
          <w:trHeight w:val="203"/>
        </w:trPr>
        <w:tc>
          <w:tcPr>
            <w:tcW w:w="240" w:type="dxa"/>
            <w:vAlign w:val="bottom"/>
          </w:tcPr>
          <w:p>
            <w:pPr>
              <w:spacing w:after="0"/>
              <w:rPr>
                <w:sz w:val="17"/>
                <w:szCs w:val="17"/>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Vanguard Group, Inc. Institutional 500 Index Trust C</w:t>
            </w:r>
          </w:p>
        </w:tc>
        <w:tc>
          <w:tcPr>
            <w:tcW w:w="25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Common trust fund</w:t>
            </w: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(in thousands)</w:t>
            </w:r>
          </w:p>
        </w:tc>
      </w:tr>
      <w:tr>
        <w:trPr>
          <w:trHeight w:val="47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447,557</w:t>
            </w:r>
          </w:p>
        </w:tc>
      </w:tr>
      <w:tr>
        <w:trPr>
          <w:trHeight w:val="47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46,028</w:t>
            </w:r>
          </w:p>
        </w:tc>
      </w:tr>
      <w:tr>
        <w:trPr>
          <w:trHeight w:val="47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34,972</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36,393</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168,074</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279,967</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550,813</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333,401</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504,513</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262,420</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215,819</w:t>
            </w:r>
          </w:p>
        </w:tc>
      </w:tr>
      <w:tr>
        <w:trPr>
          <w:trHeight w:val="202"/>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167,691</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109,134</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38,585</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29,142</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446,831</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116,238</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90,700</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104,745</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239,535</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89,286</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251,784</w:t>
            </w:r>
          </w:p>
        </w:tc>
      </w:tr>
      <w:tr>
        <w:trPr>
          <w:trHeight w:val="203"/>
        </w:trPr>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836,769</w:t>
            </w:r>
          </w:p>
        </w:tc>
      </w:tr>
      <w:tr>
        <w:trPr>
          <w:trHeight w:val="23"/>
        </w:trPr>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2"/>
        </w:trPr>
        <w:tc>
          <w:tcPr>
            <w:tcW w:w="44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4,906,848</w:t>
            </w:r>
          </w:p>
        </w:tc>
      </w:tr>
    </w:tbl>
    <w:p>
      <w:pPr>
        <w:spacing w:after="0" w:line="200" w:lineRule="exact"/>
        <w:rPr>
          <w:sz w:val="20"/>
          <w:szCs w:val="20"/>
          <w:color w:val="auto"/>
        </w:rPr>
      </w:pPr>
    </w:p>
    <w:p>
      <w:pPr>
        <w:sectPr>
          <w:pgSz w:w="11900" w:h="16838" w:orient="portrait"/>
          <w:cols w:equalWidth="0" w:num="2">
            <w:col w:w="8480" w:space="720"/>
            <w:col w:w="2040"/>
          </w:cols>
          <w:pgMar w:left="320" w:top="96" w:right="339" w:bottom="1440" w:gutter="0" w:footer="0" w:header="0"/>
          <w:type w:val="continuous"/>
        </w:sectPr>
      </w:pP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 Rowe Price Associates, Inc. Stable Value Income Fund</w:t>
            </w:r>
          </w:p>
        </w:tc>
        <w:tc>
          <w:tcPr>
            <w:tcW w:w="4140" w:type="dxa"/>
            <w:vAlign w:val="bottom"/>
          </w:tcPr>
          <w:p>
            <w:pPr>
              <w:jc w:val="center"/>
              <w:ind w:left="868"/>
              <w:spacing w:after="0"/>
              <w:rPr>
                <w:sz w:val="20"/>
                <w:szCs w:val="20"/>
                <w:color w:val="auto"/>
              </w:rPr>
            </w:pPr>
            <w:r>
              <w:rPr>
                <w:rFonts w:ascii="Times New Roman" w:cs="Times New Roman" w:eastAsia="Times New Roman" w:hAnsi="Times New Roman"/>
                <w:sz w:val="14"/>
                <w:szCs w:val="14"/>
                <w:color w:val="auto"/>
              </w:rPr>
              <w:t>Stable value fund</w:t>
            </w: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321,760</w:t>
            </w:r>
          </w:p>
        </w:tc>
        <w:tc>
          <w:tcPr>
            <w:tcW w:w="0" w:type="dxa"/>
            <w:vAlign w:val="bottom"/>
          </w:tcPr>
          <w:p>
            <w:pPr>
              <w:spacing w:after="0"/>
              <w:rPr>
                <w:sz w:val="1"/>
                <w:szCs w:val="1"/>
                <w:color w:val="auto"/>
              </w:rPr>
            </w:pPr>
          </w:p>
        </w:tc>
      </w:tr>
      <w:tr>
        <w:trPr>
          <w:trHeight w:val="293"/>
        </w:trPr>
        <w:tc>
          <w:tcPr>
            <w:tcW w:w="2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4140" w:type="dxa"/>
            <w:vAlign w:val="bottom"/>
          </w:tcPr>
          <w:p>
            <w:pPr>
              <w:jc w:val="center"/>
              <w:ind w:left="868"/>
              <w:spacing w:after="0"/>
              <w:rPr>
                <w:sz w:val="20"/>
                <w:szCs w:val="20"/>
                <w:color w:val="auto"/>
              </w:rPr>
            </w:pPr>
            <w:r>
              <w:rPr>
                <w:rFonts w:ascii="Times New Roman" w:cs="Times New Roman" w:eastAsia="Times New Roman" w:hAnsi="Times New Roman"/>
                <w:sz w:val="14"/>
                <w:szCs w:val="14"/>
                <w:color w:val="auto"/>
              </w:rPr>
              <w:t>Total investments</w:t>
            </w:r>
          </w:p>
        </w:tc>
        <w:tc>
          <w:tcPr>
            <w:tcW w:w="660" w:type="dxa"/>
            <w:vAlign w:val="bottom"/>
          </w:tcPr>
          <w:p>
            <w:pPr>
              <w:spacing w:after="0"/>
              <w:rPr>
                <w:sz w:val="17"/>
                <w:szCs w:val="17"/>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5,722,193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140" w:type="dxa"/>
            <w:vAlign w:val="bottom"/>
            <w:vMerge w:val="restart"/>
          </w:tcPr>
          <w:p>
            <w:pPr>
              <w:jc w:val="center"/>
              <w:ind w:left="868"/>
              <w:spacing w:after="0"/>
              <w:rPr>
                <w:sz w:val="20"/>
                <w:szCs w:val="20"/>
                <w:color w:val="auto"/>
              </w:rPr>
            </w:pPr>
            <w:r>
              <w:rPr>
                <w:rFonts w:ascii="Times New Roman" w:cs="Times New Roman" w:eastAsia="Times New Roman" w:hAnsi="Times New Roman"/>
                <w:sz w:val="14"/>
                <w:szCs w:val="14"/>
                <w:color w:val="auto"/>
              </w:rPr>
              <w:t>4.25% to 9.50%, fully secured by vested benefits,</w:t>
            </w:r>
          </w:p>
        </w:tc>
        <w:tc>
          <w:tcPr>
            <w:tcW w:w="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5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Participant Loans Receivable</w:t>
            </w:r>
          </w:p>
        </w:tc>
        <w:tc>
          <w:tcPr>
            <w:tcW w:w="4140" w:type="dxa"/>
            <w:vAlign w:val="bottom"/>
            <w:vMerge w:val="continue"/>
          </w:tcPr>
          <w:p>
            <w:pPr>
              <w:spacing w:after="0"/>
              <w:rPr>
                <w:sz w:val="24"/>
                <w:szCs w:val="24"/>
                <w:color w:val="auto"/>
              </w:rPr>
            </w:pPr>
          </w:p>
        </w:tc>
        <w:tc>
          <w:tcPr>
            <w:tcW w:w="6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47,880</w:t>
            </w:r>
          </w:p>
        </w:tc>
        <w:tc>
          <w:tcPr>
            <w:tcW w:w="0" w:type="dxa"/>
            <w:vAlign w:val="bottom"/>
          </w:tcPr>
          <w:p>
            <w:pPr>
              <w:spacing w:after="0"/>
              <w:rPr>
                <w:sz w:val="1"/>
                <w:szCs w:val="1"/>
                <w:color w:val="auto"/>
              </w:rPr>
            </w:pPr>
          </w:p>
        </w:tc>
      </w:tr>
      <w:tr>
        <w:trPr>
          <w:trHeight w:val="180"/>
        </w:trPr>
        <w:tc>
          <w:tcPr>
            <w:tcW w:w="24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4140" w:type="dxa"/>
            <w:vAlign w:val="bottom"/>
          </w:tcPr>
          <w:p>
            <w:pPr>
              <w:jc w:val="center"/>
              <w:ind w:left="868"/>
              <w:spacing w:after="0"/>
              <w:rPr>
                <w:sz w:val="20"/>
                <w:szCs w:val="20"/>
                <w:color w:val="auto"/>
              </w:rPr>
            </w:pPr>
            <w:r>
              <w:rPr>
                <w:rFonts w:ascii="Times New Roman" w:cs="Times New Roman" w:eastAsia="Times New Roman" w:hAnsi="Times New Roman"/>
                <w:sz w:val="14"/>
                <w:szCs w:val="14"/>
                <w:color w:val="auto"/>
              </w:rPr>
              <w:t>with maturities through 2037</w:t>
            </w:r>
          </w:p>
        </w:tc>
        <w:tc>
          <w:tcPr>
            <w:tcW w:w="66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20" w:right="2920" w:firstLine="6"/>
        <w:spacing w:after="0" w:line="301" w:lineRule="auto"/>
        <w:tabs>
          <w:tab w:leader="none" w:pos="41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that the identity of the party involved is a party-in-interest as defined in the Employee Retirement Income Security Act of 1974. ** All investments are participant directed; therefore, cost value of the investment has been omitted from Schedule H, Line 4i.</w:t>
      </w:r>
    </w:p>
    <w:p>
      <w:pPr>
        <w:spacing w:after="0" w:line="1"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Investments are participant directed; fully benefit-responsive investment contracts.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sectPr>
      <w:pgSz w:w="11900" w:h="16838" w:orient="portrait"/>
      <w:cols w:equalWidth="0" w:num="1">
        <w:col w:w="11240"/>
      </w:cols>
      <w:pgMar w:left="320" w:top="9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lvl w:ilvl="2">
      <w:lvlJc w:val="left"/>
      <w:lvlText w:val="(%3)"/>
      <w:numFmt w:val="decimal"/>
      <w:start w:val="30"/>
    </w:lvl>
  </w:abstractNum>
  <w:abstractNum w:abstractNumId="10">
    <w:nsid w:val="1190CDE7"/>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2026-06-26T17:41:37Z</dcterms:created>
  <dcterms:modified xsi:type="dcterms:W3CDTF">2026-06-26T17:41:37Z</dcterms:modified>
</cp:coreProperties>
</file>