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476250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491490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5" w:lineRule="exact"/>
        <w:rPr>
          <w:sz w:val="24"/>
          <w:szCs w:val="24"/>
          <w:color w:val="auto"/>
        </w:rPr>
      </w:pPr>
    </w:p>
    <w:p>
      <w:pPr>
        <w:jc w:val="center"/>
        <w:ind w:right="-45"/>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5"/>
        <w:spacing w:after="0"/>
        <w:rPr>
          <w:sz w:val="20"/>
          <w:szCs w:val="20"/>
          <w:color w:val="auto"/>
        </w:rPr>
      </w:pPr>
      <w:r>
        <w:rPr>
          <w:rFonts w:ascii="Arial" w:cs="Arial" w:eastAsia="Arial" w:hAnsi="Arial"/>
          <w:sz w:val="19"/>
          <w:szCs w:val="19"/>
          <w:b w:val="1"/>
          <w:bCs w:val="1"/>
          <w:color w:val="auto"/>
        </w:rPr>
        <w:t>Washington, D.C. 20549</w:t>
      </w:r>
    </w:p>
    <w:p>
      <w:pPr>
        <w:spacing w:after="0" w:line="259" w:lineRule="exact"/>
        <w:rPr>
          <w:sz w:val="24"/>
          <w:szCs w:val="24"/>
          <w:color w:val="auto"/>
        </w:rPr>
      </w:pPr>
    </w:p>
    <w:p>
      <w:pPr>
        <w:jc w:val="center"/>
        <w:ind w:right="-45"/>
        <w:spacing w:after="0"/>
        <w:rPr>
          <w:sz w:val="20"/>
          <w:szCs w:val="20"/>
          <w:color w:val="auto"/>
        </w:rPr>
      </w:pPr>
      <w:r>
        <w:rPr>
          <w:rFonts w:ascii="Arial" w:cs="Arial" w:eastAsia="Arial" w:hAnsi="Arial"/>
          <w:sz w:val="29"/>
          <w:szCs w:val="29"/>
          <w:b w:val="1"/>
          <w:bCs w:val="1"/>
          <w:color w:val="auto"/>
        </w:rPr>
        <w:t>FORM 10-Q</w:t>
      </w:r>
    </w:p>
    <w:p>
      <w:pPr>
        <w:spacing w:after="0" w:line="318"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8"/>
          <w:szCs w:val="18"/>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1"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127"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or</w:t>
      </w:r>
    </w:p>
    <w:p>
      <w:pPr>
        <w:spacing w:after="0" w:line="139" w:lineRule="exact"/>
        <w:rPr>
          <w:sz w:val="24"/>
          <w:szCs w:val="24"/>
          <w:color w:val="auto"/>
        </w:rPr>
      </w:pPr>
    </w:p>
    <w:p>
      <w:pPr>
        <w:ind w:left="226" w:hanging="226"/>
        <w:spacing w:after="0"/>
        <w:tabs>
          <w:tab w:leader="none" w:pos="226" w:val="left"/>
        </w:tabs>
        <w:numPr>
          <w:ilvl w:val="0"/>
          <w:numId w:val="2"/>
        </w:numPr>
        <w:rPr>
          <w:rFonts w:ascii="MS PGothic" w:cs="MS PGothic" w:eastAsia="MS PGothic" w:hAnsi="MS PGothic"/>
          <w:sz w:val="19"/>
          <w:szCs w:val="19"/>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0" w:lineRule="exact"/>
        <w:rPr>
          <w:sz w:val="24"/>
          <w:szCs w:val="24"/>
          <w:color w:val="auto"/>
        </w:rPr>
      </w:pPr>
    </w:p>
    <w:p>
      <w:pPr>
        <w:jc w:val="center"/>
        <w:ind w:right="-45"/>
        <w:spacing w:after="0"/>
        <w:rPr>
          <w:sz w:val="20"/>
          <w:szCs w:val="20"/>
          <w:color w:val="auto"/>
        </w:rPr>
      </w:pPr>
      <w:r>
        <w:rPr>
          <w:rFonts w:ascii="Arial" w:cs="Arial" w:eastAsia="Arial" w:hAnsi="Arial"/>
          <w:sz w:val="14"/>
          <w:szCs w:val="14"/>
          <w:b w:val="1"/>
          <w:bCs w:val="1"/>
          <w:color w:val="auto"/>
        </w:rPr>
        <w:t>Commission File Number 1-9861</w:t>
      </w:r>
    </w:p>
    <w:p>
      <w:pPr>
        <w:spacing w:after="0" w:line="216" w:lineRule="exact"/>
        <w:rPr>
          <w:sz w:val="24"/>
          <w:szCs w:val="24"/>
          <w:color w:val="auto"/>
        </w:rPr>
      </w:pPr>
    </w:p>
    <w:p>
      <w:pPr>
        <w:jc w:val="center"/>
        <w:ind w:right="-25"/>
        <w:spacing w:after="0"/>
        <w:rPr>
          <w:sz w:val="20"/>
          <w:szCs w:val="20"/>
          <w:color w:val="auto"/>
        </w:rPr>
      </w:pPr>
      <w:r>
        <w:rPr>
          <w:rFonts w:ascii="Arial" w:cs="Arial" w:eastAsia="Arial" w:hAnsi="Arial"/>
          <w:sz w:val="35"/>
          <w:szCs w:val="35"/>
          <w:b w:val="1"/>
          <w:bCs w:val="1"/>
          <w:color w:val="auto"/>
        </w:rPr>
        <w:t>M&amp;T BANK CORPORATION</w:t>
      </w:r>
    </w:p>
    <w:p>
      <w:pPr>
        <w:spacing w:after="0" w:line="42" w:lineRule="exact"/>
        <w:rPr>
          <w:sz w:val="24"/>
          <w:szCs w:val="24"/>
          <w:color w:val="auto"/>
        </w:rPr>
      </w:pPr>
    </w:p>
    <w:p>
      <w:pPr>
        <w:jc w:val="center"/>
        <w:ind w:right="-25"/>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4" w:lineRule="exact"/>
        <w:rPr>
          <w:sz w:val="24"/>
          <w:szCs w:val="24"/>
          <w:color w:val="auto"/>
        </w:rPr>
      </w:pPr>
    </w:p>
    <w:tbl>
      <w:tblPr>
        <w:tblLayout w:type="fixed"/>
        <w:tblInd w:w="886" w:type="dxa"/>
        <w:tblCellMar>
          <w:top w:w="0" w:type="dxa"/>
          <w:left w:w="0" w:type="dxa"/>
          <w:bottom w:w="0" w:type="dxa"/>
          <w:right w:w="0" w:type="dxa"/>
        </w:tblCellMar>
      </w:tblPr>
      <w:tr>
        <w:trPr>
          <w:trHeight w:val="204"/>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8"/>
              </w:rPr>
              <w:t>New York</w:t>
            </w:r>
          </w:p>
        </w:tc>
        <w:tc>
          <w:tcPr>
            <w:tcW w:w="5520" w:type="dxa"/>
            <w:vAlign w:val="bottom"/>
          </w:tcPr>
          <w:p>
            <w:pPr>
              <w:jc w:val="right"/>
              <w:ind w:right="69"/>
              <w:spacing w:after="0"/>
              <w:rPr>
                <w:sz w:val="20"/>
                <w:szCs w:val="20"/>
                <w:color w:val="auto"/>
              </w:rPr>
            </w:pPr>
            <w:r>
              <w:rPr>
                <w:rFonts w:ascii="Arial" w:cs="Arial" w:eastAsia="Arial" w:hAnsi="Arial"/>
                <w:sz w:val="16"/>
                <w:szCs w:val="16"/>
                <w:b w:val="1"/>
                <w:bCs w:val="1"/>
                <w:color w:val="auto"/>
              </w:rPr>
              <w:t>16-0968385</w:t>
            </w:r>
          </w:p>
        </w:tc>
      </w:tr>
      <w:tr>
        <w:trPr>
          <w:trHeight w:val="156"/>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(State or other jurisdiction of</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rPr>
              <w:t>(I.R.S. Employer</w:t>
            </w:r>
          </w:p>
        </w:tc>
      </w:tr>
      <w:tr>
        <w:trPr>
          <w:trHeight w:val="183"/>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incorporation or organization)</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rPr>
              <w:t>Identification No.)</w:t>
            </w:r>
          </w:p>
        </w:tc>
      </w:tr>
      <w:tr>
        <w:trPr>
          <w:trHeight w:val="321"/>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6"/>
              </w:rPr>
              <w:t>One M &amp; T Plaza</w:t>
            </w:r>
          </w:p>
        </w:tc>
        <w:tc>
          <w:tcPr>
            <w:tcW w:w="5520" w:type="dxa"/>
            <w:vAlign w:val="bottom"/>
          </w:tcPr>
          <w:p>
            <w:pPr>
              <w:spacing w:after="0"/>
              <w:rPr>
                <w:sz w:val="24"/>
                <w:szCs w:val="24"/>
                <w:color w:val="auto"/>
              </w:rPr>
            </w:pPr>
          </w:p>
        </w:tc>
      </w:tr>
      <w:tr>
        <w:trPr>
          <w:trHeight w:val="204"/>
        </w:trPr>
        <w:tc>
          <w:tcPr>
            <w:tcW w:w="2620" w:type="dxa"/>
            <w:vAlign w:val="bottom"/>
          </w:tcPr>
          <w:p>
            <w:pPr>
              <w:jc w:val="center"/>
              <w:ind w:right="68"/>
              <w:spacing w:after="0"/>
              <w:rPr>
                <w:sz w:val="20"/>
                <w:szCs w:val="20"/>
                <w:color w:val="auto"/>
              </w:rPr>
            </w:pPr>
            <w:r>
              <w:rPr>
                <w:rFonts w:ascii="Arial" w:cs="Arial" w:eastAsia="Arial" w:hAnsi="Arial"/>
                <w:sz w:val="16"/>
                <w:szCs w:val="16"/>
                <w:b w:val="1"/>
                <w:bCs w:val="1"/>
                <w:color w:val="auto"/>
                <w:w w:val="96"/>
              </w:rPr>
              <w:t>Buffalo, New York</w:t>
            </w:r>
          </w:p>
        </w:tc>
        <w:tc>
          <w:tcPr>
            <w:tcW w:w="5520" w:type="dxa"/>
            <w:vAlign w:val="bottom"/>
          </w:tcPr>
          <w:p>
            <w:pPr>
              <w:jc w:val="right"/>
              <w:ind w:right="269"/>
              <w:spacing w:after="0"/>
              <w:rPr>
                <w:sz w:val="20"/>
                <w:szCs w:val="20"/>
                <w:color w:val="auto"/>
              </w:rPr>
            </w:pPr>
            <w:r>
              <w:rPr>
                <w:rFonts w:ascii="Arial" w:cs="Arial" w:eastAsia="Arial" w:hAnsi="Arial"/>
                <w:sz w:val="16"/>
                <w:szCs w:val="16"/>
                <w:b w:val="1"/>
                <w:bCs w:val="1"/>
                <w:color w:val="auto"/>
              </w:rPr>
              <w:t>14203</w:t>
            </w:r>
          </w:p>
        </w:tc>
      </w:tr>
      <w:tr>
        <w:trPr>
          <w:trHeight w:val="183"/>
        </w:trPr>
        <w:tc>
          <w:tcPr>
            <w:tcW w:w="2620" w:type="dxa"/>
            <w:vAlign w:val="bottom"/>
          </w:tcPr>
          <w:p>
            <w:pPr>
              <w:jc w:val="center"/>
              <w:ind w:right="68"/>
              <w:spacing w:after="0"/>
              <w:rPr>
                <w:sz w:val="20"/>
                <w:szCs w:val="20"/>
                <w:color w:val="auto"/>
              </w:rPr>
            </w:pPr>
            <w:r>
              <w:rPr>
                <w:rFonts w:ascii="Arial" w:cs="Arial" w:eastAsia="Arial" w:hAnsi="Arial"/>
                <w:sz w:val="13"/>
                <w:szCs w:val="13"/>
                <w:b w:val="1"/>
                <w:bCs w:val="1"/>
                <w:color w:val="auto"/>
              </w:rPr>
              <w:t>(Address of principal executive offices)</w:t>
            </w:r>
          </w:p>
        </w:tc>
        <w:tc>
          <w:tcPr>
            <w:tcW w:w="5520" w:type="dxa"/>
            <w:vAlign w:val="bottom"/>
          </w:tcPr>
          <w:p>
            <w:pPr>
              <w:jc w:val="center"/>
              <w:ind w:left="4329"/>
              <w:spacing w:after="0"/>
              <w:rPr>
                <w:sz w:val="20"/>
                <w:szCs w:val="20"/>
                <w:color w:val="auto"/>
              </w:rPr>
            </w:pPr>
            <w:r>
              <w:rPr>
                <w:rFonts w:ascii="Arial" w:cs="Arial" w:eastAsia="Arial" w:hAnsi="Arial"/>
                <w:sz w:val="13"/>
                <w:szCs w:val="13"/>
                <w:b w:val="1"/>
                <w:bCs w:val="1"/>
                <w:color w:val="auto"/>
                <w:w w:val="99"/>
              </w:rPr>
              <w:t>(Zip Code)</w:t>
            </w:r>
          </w:p>
        </w:tc>
      </w:tr>
      <w:tr>
        <w:trPr>
          <w:trHeight w:val="264"/>
        </w:trPr>
        <w:tc>
          <w:tcPr>
            <w:tcW w:w="2620" w:type="dxa"/>
            <w:vAlign w:val="bottom"/>
          </w:tcPr>
          <w:p>
            <w:pPr>
              <w:spacing w:after="0"/>
              <w:rPr>
                <w:sz w:val="22"/>
                <w:szCs w:val="22"/>
                <w:color w:val="auto"/>
              </w:rPr>
            </w:pPr>
          </w:p>
        </w:tc>
        <w:tc>
          <w:tcPr>
            <w:tcW w:w="5520" w:type="dxa"/>
            <w:vAlign w:val="bottom"/>
          </w:tcPr>
          <w:p>
            <w:pPr>
              <w:jc w:val="center"/>
              <w:ind w:right="1869"/>
              <w:spacing w:after="0"/>
              <w:rPr>
                <w:sz w:val="20"/>
                <w:szCs w:val="20"/>
                <w:color w:val="auto"/>
              </w:rPr>
            </w:pPr>
            <w:r>
              <w:rPr>
                <w:rFonts w:ascii="Arial" w:cs="Arial" w:eastAsia="Arial" w:hAnsi="Arial"/>
                <w:sz w:val="13"/>
                <w:szCs w:val="13"/>
                <w:b w:val="1"/>
                <w:bCs w:val="1"/>
                <w:color w:val="auto"/>
              </w:rPr>
              <w:t>Registrant's telephone number, including area code:</w:t>
            </w:r>
          </w:p>
        </w:tc>
      </w:tr>
      <w:tr>
        <w:trPr>
          <w:trHeight w:val="238"/>
        </w:trPr>
        <w:tc>
          <w:tcPr>
            <w:tcW w:w="2620" w:type="dxa"/>
            <w:vAlign w:val="bottom"/>
          </w:tcPr>
          <w:p>
            <w:pPr>
              <w:spacing w:after="0"/>
              <w:rPr>
                <w:sz w:val="20"/>
                <w:szCs w:val="20"/>
                <w:color w:val="auto"/>
              </w:rPr>
            </w:pPr>
          </w:p>
        </w:tc>
        <w:tc>
          <w:tcPr>
            <w:tcW w:w="5520" w:type="dxa"/>
            <w:vAlign w:val="bottom"/>
          </w:tcPr>
          <w:p>
            <w:pPr>
              <w:jc w:val="right"/>
              <w:ind w:right="3129"/>
              <w:spacing w:after="0"/>
              <w:rPr>
                <w:sz w:val="20"/>
                <w:szCs w:val="20"/>
                <w:color w:val="auto"/>
              </w:rPr>
            </w:pPr>
            <w:r>
              <w:rPr>
                <w:rFonts w:ascii="Arial" w:cs="Arial" w:eastAsia="Arial" w:hAnsi="Arial"/>
                <w:sz w:val="16"/>
                <w:szCs w:val="16"/>
                <w:b w:val="1"/>
                <w:bCs w:val="1"/>
                <w:color w:val="auto"/>
              </w:rPr>
              <w:t>(716) 635-4000</w:t>
            </w:r>
          </w:p>
        </w:tc>
      </w:tr>
    </w:tbl>
    <w:p>
      <w:pPr>
        <w:spacing w:after="0" w:line="11" w:lineRule="exact"/>
        <w:rPr>
          <w:sz w:val="24"/>
          <w:szCs w:val="24"/>
          <w:color w:val="auto"/>
        </w:rPr>
      </w:pPr>
    </w:p>
    <w:p>
      <w:pPr>
        <w:sectPr>
          <w:pgSz w:w="11900" w:h="16840" w:orient="portrait"/>
          <w:cols w:equalWidth="0" w:num="1">
            <w:col w:w="10546"/>
          </w:cols>
          <w:pgMar w:left="654" w:top="898" w:right="700" w:bottom="1440" w:gutter="0" w:footer="0" w:header="0"/>
        </w:sectPr>
      </w:pPr>
    </w:p>
    <w:p>
      <w:pPr>
        <w:spacing w:after="0" w:line="288" w:lineRule="exact"/>
        <w:rPr>
          <w:sz w:val="24"/>
          <w:szCs w:val="24"/>
          <w:color w:val="auto"/>
        </w:rPr>
      </w:pPr>
    </w:p>
    <w:p>
      <w:pPr>
        <w:ind w:left="1546"/>
        <w:spacing w:after="0"/>
        <w:rPr>
          <w:sz w:val="20"/>
          <w:szCs w:val="20"/>
          <w:color w:val="auto"/>
        </w:rPr>
      </w:pPr>
      <w:r>
        <w:rPr>
          <w:rFonts w:ascii="Arial" w:cs="Arial" w:eastAsia="Arial" w:hAnsi="Arial"/>
          <w:sz w:val="13"/>
          <w:szCs w:val="13"/>
          <w:b w:val="1"/>
          <w:bCs w:val="1"/>
          <w:u w:val="single" w:color="auto"/>
          <w:color w:val="auto"/>
        </w:rPr>
        <w:t>Title of Each Class</w:t>
      </w:r>
    </w:p>
    <w:p>
      <w:pPr>
        <w:spacing w:after="0" w:line="39" w:lineRule="exact"/>
        <w:rPr>
          <w:sz w:val="24"/>
          <w:szCs w:val="24"/>
          <w:color w:val="auto"/>
        </w:rPr>
      </w:pPr>
    </w:p>
    <w:p>
      <w:pPr>
        <w:ind w:left="1226"/>
        <w:spacing w:after="0"/>
        <w:rPr>
          <w:sz w:val="20"/>
          <w:szCs w:val="20"/>
          <w:color w:val="auto"/>
        </w:rPr>
      </w:pPr>
      <w:r>
        <w:rPr>
          <w:rFonts w:ascii="Arial" w:cs="Arial" w:eastAsia="Arial" w:hAnsi="Arial"/>
          <w:sz w:val="13"/>
          <w:szCs w:val="13"/>
          <w:color w:val="auto"/>
        </w:rPr>
        <w:t>Common Stock, $.50 par value</w:t>
      </w:r>
    </w:p>
    <w:p>
      <w:pPr>
        <w:spacing w:after="0" w:line="31" w:lineRule="exact"/>
        <w:rPr>
          <w:sz w:val="24"/>
          <w:szCs w:val="24"/>
          <w:color w:val="auto"/>
        </w:rPr>
      </w:pPr>
    </w:p>
    <w:p>
      <w:pPr>
        <w:ind w:left="1166"/>
        <w:spacing w:after="0"/>
        <w:rPr>
          <w:sz w:val="20"/>
          <w:szCs w:val="20"/>
          <w:color w:val="auto"/>
        </w:rPr>
      </w:pPr>
      <w:r>
        <w:rPr>
          <w:rFonts w:ascii="Arial" w:cs="Arial" w:eastAsia="Arial" w:hAnsi="Arial"/>
          <w:sz w:val="13"/>
          <w:szCs w:val="13"/>
          <w:color w:val="auto"/>
        </w:rPr>
        <w:t>Perpetual Fixed-to-Floating Rate</w:t>
      </w:r>
    </w:p>
    <w:p>
      <w:pPr>
        <w:spacing w:after="0" w:line="15" w:lineRule="exact"/>
        <w:rPr>
          <w:sz w:val="24"/>
          <w:szCs w:val="24"/>
          <w:color w:val="auto"/>
        </w:rPr>
      </w:pPr>
    </w:p>
    <w:p>
      <w:pPr>
        <w:ind w:left="886"/>
        <w:spacing w:after="0"/>
        <w:rPr>
          <w:sz w:val="20"/>
          <w:szCs w:val="20"/>
          <w:color w:val="auto"/>
        </w:rPr>
      </w:pPr>
      <w:r>
        <w:rPr>
          <w:rFonts w:ascii="Arial" w:cs="Arial" w:eastAsia="Arial" w:hAnsi="Arial"/>
          <w:sz w:val="13"/>
          <w:szCs w:val="13"/>
          <w:color w:val="auto"/>
        </w:rPr>
        <w:t>Non-Cumulative Preferred Stock, Series 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37"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32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rPr>
              <w:t>Trading Symbols</w:t>
            </w:r>
          </w:p>
        </w:tc>
        <w:tc>
          <w:tcPr>
            <w:tcW w:w="2880" w:type="dxa"/>
            <w:vAlign w:val="bottom"/>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86"/>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MTB</w:t>
            </w:r>
          </w:p>
        </w:tc>
        <w:tc>
          <w:tcPr>
            <w:tcW w:w="1240" w:type="dxa"/>
            <w:vAlign w:val="bottom"/>
          </w:tcPr>
          <w:p>
            <w:pPr>
              <w:spacing w:after="0"/>
              <w:rPr>
                <w:sz w:val="16"/>
                <w:szCs w:val="16"/>
                <w:color w:val="auto"/>
              </w:rPr>
            </w:pPr>
          </w:p>
        </w:tc>
        <w:tc>
          <w:tcPr>
            <w:tcW w:w="2880" w:type="dxa"/>
            <w:vAlign w:val="bottom"/>
            <w:tcBorders>
              <w:top w:val="single" w:sz="8" w:color="auto"/>
            </w:tcBorders>
          </w:tcPr>
          <w:p>
            <w:pPr>
              <w:ind w:left="620"/>
              <w:spacing w:after="0"/>
              <w:rPr>
                <w:sz w:val="20"/>
                <w:szCs w:val="20"/>
                <w:color w:val="auto"/>
              </w:rPr>
            </w:pPr>
            <w:r>
              <w:rPr>
                <w:rFonts w:ascii="Arial" w:cs="Arial" w:eastAsia="Arial" w:hAnsi="Arial"/>
                <w:sz w:val="13"/>
                <w:szCs w:val="13"/>
                <w:color w:val="auto"/>
              </w:rPr>
              <w:t>New York Stock Exchange</w:t>
            </w:r>
          </w:p>
        </w:tc>
      </w:tr>
      <w:tr>
        <w:trPr>
          <w:trHeight w:val="252"/>
        </w:trPr>
        <w:tc>
          <w:tcPr>
            <w:tcW w:w="2320" w:type="dxa"/>
            <w:vAlign w:val="bottom"/>
            <w:gridSpan w:val="2"/>
          </w:tcPr>
          <w:p>
            <w:pPr>
              <w:jc w:val="center"/>
              <w:ind w:right="1220"/>
              <w:spacing w:after="0"/>
              <w:rPr>
                <w:sz w:val="20"/>
                <w:szCs w:val="20"/>
                <w:color w:val="auto"/>
              </w:rPr>
            </w:pPr>
            <w:r>
              <w:rPr>
                <w:rFonts w:ascii="Arial" w:cs="Arial" w:eastAsia="Arial" w:hAnsi="Arial"/>
                <w:sz w:val="13"/>
                <w:szCs w:val="13"/>
                <w:color w:val="auto"/>
              </w:rPr>
              <w:t>MTBPrH</w:t>
            </w:r>
          </w:p>
        </w:tc>
        <w:tc>
          <w:tcPr>
            <w:tcW w:w="2880" w:type="dxa"/>
            <w:vAlign w:val="bottom"/>
          </w:tcPr>
          <w:p>
            <w:pPr>
              <w:ind w:left="620"/>
              <w:spacing w:after="0"/>
              <w:rPr>
                <w:sz w:val="20"/>
                <w:szCs w:val="20"/>
                <w:color w:val="auto"/>
              </w:rPr>
            </w:pPr>
            <w:r>
              <w:rPr>
                <w:rFonts w:ascii="Arial" w:cs="Arial" w:eastAsia="Arial" w:hAnsi="Arial"/>
                <w:sz w:val="13"/>
                <w:szCs w:val="13"/>
                <w:color w:val="auto"/>
              </w:rPr>
              <w:t>New York Stock Exchange</w:t>
            </w:r>
          </w:p>
        </w:tc>
      </w:tr>
    </w:tbl>
    <w:p>
      <w:pPr>
        <w:spacing w:after="0" w:line="276" w:lineRule="exact"/>
        <w:rPr>
          <w:sz w:val="24"/>
          <w:szCs w:val="24"/>
          <w:color w:val="auto"/>
        </w:rPr>
      </w:pPr>
    </w:p>
    <w:p>
      <w:pPr>
        <w:sectPr>
          <w:pgSz w:w="11900" w:h="16840" w:orient="portrait"/>
          <w:cols w:equalWidth="0" w:num="2">
            <w:col w:w="3366" w:space="120"/>
            <w:col w:w="7060"/>
          </w:cols>
          <w:pgMar w:left="654" w:top="898" w:right="700" w:bottom="1440" w:gutter="0" w:footer="0" w:header="0"/>
          <w:type w:val="continuous"/>
        </w:sectPr>
      </w:pPr>
    </w:p>
    <w:p>
      <w:pPr>
        <w:spacing w:after="0" w:line="75" w:lineRule="exact"/>
        <w:rPr>
          <w:sz w:val="24"/>
          <w:szCs w:val="24"/>
          <w:color w:val="auto"/>
        </w:rPr>
      </w:pPr>
    </w:p>
    <w:p>
      <w:pPr>
        <w:ind w:left="6" w:right="14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66" w:lineRule="exact"/>
        <w:rPr>
          <w:sz w:val="24"/>
          <w:szCs w:val="24"/>
          <w:color w:val="auto"/>
        </w:rPr>
      </w:pPr>
    </w:p>
    <w:p>
      <w:pPr>
        <w:ind w:left="6" w:right="10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6" w:hanging="194"/>
        <w:spacing w:after="0" w:line="150" w:lineRule="exact"/>
        <w:tabs>
          <w:tab w:leader="none" w:pos="206"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98" w:lineRule="exact"/>
        <w:rPr>
          <w:sz w:val="24"/>
          <w:szCs w:val="24"/>
          <w:color w:val="auto"/>
        </w:rPr>
      </w:pPr>
    </w:p>
    <w:p>
      <w:pPr>
        <w:ind w:left="6"/>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ind w:left="6"/>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6"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400"/>
              <w:spacing w:after="0"/>
              <w:rPr>
                <w:sz w:val="20"/>
                <w:szCs w:val="20"/>
                <w:color w:val="auto"/>
              </w:rPr>
            </w:pPr>
            <w:r>
              <w:rPr>
                <w:rFonts w:ascii="Arial" w:cs="Arial" w:eastAsia="Arial" w:hAnsi="Arial"/>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8"/>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ind w:left="2400"/>
              <w:spacing w:after="0"/>
              <w:rPr>
                <w:sz w:val="20"/>
                <w:szCs w:val="20"/>
                <w:color w:val="auto"/>
              </w:rPr>
            </w:pPr>
            <w:r>
              <w:rPr>
                <w:rFonts w:ascii="Arial" w:cs="Arial" w:eastAsia="Arial" w:hAnsi="Arial"/>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21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1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52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77" w:lineRule="exact"/>
        <w:rPr>
          <w:sz w:val="24"/>
          <w:szCs w:val="24"/>
          <w:color w:val="auto"/>
        </w:rPr>
      </w:pPr>
    </w:p>
    <w:p>
      <w:pPr>
        <w:ind w:left="6" w:right="50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p>
      <w:pPr>
        <w:ind w:left="6"/>
        <w:spacing w:after="0" w:line="150" w:lineRule="exact"/>
        <w:tabs>
          <w:tab w:leader="none" w:pos="6766"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Yes</w:t>
      </w:r>
      <w:r>
        <w:rPr>
          <w:rFonts w:ascii="MS PGothic" w:cs="MS PGothic" w:eastAsia="MS PGothic" w:hAnsi="MS PGothic"/>
          <w:sz w:val="13"/>
          <w:szCs w:val="13"/>
          <w:color w:val="auto"/>
        </w:rPr>
        <w:t xml:space="preserve">  ☒ </w:t>
      </w:r>
      <w:r>
        <w:rPr>
          <w:rFonts w:ascii="Arial" w:cs="Arial" w:eastAsia="Arial" w:hAnsi="Arial"/>
          <w:sz w:val="13"/>
          <w:szCs w:val="13"/>
          <w:color w:val="auto"/>
        </w:rPr>
        <w:t>No</w:t>
      </w:r>
    </w:p>
    <w:p>
      <w:pPr>
        <w:spacing w:after="0" w:line="138" w:lineRule="exact"/>
        <w:rPr>
          <w:sz w:val="24"/>
          <w:szCs w:val="24"/>
          <w:color w:val="auto"/>
        </w:rPr>
      </w:pPr>
    </w:p>
    <w:p>
      <w:pPr>
        <w:ind w:left="6"/>
        <w:spacing w:after="0"/>
        <w:rPr>
          <w:sz w:val="20"/>
          <w:szCs w:val="20"/>
          <w:color w:val="auto"/>
        </w:rPr>
      </w:pPr>
      <w:r>
        <w:rPr>
          <w:rFonts w:ascii="Arial" w:cs="Arial" w:eastAsia="Arial" w:hAnsi="Arial"/>
          <w:sz w:val="13"/>
          <w:szCs w:val="13"/>
          <w:color w:val="auto"/>
        </w:rPr>
        <w:t>Number of shares of the registrant's Common Stock, $0.50 par value, outstanding as of the close of business on November 1, 2023: 165,960,333 shares.</w:t>
      </w:r>
    </w:p>
    <w:p>
      <w:pPr>
        <w:spacing w:after="0" w:line="199" w:lineRule="exact"/>
        <w:rPr>
          <w:sz w:val="24"/>
          <w:szCs w:val="24"/>
          <w:color w:val="auto"/>
        </w:rPr>
      </w:pPr>
    </w:p>
    <w:p>
      <w:pPr>
        <w:jc w:val="center"/>
        <w:ind w:right="-45"/>
        <w:spacing w:after="0"/>
        <w:rPr>
          <w:sz w:val="20"/>
          <w:szCs w:val="20"/>
          <w:color w:val="auto"/>
        </w:rPr>
      </w:pPr>
      <w:r>
        <w:rPr>
          <w:rFonts w:ascii="Arial" w:cs="Arial" w:eastAsia="Arial" w:hAnsi="Arial"/>
          <w:sz w:val="16"/>
          <w:szCs w:val="16"/>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6"/>
          </w:cols>
          <w:pgMar w:left="654" w:top="898" w:right="70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60" w:type="dxa"/>
            <w:vAlign w:val="bottom"/>
            <w:gridSpan w:val="12"/>
          </w:tcPr>
          <w:p>
            <w:pPr>
              <w:jc w:val="center"/>
              <w:ind w:right="3560"/>
              <w:spacing w:after="0"/>
              <w:rPr>
                <w:sz w:val="20"/>
                <w:szCs w:val="20"/>
                <w:color w:val="auto"/>
              </w:rPr>
            </w:pPr>
            <w:r>
              <w:rPr>
                <w:rFonts w:ascii="Arial" w:cs="Arial" w:eastAsia="Arial" w:hAnsi="Arial"/>
                <w:sz w:val="16"/>
                <w:szCs w:val="16"/>
                <w:color w:val="auto"/>
                <w:w w:val="97"/>
              </w:rPr>
              <w:t>M&amp;T BANK CORPORATION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6"/>
                <w:szCs w:val="16"/>
                <w:color w:val="auto"/>
                <w:w w:val="96"/>
              </w:rPr>
              <w:t>FORM 10-Q</w:t>
            </w:r>
          </w:p>
        </w:tc>
        <w:tc>
          <w:tcPr>
            <w:tcW w:w="35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6"/>
                <w:szCs w:val="16"/>
                <w:color w:val="auto"/>
                <w:w w:val="97"/>
              </w:rPr>
              <w:t>For the Quarterly Period Ended September 30, 2023</w:t>
            </w:r>
          </w:p>
        </w:tc>
        <w:tc>
          <w:tcPr>
            <w:tcW w:w="274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9840" w:type="dxa"/>
            <w:vAlign w:val="bottom"/>
            <w:gridSpan w:val="30"/>
          </w:tcPr>
          <w:p>
            <w:pPr>
              <w:ind w:left="20"/>
              <w:spacing w:after="0"/>
              <w:rPr>
                <w:sz w:val="20"/>
                <w:szCs w:val="20"/>
                <w:color w:val="auto"/>
              </w:rPr>
            </w:pPr>
            <w:r>
              <w:rPr>
                <w:rFonts w:ascii="Arial" w:cs="Arial" w:eastAsia="Arial" w:hAnsi="Arial"/>
                <w:sz w:val="16"/>
                <w:szCs w:val="16"/>
                <w:color w:val="auto"/>
              </w:rPr>
              <w:t>Table of Contents of Information Required in Report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0000FF"/>
            </w:tcBorders>
            <w:gridSpan w:val="6"/>
          </w:tcPr>
          <w:p>
            <w:pPr>
              <w:spacing w:after="0"/>
              <w:rPr>
                <w:rFonts w:ascii="Arial" w:cs="Arial" w:eastAsia="Arial" w:hAnsi="Arial"/>
                <w:sz w:val="16"/>
                <w:szCs w:val="16"/>
                <w:color w:val="0000FF"/>
                <w:w w:val="96"/>
              </w:rPr>
            </w:pPr>
            <w:hyperlink w:anchor="page3">
              <w:r>
                <w:rPr>
                  <w:rFonts w:ascii="Arial" w:cs="Arial" w:eastAsia="Arial" w:hAnsi="Arial"/>
                  <w:sz w:val="16"/>
                  <w:szCs w:val="16"/>
                  <w:color w:val="0000FF"/>
                  <w:w w:val="96"/>
                </w:rPr>
                <w:t>Glossary of Terms</w:t>
              </w:r>
            </w:hyperlink>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gridSpan w:val="2"/>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spacing w:after="0"/>
              <w:rPr>
                <w:sz w:val="20"/>
                <w:szCs w:val="20"/>
                <w:color w:val="auto"/>
              </w:rPr>
            </w:pPr>
          </w:p>
        </w:tc>
        <w:tc>
          <w:tcPr>
            <w:tcW w:w="280" w:type="dxa"/>
            <w:vAlign w:val="bottom"/>
            <w:gridSpan w:val="2"/>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04"/>
        </w:trPr>
        <w:tc>
          <w:tcPr>
            <w:tcW w:w="9840" w:type="dxa"/>
            <w:vAlign w:val="bottom"/>
            <w:gridSpan w:val="30"/>
          </w:tcPr>
          <w:p>
            <w:pPr>
              <w:ind w:left="20"/>
              <w:spacing w:after="0"/>
              <w:rPr>
                <w:rFonts w:ascii="Arial" w:cs="Arial" w:eastAsia="Arial" w:hAnsi="Arial"/>
                <w:sz w:val="16"/>
                <w:szCs w:val="16"/>
                <w:color w:val="0000FF"/>
              </w:rPr>
            </w:pPr>
            <w:hyperlink w:anchor="page4">
              <w:r>
                <w:rPr>
                  <w:rFonts w:ascii="Arial" w:cs="Arial" w:eastAsia="Arial" w:hAnsi="Arial"/>
                  <w:sz w:val="16"/>
                  <w:szCs w:val="16"/>
                  <w:color w:val="0000FF"/>
                </w:rPr>
                <w:t>Part I. FINANCIAL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w:t>
            </w:r>
          </w:p>
        </w:tc>
        <w:tc>
          <w:tcPr>
            <w:tcW w:w="1460" w:type="dxa"/>
            <w:vAlign w:val="bottom"/>
            <w:tcBorders>
              <w:bottom w:val="single" w:sz="8" w:color="0000FF"/>
            </w:tcBorders>
            <w:gridSpan w:val="8"/>
          </w:tcPr>
          <w:p>
            <w:pPr>
              <w:spacing w:after="0"/>
              <w:rPr>
                <w:rFonts w:ascii="Arial" w:cs="Arial" w:eastAsia="Arial" w:hAnsi="Arial"/>
                <w:sz w:val="16"/>
                <w:szCs w:val="16"/>
                <w:color w:val="0000FF"/>
                <w:w w:val="96"/>
              </w:rPr>
            </w:pPr>
            <w:hyperlink w:anchor="page4">
              <w:r>
                <w:rPr>
                  <w:rFonts w:ascii="Arial" w:cs="Arial" w:eastAsia="Arial" w:hAnsi="Arial"/>
                  <w:sz w:val="16"/>
                  <w:szCs w:val="16"/>
                  <w:color w:val="0000FF"/>
                  <w:w w:val="96"/>
                </w:rPr>
                <w:t>Financial Statements</w:t>
              </w:r>
            </w:hyperlink>
          </w:p>
        </w:tc>
        <w:tc>
          <w:tcPr>
            <w:tcW w:w="7160" w:type="dxa"/>
            <w:vAlign w:val="bottom"/>
            <w:gridSpan w:val="19"/>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gridSpan w:val="2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BALANCE SHEET – September 30, 2023 and December 31, 2022</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gridSpan w:val="27"/>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 OF INCOME – Three and nine months ended September 30, 2023 and 2022</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tcBorders>
              <w:bottom w:val="single" w:sz="8" w:color="0000FF"/>
            </w:tcBorders>
            <w:gridSpan w:val="27"/>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CONSOLIDATED STATEMENT OF COMPREHENSIVE INCOME – Three and nine months ended September 30, 2023 and</w:t>
              </w:r>
            </w:hyperlink>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ind w:left="200"/>
              <w:spacing w:after="0" w:line="160" w:lineRule="exact"/>
              <w:rPr>
                <w:rFonts w:ascii="Arial" w:cs="Arial" w:eastAsia="Arial" w:hAnsi="Arial"/>
                <w:sz w:val="16"/>
                <w:szCs w:val="16"/>
                <w:color w:val="0000FF"/>
                <w:w w:val="89"/>
              </w:rPr>
            </w:pPr>
            <w:hyperlink w:anchor="page6">
              <w:r>
                <w:rPr>
                  <w:rFonts w:ascii="Arial" w:cs="Arial" w:eastAsia="Arial" w:hAnsi="Arial"/>
                  <w:sz w:val="16"/>
                  <w:szCs w:val="16"/>
                  <w:color w:val="0000FF"/>
                  <w:w w:val="89"/>
                </w:rPr>
                <w:t>2022</w:t>
              </w:r>
            </w:hyperlink>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gridSpan w:val="2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CONSOLIDATED STATEMENT OF CASH FLOWS – Nine months ended September 30, 2023 and 2022</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80" w:type="dxa"/>
            <w:vAlign w:val="bottom"/>
            <w:tcBorders>
              <w:bottom w:val="single" w:sz="8" w:color="0000FF"/>
            </w:tcBorders>
            <w:gridSpan w:val="26"/>
          </w:tcPr>
          <w:p>
            <w:pPr>
              <w:spacing w:after="0"/>
              <w:rPr>
                <w:rFonts w:ascii="Arial" w:cs="Arial" w:eastAsia="Arial" w:hAnsi="Arial"/>
                <w:sz w:val="16"/>
                <w:szCs w:val="16"/>
                <w:color w:val="0000FF"/>
                <w:w w:val="97"/>
              </w:rPr>
            </w:pPr>
            <w:hyperlink w:anchor="page8">
              <w:r>
                <w:rPr>
                  <w:rFonts w:ascii="Arial" w:cs="Arial" w:eastAsia="Arial" w:hAnsi="Arial"/>
                  <w:sz w:val="16"/>
                  <w:szCs w:val="16"/>
                  <w:color w:val="0000FF"/>
                  <w:w w:val="97"/>
                </w:rPr>
                <w:t>CONSOLIDATED STATEMENT OF CHANGES IN SHAREHOLDERS' EQUITY – Three and nine months ended September</w:t>
              </w:r>
            </w:hyperlink>
          </w:p>
        </w:tc>
        <w:tc>
          <w:tcPr>
            <w:tcW w:w="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20" w:type="dxa"/>
            <w:vAlign w:val="bottom"/>
            <w:gridSpan w:val="26"/>
          </w:tcPr>
          <w:p>
            <w:pPr>
              <w:spacing w:after="0" w:line="160" w:lineRule="exact"/>
              <w:rPr>
                <w:rFonts w:ascii="Arial" w:cs="Arial" w:eastAsia="Arial" w:hAnsi="Arial"/>
                <w:sz w:val="16"/>
                <w:szCs w:val="16"/>
                <w:color w:val="0000FF"/>
              </w:rPr>
            </w:pPr>
            <w:hyperlink w:anchor="page8">
              <w:r>
                <w:rPr>
                  <w:rFonts w:ascii="Arial" w:cs="Arial" w:eastAsia="Arial" w:hAnsi="Arial"/>
                  <w:sz w:val="16"/>
                  <w:szCs w:val="16"/>
                  <w:color w:val="0000FF"/>
                </w:rPr>
                <w:t>30, 2023 and 2022</w:t>
              </w:r>
            </w:hyperlink>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gridSpan w:val="27"/>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FINANCIAL STATEMENTS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2.</w:t>
            </w:r>
          </w:p>
        </w:tc>
        <w:tc>
          <w:tcPr>
            <w:tcW w:w="6140" w:type="dxa"/>
            <w:vAlign w:val="bottom"/>
            <w:tcBorders>
              <w:bottom w:val="single" w:sz="8" w:color="0000FF"/>
            </w:tcBorders>
            <w:gridSpan w:val="23"/>
          </w:tcPr>
          <w:p>
            <w:pPr>
              <w:spacing w:after="0"/>
              <w:rPr>
                <w:rFonts w:ascii="Arial" w:cs="Arial" w:eastAsia="Arial" w:hAnsi="Arial"/>
                <w:sz w:val="16"/>
                <w:szCs w:val="16"/>
                <w:color w:val="0000FF"/>
                <w:w w:val="97"/>
              </w:rPr>
            </w:pPr>
            <w:hyperlink w:anchor="page51">
              <w:r>
                <w:rPr>
                  <w:rFonts w:ascii="Arial" w:cs="Arial" w:eastAsia="Arial" w:hAnsi="Arial"/>
                  <w:sz w:val="16"/>
                  <w:szCs w:val="16"/>
                  <w:color w:val="0000FF"/>
                  <w:w w:val="97"/>
                </w:rPr>
                <w:t>Management's Discussion and Analysis of Financial Condition and Results of Operations</w:t>
              </w:r>
            </w:hyperlink>
          </w:p>
        </w:tc>
        <w:tc>
          <w:tcPr>
            <w:tcW w:w="248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3.</w:t>
            </w:r>
          </w:p>
        </w:tc>
        <w:tc>
          <w:tcPr>
            <w:tcW w:w="4080" w:type="dxa"/>
            <w:vAlign w:val="bottom"/>
            <w:tcBorders>
              <w:bottom w:val="single" w:sz="8" w:color="0000FF"/>
            </w:tcBorders>
            <w:gridSpan w:val="17"/>
          </w:tcPr>
          <w:p>
            <w:pPr>
              <w:spacing w:after="0"/>
              <w:rPr>
                <w:rFonts w:ascii="Arial" w:cs="Arial" w:eastAsia="Arial" w:hAnsi="Arial"/>
                <w:sz w:val="16"/>
                <w:szCs w:val="16"/>
                <w:color w:val="0000FF"/>
                <w:w w:val="96"/>
              </w:rPr>
            </w:pPr>
            <w:hyperlink w:anchor="page90">
              <w:r>
                <w:rPr>
                  <w:rFonts w:ascii="Arial" w:cs="Arial" w:eastAsia="Arial" w:hAnsi="Arial"/>
                  <w:sz w:val="16"/>
                  <w:szCs w:val="16"/>
                  <w:color w:val="0000FF"/>
                  <w:w w:val="96"/>
                </w:rPr>
                <w:t>Quantitative and Qualitative Disclosures About Market Risk</w:t>
              </w:r>
            </w:hyperlink>
          </w:p>
        </w:tc>
        <w:tc>
          <w:tcPr>
            <w:tcW w:w="454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4.</w:t>
            </w:r>
          </w:p>
        </w:tc>
        <w:tc>
          <w:tcPr>
            <w:tcW w:w="8620" w:type="dxa"/>
            <w:vAlign w:val="bottom"/>
            <w:gridSpan w:val="27"/>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Controls and Procedures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9840" w:type="dxa"/>
            <w:vAlign w:val="bottom"/>
            <w:gridSpan w:val="30"/>
          </w:tcPr>
          <w:p>
            <w:pPr>
              <w:ind w:left="20"/>
              <w:spacing w:after="0"/>
              <w:rPr>
                <w:rFonts w:ascii="Arial" w:cs="Arial" w:eastAsia="Arial" w:hAnsi="Arial"/>
                <w:sz w:val="16"/>
                <w:szCs w:val="16"/>
                <w:color w:val="0000FF"/>
              </w:rPr>
            </w:pPr>
            <w:hyperlink w:anchor="page91">
              <w:r>
                <w:rPr>
                  <w:rFonts w:ascii="Arial" w:cs="Arial" w:eastAsia="Arial" w:hAnsi="Arial"/>
                  <w:sz w:val="16"/>
                  <w:szCs w:val="16"/>
                  <w:color w:val="0000FF"/>
                </w:rPr>
                <w:t>Part II.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91">
              <w:r>
                <w:rPr>
                  <w:rFonts w:ascii="Arial" w:cs="Arial" w:eastAsia="Arial" w:hAnsi="Arial"/>
                  <w:sz w:val="16"/>
                  <w:szCs w:val="16"/>
                  <w:color w:val="0000FF"/>
                  <w:w w:val="96"/>
                </w:rPr>
                <w:t>Legal Proceedings</w:t>
              </w:r>
            </w:hyperlink>
          </w:p>
        </w:tc>
        <w:tc>
          <w:tcPr>
            <w:tcW w:w="7320" w:type="dxa"/>
            <w:vAlign w:val="bottom"/>
            <w:gridSpan w:val="2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1A.</w:t>
            </w:r>
          </w:p>
        </w:tc>
        <w:tc>
          <w:tcPr>
            <w:tcW w:w="8620" w:type="dxa"/>
            <w:vAlign w:val="bottom"/>
            <w:gridSpan w:val="27"/>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Risk Factors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2.</w:t>
            </w:r>
          </w:p>
        </w:tc>
        <w:tc>
          <w:tcPr>
            <w:tcW w:w="4200" w:type="dxa"/>
            <w:vAlign w:val="bottom"/>
            <w:tcBorders>
              <w:bottom w:val="single" w:sz="8" w:color="0000FF"/>
            </w:tcBorders>
            <w:gridSpan w:val="18"/>
          </w:tcPr>
          <w:p>
            <w:pPr>
              <w:spacing w:after="0"/>
              <w:rPr>
                <w:rFonts w:ascii="Arial" w:cs="Arial" w:eastAsia="Arial" w:hAnsi="Arial"/>
                <w:sz w:val="16"/>
                <w:szCs w:val="16"/>
                <w:color w:val="0000FF"/>
                <w:w w:val="96"/>
              </w:rPr>
            </w:pPr>
            <w:hyperlink w:anchor="page91">
              <w:r>
                <w:rPr>
                  <w:rFonts w:ascii="Arial" w:cs="Arial" w:eastAsia="Arial" w:hAnsi="Arial"/>
                  <w:sz w:val="16"/>
                  <w:szCs w:val="16"/>
                  <w:color w:val="0000FF"/>
                  <w:w w:val="96"/>
                </w:rPr>
                <w:t>Unregistered Sales of Equity Securities and Use of Proceeds</w:t>
              </w:r>
            </w:hyperlink>
          </w:p>
        </w:tc>
        <w:tc>
          <w:tcPr>
            <w:tcW w:w="442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3.</w:t>
            </w:r>
          </w:p>
        </w:tc>
        <w:tc>
          <w:tcPr>
            <w:tcW w:w="8620" w:type="dxa"/>
            <w:vAlign w:val="bottom"/>
            <w:gridSpan w:val="27"/>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Defaults Upon Senior Securities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4.</w:t>
            </w:r>
          </w:p>
        </w:tc>
        <w:tc>
          <w:tcPr>
            <w:tcW w:w="2200" w:type="dxa"/>
            <w:vAlign w:val="bottom"/>
            <w:tcBorders>
              <w:top w:val="single" w:sz="8" w:color="0000FF"/>
            </w:tcBorders>
            <w:gridSpan w:val="11"/>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Mine Safety Disclosures</w:t>
              </w:r>
            </w:hyperlink>
          </w:p>
        </w:tc>
        <w:tc>
          <w:tcPr>
            <w:tcW w:w="642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5.</w:t>
            </w:r>
          </w:p>
        </w:tc>
        <w:tc>
          <w:tcPr>
            <w:tcW w:w="124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96"/>
              </w:rPr>
            </w:pPr>
            <w:hyperlink w:anchor="page91">
              <w:r>
                <w:rPr>
                  <w:rFonts w:ascii="Arial" w:cs="Arial" w:eastAsia="Arial" w:hAnsi="Arial"/>
                  <w:sz w:val="16"/>
                  <w:szCs w:val="16"/>
                  <w:color w:val="0000FF"/>
                  <w:w w:val="96"/>
                </w:rPr>
                <w:t>Other Information</w:t>
              </w:r>
            </w:hyperlink>
          </w:p>
        </w:tc>
        <w:tc>
          <w:tcPr>
            <w:tcW w:w="480" w:type="dxa"/>
            <w:vAlign w:val="bottom"/>
            <w:tcBorders>
              <w:top w:val="single" w:sz="8" w:color="0000FF"/>
            </w:tcBorders>
            <w:gridSpan w:val="5"/>
          </w:tcPr>
          <w:p>
            <w:pPr>
              <w:spacing w:after="0"/>
              <w:rPr>
                <w:sz w:val="24"/>
                <w:szCs w:val="24"/>
                <w:color w:val="auto"/>
              </w:rPr>
            </w:pPr>
          </w:p>
        </w:tc>
        <w:tc>
          <w:tcPr>
            <w:tcW w:w="690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Item 6.</w:t>
            </w:r>
          </w:p>
        </w:tc>
        <w:tc>
          <w:tcPr>
            <w:tcW w:w="8620" w:type="dxa"/>
            <w:vAlign w:val="bottom"/>
            <w:gridSpan w:val="27"/>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Exhibits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28"/>
        </w:trPr>
        <w:tc>
          <w:tcPr>
            <w:tcW w:w="1220" w:type="dxa"/>
            <w:vAlign w:val="bottom"/>
            <w:gridSpan w:val="3"/>
          </w:tcPr>
          <w:p>
            <w:pPr>
              <w:ind w:left="20"/>
              <w:spacing w:after="0"/>
              <w:rPr>
                <w:rFonts w:ascii="Arial" w:cs="Arial" w:eastAsia="Arial" w:hAnsi="Arial"/>
                <w:sz w:val="16"/>
                <w:szCs w:val="16"/>
                <w:color w:val="0000FF"/>
              </w:rPr>
            </w:pPr>
            <w:hyperlink w:anchor="page93">
              <w:r>
                <w:rPr>
                  <w:rFonts w:ascii="Arial" w:cs="Arial" w:eastAsia="Arial" w:hAnsi="Arial"/>
                  <w:sz w:val="16"/>
                  <w:szCs w:val="16"/>
                  <w:color w:val="0000FF"/>
                </w:rPr>
                <w:t>SIGNATURES</w:t>
              </w:r>
            </w:hyperlink>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4480" w:type="dxa"/>
            <w:vAlign w:val="bottom"/>
            <w:gridSpan w:val="19"/>
            <w:vMerge w:val="restart"/>
          </w:tcPr>
          <w:p>
            <w:pPr>
              <w:jc w:val="center"/>
              <w:ind w:left="3562"/>
              <w:spacing w:after="0"/>
              <w:rPr>
                <w:sz w:val="20"/>
                <w:szCs w:val="20"/>
                <w:color w:val="auto"/>
              </w:rPr>
            </w:pPr>
            <w:r>
              <w:rPr>
                <w:rFonts w:ascii="Arial" w:cs="Arial" w:eastAsia="Arial" w:hAnsi="Arial"/>
                <w:sz w:val="16"/>
                <w:szCs w:val="16"/>
                <w:color w:val="auto"/>
                <w:w w:val="98"/>
              </w:rPr>
              <w:t>- 2 -</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9"/>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34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48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580" w:type="dxa"/>
            <w:vAlign w:val="bottom"/>
            <w:tcBorders>
              <w:bottom w:val="single" w:sz="8" w:color="EEEEEE"/>
            </w:tcBorders>
          </w:tcPr>
          <w:p>
            <w:pPr>
              <w:spacing w:after="0"/>
              <w:rPr>
                <w:sz w:val="8"/>
                <w:szCs w:val="8"/>
                <w:color w:val="auto"/>
              </w:rPr>
            </w:pPr>
          </w:p>
        </w:tc>
        <w:tc>
          <w:tcPr>
            <w:tcW w:w="80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040" w:type="dxa"/>
            <w:vAlign w:val="bottom"/>
            <w:tcBorders>
              <w:bottom w:val="single" w:sz="8" w:color="EEEEEE"/>
            </w:tcBorders>
          </w:tcPr>
          <w:p>
            <w:pPr>
              <w:spacing w:after="0"/>
              <w:rPr>
                <w:sz w:val="8"/>
                <w:szCs w:val="8"/>
                <w:color w:val="auto"/>
              </w:rPr>
            </w:pPr>
          </w:p>
        </w:tc>
        <w:tc>
          <w:tcPr>
            <w:tcW w:w="4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560070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575310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-4382135</wp:posOffset>
            </wp:positionV>
            <wp:extent cx="30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-4046855</wp:posOffset>
            </wp:positionV>
            <wp:extent cx="30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40" w:orient="portrait"/>
          <w:cols w:equalWidth="0" w:num="1">
            <w:col w:w="10560"/>
          </w:cols>
          <w:pgMar w:left="660" w:top="914" w:right="6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7620" w:type="dxa"/>
            <w:vAlign w:val="bottom"/>
          </w:tcPr>
          <w:p>
            <w:pPr>
              <w:ind w:left="1300"/>
              <w:spacing w:after="0"/>
              <w:rPr>
                <w:sz w:val="20"/>
                <w:szCs w:val="20"/>
                <w:color w:val="auto"/>
              </w:rPr>
            </w:pPr>
            <w:r>
              <w:rPr>
                <w:rFonts w:ascii="Arial" w:cs="Arial" w:eastAsia="Arial" w:hAnsi="Arial"/>
                <w:sz w:val="18"/>
                <w:szCs w:val="18"/>
                <w:color w:val="auto"/>
              </w:rPr>
              <w:t>GLOSSARY OF TERMS</w:t>
            </w:r>
          </w:p>
        </w:tc>
      </w:tr>
      <w:tr>
        <w:trPr>
          <w:trHeight w:val="444"/>
        </w:trPr>
        <w:tc>
          <w:tcPr>
            <w:tcW w:w="10560" w:type="dxa"/>
            <w:vAlign w:val="bottom"/>
            <w:gridSpan w:val="2"/>
          </w:tcPr>
          <w:p>
            <w:pPr>
              <w:spacing w:after="0"/>
              <w:rPr>
                <w:sz w:val="20"/>
                <w:szCs w:val="20"/>
                <w:color w:val="auto"/>
              </w:rPr>
            </w:pPr>
            <w:r>
              <w:rPr>
                <w:rFonts w:ascii="Arial" w:cs="Arial" w:eastAsia="Arial" w:hAnsi="Arial"/>
                <w:sz w:val="18"/>
                <w:szCs w:val="18"/>
                <w:color w:val="auto"/>
              </w:rPr>
              <w:t>The following listing includes acronyms and terms used throughout the document.</w:t>
            </w:r>
          </w:p>
        </w:tc>
      </w:tr>
      <w:tr>
        <w:trPr>
          <w:trHeight w:val="474"/>
        </w:trPr>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Term</w:t>
            </w:r>
          </w:p>
        </w:tc>
        <w:tc>
          <w:tcPr>
            <w:tcW w:w="7620" w:type="dxa"/>
            <w:vAlign w:val="bottom"/>
          </w:tcPr>
          <w:p>
            <w:pPr>
              <w:ind w:left="320"/>
              <w:spacing w:after="0"/>
              <w:rPr>
                <w:sz w:val="20"/>
                <w:szCs w:val="20"/>
                <w:color w:val="auto"/>
              </w:rPr>
            </w:pPr>
            <w:r>
              <w:rPr>
                <w:rFonts w:ascii="Arial" w:cs="Arial" w:eastAsia="Arial" w:hAnsi="Arial"/>
                <w:sz w:val="18"/>
                <w:szCs w:val="18"/>
                <w:b w:val="1"/>
                <w:bCs w:val="1"/>
                <w:color w:val="auto"/>
              </w:rPr>
              <w:t>Definition</w:t>
            </w:r>
          </w:p>
        </w:tc>
      </w:tr>
      <w:tr>
        <w:trPr>
          <w:trHeight w:val="240"/>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2022 Annual Report</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Form 10-K for the year ended December 31, 2022</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Bayview Financial</w:t>
            </w:r>
          </w:p>
        </w:tc>
        <w:tc>
          <w:tcPr>
            <w:tcW w:w="7620" w:type="dxa"/>
            <w:vAlign w:val="bottom"/>
          </w:tcPr>
          <w:p>
            <w:pPr>
              <w:ind w:left="320"/>
              <w:spacing w:after="0"/>
              <w:rPr>
                <w:sz w:val="20"/>
                <w:szCs w:val="20"/>
                <w:color w:val="auto"/>
              </w:rPr>
            </w:pPr>
            <w:r>
              <w:rPr>
                <w:rFonts w:ascii="Arial" w:cs="Arial" w:eastAsia="Arial" w:hAnsi="Arial"/>
                <w:sz w:val="18"/>
                <w:szCs w:val="18"/>
                <w:color w:val="auto"/>
              </w:rPr>
              <w:t>Bayview Financial Holdings, L.P. together with its affiliates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BLG</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Bayview Lending Group LLC</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CET1</w:t>
            </w:r>
          </w:p>
        </w:tc>
        <w:tc>
          <w:tcPr>
            <w:tcW w:w="7620" w:type="dxa"/>
            <w:vAlign w:val="bottom"/>
          </w:tcPr>
          <w:p>
            <w:pPr>
              <w:ind w:left="320"/>
              <w:spacing w:after="0"/>
              <w:rPr>
                <w:sz w:val="20"/>
                <w:szCs w:val="20"/>
                <w:color w:val="auto"/>
              </w:rPr>
            </w:pPr>
            <w:r>
              <w:rPr>
                <w:rFonts w:ascii="Arial" w:cs="Arial" w:eastAsia="Arial" w:hAnsi="Arial"/>
                <w:sz w:val="18"/>
                <w:szCs w:val="18"/>
                <w:color w:val="auto"/>
              </w:rPr>
              <w:t>Common Equity Tier 1</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CIT</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Collective Investment Trust</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The Company</w:t>
            </w:r>
          </w:p>
        </w:tc>
        <w:tc>
          <w:tcPr>
            <w:tcW w:w="7620" w:type="dxa"/>
            <w:vAlign w:val="bottom"/>
          </w:tcPr>
          <w:p>
            <w:pPr>
              <w:ind w:left="320"/>
              <w:spacing w:after="0"/>
              <w:rPr>
                <w:sz w:val="20"/>
                <w:szCs w:val="20"/>
                <w:color w:val="auto"/>
              </w:rPr>
            </w:pPr>
            <w:r>
              <w:rPr>
                <w:rFonts w:ascii="Arial" w:cs="Arial" w:eastAsia="Arial" w:hAnsi="Arial"/>
                <w:sz w:val="18"/>
                <w:szCs w:val="18"/>
                <w:color w:val="auto"/>
              </w:rPr>
              <w:t>M&amp;T Bank Corporation and its consolidated subsidiaries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DIF</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Deposit Insurance Fund</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FDIC</w:t>
            </w:r>
          </w:p>
        </w:tc>
        <w:tc>
          <w:tcPr>
            <w:tcW w:w="7620" w:type="dxa"/>
            <w:vAlign w:val="bottom"/>
          </w:tcPr>
          <w:p>
            <w:pPr>
              <w:ind w:left="320"/>
              <w:spacing w:after="0"/>
              <w:rPr>
                <w:sz w:val="20"/>
                <w:szCs w:val="20"/>
                <w:color w:val="auto"/>
              </w:rPr>
            </w:pPr>
            <w:r>
              <w:rPr>
                <w:rFonts w:ascii="Arial" w:cs="Arial" w:eastAsia="Arial" w:hAnsi="Arial"/>
                <w:sz w:val="18"/>
                <w:szCs w:val="18"/>
                <w:color w:val="auto"/>
              </w:rPr>
              <w:t>Federal Deposit Insurance Corporation</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FHLB</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Federal Home Loan Bank</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FOMC</w:t>
            </w:r>
          </w:p>
        </w:tc>
        <w:tc>
          <w:tcPr>
            <w:tcW w:w="7620" w:type="dxa"/>
            <w:vAlign w:val="bottom"/>
          </w:tcPr>
          <w:p>
            <w:pPr>
              <w:ind w:left="320"/>
              <w:spacing w:after="0"/>
              <w:rPr>
                <w:sz w:val="20"/>
                <w:szCs w:val="20"/>
                <w:color w:val="auto"/>
              </w:rPr>
            </w:pPr>
            <w:r>
              <w:rPr>
                <w:rFonts w:ascii="Arial" w:cs="Arial" w:eastAsia="Arial" w:hAnsi="Arial"/>
                <w:sz w:val="18"/>
                <w:szCs w:val="18"/>
                <w:color w:val="auto"/>
              </w:rPr>
              <w:t>Federal Open Market Committee</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FRB</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Federal Reserve Bank</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Future Factors</w:t>
            </w:r>
          </w:p>
        </w:tc>
        <w:tc>
          <w:tcPr>
            <w:tcW w:w="7620" w:type="dxa"/>
            <w:vAlign w:val="bottom"/>
          </w:tcPr>
          <w:p>
            <w:pPr>
              <w:ind w:left="320"/>
              <w:spacing w:after="0"/>
              <w:rPr>
                <w:sz w:val="20"/>
                <w:szCs w:val="20"/>
                <w:color w:val="auto"/>
              </w:rPr>
            </w:pPr>
            <w:r>
              <w:rPr>
                <w:rFonts w:ascii="Arial" w:cs="Arial" w:eastAsia="Arial" w:hAnsi="Arial"/>
                <w:sz w:val="18"/>
                <w:szCs w:val="18"/>
                <w:color w:val="auto"/>
              </w:rPr>
              <w:t>Certain risks, uncertainties, and assumptions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GAAP</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ICS</w:t>
            </w:r>
          </w:p>
        </w:tc>
        <w:tc>
          <w:tcPr>
            <w:tcW w:w="7620" w:type="dxa"/>
            <w:vAlign w:val="bottom"/>
          </w:tcPr>
          <w:p>
            <w:pPr>
              <w:ind w:left="320"/>
              <w:spacing w:after="0"/>
              <w:rPr>
                <w:sz w:val="20"/>
                <w:szCs w:val="20"/>
                <w:color w:val="auto"/>
              </w:rPr>
            </w:pPr>
            <w:r>
              <w:rPr>
                <w:rFonts w:ascii="Arial" w:cs="Arial" w:eastAsia="Arial" w:hAnsi="Arial"/>
                <w:sz w:val="18"/>
                <w:szCs w:val="18"/>
                <w:color w:val="auto"/>
              </w:rPr>
              <w:t>Institutional Client Services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IDI</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Insured depository institution</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Junior subordinated debentures</w:t>
            </w:r>
          </w:p>
        </w:tc>
        <w:tc>
          <w:tcPr>
            <w:tcW w:w="7620" w:type="dxa"/>
            <w:vAlign w:val="bottom"/>
          </w:tcPr>
          <w:p>
            <w:pPr>
              <w:ind w:left="320"/>
              <w:spacing w:after="0"/>
              <w:rPr>
                <w:sz w:val="20"/>
                <w:szCs w:val="20"/>
                <w:color w:val="auto"/>
              </w:rPr>
            </w:pPr>
            <w:r>
              <w:rPr>
                <w:rFonts w:ascii="Arial" w:cs="Arial" w:eastAsia="Arial" w:hAnsi="Arial"/>
                <w:sz w:val="18"/>
                <w:szCs w:val="18"/>
                <w:color w:val="auto"/>
              </w:rPr>
              <w:t>Fixed and variable rate junior subordinated deferrable interest debentures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LIBOR</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London Interbank Offered Rate</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LTV</w:t>
            </w:r>
          </w:p>
        </w:tc>
        <w:tc>
          <w:tcPr>
            <w:tcW w:w="7620" w:type="dxa"/>
            <w:vAlign w:val="bottom"/>
          </w:tcPr>
          <w:p>
            <w:pPr>
              <w:ind w:left="320"/>
              <w:spacing w:after="0"/>
              <w:rPr>
                <w:sz w:val="20"/>
                <w:szCs w:val="20"/>
                <w:color w:val="auto"/>
              </w:rPr>
            </w:pPr>
            <w:r>
              <w:rPr>
                <w:rFonts w:ascii="Arial" w:cs="Arial" w:eastAsia="Arial" w:hAnsi="Arial"/>
                <w:sz w:val="18"/>
                <w:szCs w:val="18"/>
                <w:color w:val="auto"/>
              </w:rPr>
              <w:t>Loan-to-value</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M&amp;T</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M&amp;T Bank Corporation</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M&amp;T Bank</w:t>
            </w:r>
          </w:p>
        </w:tc>
        <w:tc>
          <w:tcPr>
            <w:tcW w:w="7620" w:type="dxa"/>
            <w:vAlign w:val="bottom"/>
          </w:tcPr>
          <w:p>
            <w:pPr>
              <w:ind w:left="320"/>
              <w:spacing w:after="0"/>
              <w:rPr>
                <w:sz w:val="20"/>
                <w:szCs w:val="20"/>
                <w:color w:val="auto"/>
              </w:rPr>
            </w:pPr>
            <w:r>
              <w:rPr>
                <w:rFonts w:ascii="Arial" w:cs="Arial" w:eastAsia="Arial" w:hAnsi="Arial"/>
                <w:sz w:val="18"/>
                <w:szCs w:val="18"/>
                <w:color w:val="auto"/>
              </w:rPr>
              <w:t>Manufacturers and Traders Trust Company</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MTIA</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M&amp;T Insurance Agency, Inc.</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PCD</w:t>
            </w:r>
          </w:p>
        </w:tc>
        <w:tc>
          <w:tcPr>
            <w:tcW w:w="7620" w:type="dxa"/>
            <w:vAlign w:val="bottom"/>
          </w:tcPr>
          <w:p>
            <w:pPr>
              <w:ind w:left="320"/>
              <w:spacing w:after="0"/>
              <w:rPr>
                <w:sz w:val="20"/>
                <w:szCs w:val="20"/>
                <w:color w:val="auto"/>
              </w:rPr>
            </w:pPr>
            <w:r>
              <w:rPr>
                <w:rFonts w:ascii="Arial" w:cs="Arial" w:eastAsia="Arial" w:hAnsi="Arial"/>
                <w:sz w:val="18"/>
                <w:szCs w:val="18"/>
                <w:color w:val="auto"/>
              </w:rPr>
              <w:t>Purchased credit deteriorated</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People’s United</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People’s United Financial, Inc.</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PPP</w:t>
            </w:r>
          </w:p>
        </w:tc>
        <w:tc>
          <w:tcPr>
            <w:tcW w:w="7620" w:type="dxa"/>
            <w:vAlign w:val="bottom"/>
          </w:tcPr>
          <w:p>
            <w:pPr>
              <w:ind w:left="320"/>
              <w:spacing w:after="0"/>
              <w:rPr>
                <w:sz w:val="20"/>
                <w:szCs w:val="20"/>
                <w:color w:val="auto"/>
              </w:rPr>
            </w:pPr>
            <w:r>
              <w:rPr>
                <w:rFonts w:ascii="Arial" w:cs="Arial" w:eastAsia="Arial" w:hAnsi="Arial"/>
                <w:sz w:val="18"/>
                <w:szCs w:val="18"/>
                <w:color w:val="auto"/>
              </w:rPr>
              <w:t>Paycheck Protection Program</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Protocol</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IBOR Fallback Protocol</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SEC</w:t>
            </w:r>
          </w:p>
        </w:tc>
        <w:tc>
          <w:tcPr>
            <w:tcW w:w="7620" w:type="dxa"/>
            <w:vAlign w:val="bottom"/>
          </w:tcPr>
          <w:p>
            <w:pPr>
              <w:ind w:left="32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Series H Preferred Stock</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Series H Perpetual Fixed-to-Floating Rate Non-cumulative Preferred Stock of M&amp;T</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SOFR</w:t>
            </w:r>
          </w:p>
        </w:tc>
        <w:tc>
          <w:tcPr>
            <w:tcW w:w="7620" w:type="dxa"/>
            <w:vAlign w:val="bottom"/>
          </w:tcPr>
          <w:p>
            <w:pPr>
              <w:ind w:left="320"/>
              <w:spacing w:after="0"/>
              <w:rPr>
                <w:sz w:val="20"/>
                <w:szCs w:val="20"/>
                <w:color w:val="auto"/>
              </w:rPr>
            </w:pPr>
            <w:r>
              <w:rPr>
                <w:rFonts w:ascii="Arial" w:cs="Arial" w:eastAsia="Arial" w:hAnsi="Arial"/>
                <w:sz w:val="18"/>
                <w:szCs w:val="18"/>
                <w:color w:val="auto"/>
              </w:rPr>
              <w:t>Secured Overnight Financing Rate</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Supplement</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IBOR Fallbacks Supplement</w:t>
            </w:r>
          </w:p>
        </w:tc>
      </w:tr>
      <w:tr>
        <w:trPr>
          <w:trHeight w:val="237"/>
        </w:trPr>
        <w:tc>
          <w:tcPr>
            <w:tcW w:w="2940" w:type="dxa"/>
            <w:vAlign w:val="bottom"/>
          </w:tcPr>
          <w:p>
            <w:pPr>
              <w:ind w:left="100"/>
              <w:spacing w:after="0"/>
              <w:rPr>
                <w:sz w:val="20"/>
                <w:szCs w:val="20"/>
                <w:color w:val="auto"/>
              </w:rPr>
            </w:pPr>
            <w:r>
              <w:rPr>
                <w:rFonts w:ascii="Arial" w:cs="Arial" w:eastAsia="Arial" w:hAnsi="Arial"/>
                <w:sz w:val="18"/>
                <w:szCs w:val="18"/>
                <w:color w:val="auto"/>
              </w:rPr>
              <w:t>VRDB</w:t>
            </w:r>
          </w:p>
        </w:tc>
        <w:tc>
          <w:tcPr>
            <w:tcW w:w="7620" w:type="dxa"/>
            <w:vAlign w:val="bottom"/>
          </w:tcPr>
          <w:p>
            <w:pPr>
              <w:ind w:left="320"/>
              <w:spacing w:after="0"/>
              <w:rPr>
                <w:sz w:val="20"/>
                <w:szCs w:val="20"/>
                <w:color w:val="auto"/>
              </w:rPr>
            </w:pPr>
            <w:r>
              <w:rPr>
                <w:rFonts w:ascii="Arial" w:cs="Arial" w:eastAsia="Arial" w:hAnsi="Arial"/>
                <w:sz w:val="18"/>
                <w:szCs w:val="18"/>
                <w:color w:val="auto"/>
              </w:rPr>
              <w:t>Variable rate demand bonds</w:t>
            </w:r>
          </w:p>
        </w:tc>
      </w:tr>
      <w:tr>
        <w:trPr>
          <w:trHeight w:val="243"/>
        </w:trPr>
        <w:tc>
          <w:tcPr>
            <w:tcW w:w="2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WAS</w:t>
            </w:r>
          </w:p>
        </w:tc>
        <w:tc>
          <w:tcPr>
            <w:tcW w:w="76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Wealth Advisory Services</w:t>
            </w:r>
          </w:p>
        </w:tc>
      </w:tr>
      <w:tr>
        <w:trPr>
          <w:trHeight w:val="562"/>
        </w:trPr>
        <w:tc>
          <w:tcPr>
            <w:tcW w:w="2940" w:type="dxa"/>
            <w:vAlign w:val="bottom"/>
          </w:tcPr>
          <w:p>
            <w:pPr>
              <w:spacing w:after="0"/>
              <w:rPr>
                <w:sz w:val="24"/>
                <w:szCs w:val="24"/>
                <w:color w:val="auto"/>
              </w:rPr>
            </w:pPr>
          </w:p>
        </w:tc>
        <w:tc>
          <w:tcPr>
            <w:tcW w:w="7620" w:type="dxa"/>
            <w:vAlign w:val="bottom"/>
          </w:tcPr>
          <w:p>
            <w:pPr>
              <w:ind w:left="2200"/>
              <w:spacing w:after="0"/>
              <w:rPr>
                <w:sz w:val="20"/>
                <w:szCs w:val="20"/>
                <w:color w:val="auto"/>
              </w:rPr>
            </w:pPr>
            <w:r>
              <w:rPr>
                <w:rFonts w:ascii="Arial" w:cs="Arial" w:eastAsia="Arial" w:hAnsi="Arial"/>
                <w:sz w:val="16"/>
                <w:szCs w:val="16"/>
                <w:color w:val="auto"/>
              </w:rPr>
              <w:t>- 3 -</w:t>
            </w:r>
          </w:p>
        </w:tc>
      </w:tr>
      <w:tr>
        <w:trPr>
          <w:trHeight w:val="98"/>
        </w:trPr>
        <w:tc>
          <w:tcPr>
            <w:tcW w:w="2940" w:type="dxa"/>
            <w:vAlign w:val="bottom"/>
            <w:tcBorders>
              <w:bottom w:val="single" w:sz="8" w:color="EEEEEE"/>
            </w:tcBorders>
          </w:tcPr>
          <w:p>
            <w:pPr>
              <w:spacing w:after="0"/>
              <w:rPr>
                <w:sz w:val="8"/>
                <w:szCs w:val="8"/>
                <w:color w:val="auto"/>
              </w:rPr>
            </w:pPr>
          </w:p>
        </w:tc>
        <w:tc>
          <w:tcPr>
            <w:tcW w:w="76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9" w:right="68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PART I. 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CONSOLIDATED BALANCE SHEET (Unaudited)</w:t>
      </w:r>
    </w:p>
    <w:p>
      <w:pPr>
        <w:sectPr>
          <w:pgSz w:w="11900" w:h="16840" w:orient="portrait"/>
          <w:cols w:equalWidth="0" w:num="1">
            <w:col w:w="10560"/>
          </w:cols>
          <w:pgMar w:left="660" w:top="743" w:right="680" w:bottom="1440" w:gutter="0" w:footer="0" w:header="0"/>
        </w:sect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(Dollars in thousands, except per share)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September 30,</w:t>
      </w:r>
    </w:p>
    <w:p>
      <w:pPr>
        <w:spacing w:after="0" w:line="34" w:lineRule="exact"/>
        <w:rPr>
          <w:sz w:val="20"/>
          <w:szCs w:val="20"/>
          <w:color w:val="auto"/>
        </w:rPr>
      </w:pPr>
    </w:p>
    <w:p>
      <w:pPr>
        <w:jc w:val="center"/>
        <w:ind w:left="-19"/>
        <w:spacing w:after="0"/>
        <w:rPr>
          <w:sz w:val="20"/>
          <w:szCs w:val="20"/>
          <w:color w:val="auto"/>
        </w:rPr>
      </w:pPr>
      <w:r>
        <w:rPr>
          <w:rFonts w:ascii="Arial" w:cs="Arial" w:eastAsia="Arial" w:hAnsi="Arial"/>
          <w:sz w:val="13"/>
          <w:szCs w:val="13"/>
          <w:b w:val="1"/>
          <w:bCs w:val="1"/>
          <w:color w:val="auto"/>
        </w:rPr>
        <w:t>2023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December 31,</w:t>
      </w:r>
    </w:p>
    <w:p>
      <w:pPr>
        <w:spacing w:after="0" w:line="34"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2022</w:t>
      </w:r>
    </w:p>
    <w:p>
      <w:pPr>
        <w:spacing w:after="0" w:line="31" w:lineRule="exact"/>
        <w:rPr>
          <w:sz w:val="20"/>
          <w:szCs w:val="20"/>
          <w:color w:val="auto"/>
        </w:rPr>
      </w:pPr>
    </w:p>
    <w:p>
      <w:pPr>
        <w:sectPr>
          <w:pgSz w:w="11900" w:h="16840" w:orient="portrait"/>
          <w:cols w:equalWidth="0" w:num="3">
            <w:col w:w="7080" w:space="720"/>
            <w:col w:w="900" w:space="720"/>
            <w:col w:w="1140"/>
          </w:cols>
          <w:pgMar w:left="660" w:top="743" w:right="680"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707505" cy="121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20"/>
              <w:spacing w:after="0"/>
              <w:rPr>
                <w:sz w:val="20"/>
                <w:szCs w:val="20"/>
                <w:color w:val="auto"/>
              </w:rPr>
            </w:pPr>
            <w:r>
              <w:rPr>
                <w:rFonts w:ascii="Arial" w:cs="Arial" w:eastAsia="Arial" w:hAnsi="Arial"/>
                <w:sz w:val="13"/>
                <w:szCs w:val="13"/>
                <w:color w:val="auto"/>
              </w:rPr>
              <w:t>Cash and due from banks</w:t>
            </w: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1,768,864</w:t>
            </w:r>
          </w:p>
        </w:tc>
        <w:tc>
          <w:tcPr>
            <w:tcW w:w="36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1,517,244</w:t>
            </w:r>
          </w:p>
        </w:tc>
        <w:tc>
          <w:tcPr>
            <w:tcW w:w="80" w:type="dxa"/>
            <w:vAlign w:val="bottom"/>
          </w:tcPr>
          <w:p>
            <w:pPr>
              <w:spacing w:after="0"/>
              <w:rPr>
                <w:sz w:val="14"/>
                <w:szCs w:val="14"/>
                <w:color w:val="auto"/>
              </w:rPr>
            </w:pPr>
          </w:p>
        </w:tc>
      </w:tr>
      <w:tr>
        <w:trPr>
          <w:trHeight w:val="184"/>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deposits at banks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30,114,286</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24,958,719</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Federal funds sold</w:t>
            </w:r>
          </w:p>
        </w:tc>
        <w:tc>
          <w:tcPr>
            <w:tcW w:w="30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3,000</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Trading account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136,998</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117,847</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Investment securities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76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Available for sale (cost: $11,038,966 at September 30,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$11,193,152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10,592,409</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10,748,961</w:t>
            </w:r>
          </w:p>
        </w:tc>
        <w:tc>
          <w:tcPr>
            <w:tcW w:w="80" w:type="dxa"/>
            <w:vAlign w:val="bottom"/>
            <w:shd w:val="clear" w:color="auto" w:fill="CFF0FC"/>
          </w:tcPr>
          <w:p>
            <w:pPr>
              <w:spacing w:after="0"/>
              <w:rPr>
                <w:sz w:val="15"/>
                <w:szCs w:val="15"/>
                <w:color w:val="auto"/>
              </w:rPr>
            </w:pPr>
          </w:p>
        </w:tc>
      </w:tr>
      <w:tr>
        <w:trPr>
          <w:trHeight w:val="161"/>
        </w:trPr>
        <w:tc>
          <w:tcPr>
            <w:tcW w:w="7620" w:type="dxa"/>
            <w:vAlign w:val="bottom"/>
          </w:tcPr>
          <w:p>
            <w:pPr>
              <w:ind w:left="180"/>
              <w:spacing w:after="0"/>
              <w:rPr>
                <w:sz w:val="20"/>
                <w:szCs w:val="20"/>
                <w:color w:val="auto"/>
              </w:rPr>
            </w:pPr>
            <w:r>
              <w:rPr>
                <w:rFonts w:ascii="Arial" w:cs="Arial" w:eastAsia="Arial" w:hAnsi="Arial"/>
                <w:sz w:val="13"/>
                <w:szCs w:val="13"/>
                <w:color w:val="auto"/>
              </w:rPr>
              <w:t>Held to maturity (fair value: $13,764,943 at September 30, 2023;</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7620" w:type="dxa"/>
            <w:vAlign w:val="bottom"/>
          </w:tcPr>
          <w:p>
            <w:pPr>
              <w:ind w:left="280"/>
              <w:spacing w:after="0"/>
              <w:rPr>
                <w:sz w:val="20"/>
                <w:szCs w:val="20"/>
                <w:color w:val="auto"/>
              </w:rPr>
            </w:pPr>
            <w:r>
              <w:rPr>
                <w:rFonts w:ascii="Arial" w:cs="Arial" w:eastAsia="Arial" w:hAnsi="Arial"/>
                <w:sz w:val="13"/>
                <w:szCs w:val="13"/>
                <w:color w:val="auto"/>
              </w:rPr>
              <w:t>$12,375,420 at December 31, 2022)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15,571,120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13,529,969</w:t>
            </w:r>
          </w:p>
        </w:tc>
        <w:tc>
          <w:tcPr>
            <w:tcW w:w="80" w:type="dxa"/>
            <w:vAlign w:val="bottom"/>
          </w:tcPr>
          <w:p>
            <w:pPr>
              <w:spacing w:after="0"/>
              <w:rPr>
                <w:sz w:val="14"/>
                <w:szCs w:val="14"/>
                <w:color w:val="auto"/>
              </w:rPr>
            </w:pPr>
          </w:p>
        </w:tc>
      </w:tr>
      <w:tr>
        <w:trPr>
          <w:trHeight w:val="166"/>
        </w:trPr>
        <w:tc>
          <w:tcPr>
            <w:tcW w:w="76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Equity and other securities (cost: $1,174,046 at September 30,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$933,766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1,172,574</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931,941</w:t>
            </w:r>
          </w:p>
        </w:tc>
        <w:tc>
          <w:tcPr>
            <w:tcW w:w="80" w:type="dxa"/>
            <w:vAlign w:val="bottom"/>
            <w:shd w:val="clear" w:color="auto" w:fill="CFF0FC"/>
          </w:tcPr>
          <w:p>
            <w:pPr>
              <w:spacing w:after="0"/>
              <w:rPr>
                <w:sz w:val="15"/>
                <w:szCs w:val="15"/>
                <w:color w:val="auto"/>
              </w:rPr>
            </w:pPr>
          </w:p>
        </w:tc>
      </w:tr>
      <w:tr>
        <w:trPr>
          <w:trHeight w:val="175"/>
        </w:trPr>
        <w:tc>
          <w:tcPr>
            <w:tcW w:w="7620" w:type="dxa"/>
            <w:vAlign w:val="bottom"/>
          </w:tcPr>
          <w:p>
            <w:pPr>
              <w:ind w:left="340"/>
              <w:spacing w:after="0"/>
              <w:rPr>
                <w:sz w:val="20"/>
                <w:szCs w:val="20"/>
                <w:color w:val="auto"/>
              </w:rPr>
            </w:pPr>
            <w:r>
              <w:rPr>
                <w:rFonts w:ascii="Arial" w:cs="Arial" w:eastAsia="Arial" w:hAnsi="Arial"/>
                <w:sz w:val="13"/>
                <w:szCs w:val="13"/>
                <w:color w:val="auto"/>
              </w:rPr>
              <w:t>Total investment securities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27,336,103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25,210,871</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Loans and leases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133,133,497</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132,074,156</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180"/>
              <w:spacing w:after="0"/>
              <w:rPr>
                <w:sz w:val="20"/>
                <w:szCs w:val="20"/>
                <w:color w:val="auto"/>
              </w:rPr>
            </w:pPr>
            <w:r>
              <w:rPr>
                <w:rFonts w:ascii="Arial" w:cs="Arial" w:eastAsia="Arial" w:hAnsi="Arial"/>
                <w:sz w:val="13"/>
                <w:szCs w:val="13"/>
                <w:color w:val="auto"/>
              </w:rPr>
              <w:t>Unearned discount</w:t>
            </w:r>
          </w:p>
        </w:tc>
        <w:tc>
          <w:tcPr>
            <w:tcW w:w="30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(778,812 )</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(509,993 )</w:t>
            </w:r>
          </w:p>
        </w:tc>
      </w:tr>
      <w:tr>
        <w:trPr>
          <w:trHeight w:val="185"/>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132,354,685</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131,564,163</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180"/>
              <w:spacing w:after="0"/>
              <w:rPr>
                <w:sz w:val="20"/>
                <w:szCs w:val="20"/>
                <w:color w:val="auto"/>
              </w:rPr>
            </w:pPr>
            <w:r>
              <w:rPr>
                <w:rFonts w:ascii="Arial" w:cs="Arial" w:eastAsia="Arial" w:hAnsi="Arial"/>
                <w:sz w:val="13"/>
                <w:szCs w:val="13"/>
                <w:color w:val="auto"/>
              </w:rPr>
              <w:t>Allowance for credit losses</w:t>
            </w:r>
          </w:p>
        </w:tc>
        <w:tc>
          <w:tcPr>
            <w:tcW w:w="30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(2,052,127 )</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(1,925,331 )</w:t>
            </w:r>
          </w:p>
        </w:tc>
      </w:tr>
      <w:tr>
        <w:trPr>
          <w:trHeight w:val="185"/>
        </w:trPr>
        <w:tc>
          <w:tcPr>
            <w:tcW w:w="76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130,302,558</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129,638,832</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Premises and equipment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1,681,051</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1,653,628</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Goodwill</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8,465,089</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8,490,089</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162,275</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209,374</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Accrued interest and other assets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9,157,092</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8,930,237</w:t>
            </w:r>
          </w:p>
        </w:tc>
        <w:tc>
          <w:tcPr>
            <w:tcW w:w="80" w:type="dxa"/>
            <w:vAlign w:val="bottom"/>
            <w:shd w:val="clear" w:color="auto" w:fill="CFF0FC"/>
          </w:tcPr>
          <w:p>
            <w:pPr>
              <w:spacing w:after="0"/>
              <w:rPr>
                <w:sz w:val="16"/>
                <w:szCs w:val="16"/>
                <w:color w:val="auto"/>
              </w:rPr>
            </w:pPr>
          </w:p>
        </w:tc>
      </w:tr>
      <w:tr>
        <w:trPr>
          <w:trHeight w:val="180"/>
        </w:trPr>
        <w:tc>
          <w:tcPr>
            <w:tcW w:w="7620" w:type="dxa"/>
            <w:vAlign w:val="bottom"/>
          </w:tcPr>
          <w:p>
            <w:pPr>
              <w:ind w:left="34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209,124,316</w:t>
            </w:r>
          </w:p>
        </w:tc>
        <w:tc>
          <w:tcPr>
            <w:tcW w:w="360" w:type="dxa"/>
            <w:vAlign w:val="bottom"/>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200,729,841</w:t>
            </w:r>
          </w:p>
        </w:tc>
        <w:tc>
          <w:tcPr>
            <w:tcW w:w="80" w:type="dxa"/>
            <w:vAlign w:val="bottom"/>
          </w:tcPr>
          <w:p>
            <w:pPr>
              <w:spacing w:after="0"/>
              <w:rPr>
                <w:sz w:val="15"/>
                <w:szCs w:val="15"/>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21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ind w:left="20"/>
              <w:spacing w:after="0"/>
              <w:rPr>
                <w:sz w:val="20"/>
                <w:szCs w:val="20"/>
                <w:color w:val="auto"/>
              </w:rPr>
            </w:pPr>
            <w:r>
              <w:rPr>
                <w:rFonts w:ascii="Arial" w:cs="Arial" w:eastAsia="Arial" w:hAnsi="Arial"/>
                <w:sz w:val="13"/>
                <w:szCs w:val="13"/>
                <w:color w:val="auto"/>
              </w:rPr>
              <w:t>Noninterest-bearing deposits</w:t>
            </w:r>
          </w:p>
        </w:tc>
        <w:tc>
          <w:tcPr>
            <w:tcW w:w="294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53,786,987</w:t>
            </w:r>
          </w:p>
        </w:tc>
        <w:tc>
          <w:tcPr>
            <w:tcW w:w="4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65,501,860</w:t>
            </w:r>
          </w:p>
        </w:tc>
      </w:tr>
      <w:tr>
        <w:trPr>
          <w:trHeight w:val="185"/>
        </w:trPr>
        <w:tc>
          <w:tcPr>
            <w:tcW w:w="4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Savings and interest-checking deposits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90,297,219</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87,911,463</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Time deposits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20,043,601</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10,101,545</w:t>
            </w:r>
          </w:p>
        </w:tc>
      </w:tr>
      <w:tr>
        <w:trPr>
          <w:trHeight w:val="185"/>
        </w:trPr>
        <w:tc>
          <w:tcPr>
            <w:tcW w:w="49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deposits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164,127,807</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163,514,868</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Short-term borrowings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6,730,663</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3,554,951</w:t>
            </w:r>
          </w:p>
        </w:tc>
      </w:tr>
      <w:tr>
        <w:trPr>
          <w:trHeight w:val="185"/>
        </w:trPr>
        <w:tc>
          <w:tcPr>
            <w:tcW w:w="49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Accrued interest and other liabilities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4,945,918</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4,377,495</w:t>
            </w:r>
          </w:p>
        </w:tc>
      </w:tr>
      <w:tr>
        <w:trPr>
          <w:trHeight w:val="175"/>
        </w:trPr>
        <w:tc>
          <w:tcPr>
            <w:tcW w:w="4980" w:type="dxa"/>
            <w:vAlign w:val="bottom"/>
          </w:tcPr>
          <w:p>
            <w:pPr>
              <w:ind w:left="20"/>
              <w:spacing w:after="0"/>
              <w:rPr>
                <w:sz w:val="20"/>
                <w:szCs w:val="20"/>
                <w:color w:val="auto"/>
              </w:rPr>
            </w:pPr>
            <w:r>
              <w:rPr>
                <w:rFonts w:ascii="Arial" w:cs="Arial" w:eastAsia="Arial" w:hAnsi="Arial"/>
                <w:sz w:val="13"/>
                <w:szCs w:val="13"/>
                <w:color w:val="auto"/>
              </w:rPr>
              <w:t>Long-term borrowings</w:t>
            </w:r>
          </w:p>
        </w:tc>
        <w:tc>
          <w:tcPr>
            <w:tcW w:w="2940" w:type="dxa"/>
            <w:vAlign w:val="bottom"/>
          </w:tcPr>
          <w:p>
            <w:pPr>
              <w:spacing w:after="0"/>
              <w:rPr>
                <w:sz w:val="15"/>
                <w:szCs w:val="15"/>
                <w:color w:val="auto"/>
              </w:rPr>
            </w:pPr>
          </w:p>
        </w:tc>
        <w:tc>
          <w:tcPr>
            <w:tcW w:w="1140" w:type="dxa"/>
            <w:vAlign w:val="bottom"/>
          </w:tcPr>
          <w:p>
            <w:pPr>
              <w:jc w:val="right"/>
              <w:ind w:right="114"/>
              <w:spacing w:after="0"/>
              <w:rPr>
                <w:sz w:val="20"/>
                <w:szCs w:val="20"/>
                <w:color w:val="auto"/>
              </w:rPr>
            </w:pPr>
            <w:r>
              <w:rPr>
                <w:rFonts w:ascii="Arial" w:cs="Arial" w:eastAsia="Arial" w:hAnsi="Arial"/>
                <w:sz w:val="13"/>
                <w:szCs w:val="13"/>
                <w:color w:val="auto"/>
              </w:rPr>
              <w:t>7,123,426</w:t>
            </w:r>
          </w:p>
        </w:tc>
        <w:tc>
          <w:tcPr>
            <w:tcW w:w="46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3,964,537</w:t>
            </w:r>
          </w:p>
        </w:tc>
      </w:tr>
      <w:tr>
        <w:trPr>
          <w:trHeight w:val="185"/>
        </w:trPr>
        <w:tc>
          <w:tcPr>
            <w:tcW w:w="49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liabilities</w:t>
            </w:r>
          </w:p>
        </w:tc>
        <w:tc>
          <w:tcPr>
            <w:tcW w:w="2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182,927,814</w:t>
            </w:r>
          </w:p>
        </w:tc>
        <w:tc>
          <w:tcPr>
            <w:tcW w:w="4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175,411,851</w:t>
            </w:r>
          </w:p>
        </w:tc>
      </w:tr>
    </w:tbl>
    <w:p>
      <w:pPr>
        <w:ind w:left="20"/>
        <w:spacing w:after="0"/>
        <w:rPr>
          <w:sz w:val="20"/>
          <w:szCs w:val="20"/>
          <w:color w:val="auto"/>
        </w:rPr>
      </w:pPr>
      <w:r>
        <w:rPr>
          <w:rFonts w:ascii="Arial" w:cs="Arial" w:eastAsia="Arial" w:hAnsi="Arial"/>
          <w:sz w:val="14"/>
          <w:szCs w:val="14"/>
          <w:b w:val="1"/>
          <w:bCs w:val="1"/>
          <w:color w:val="auto"/>
        </w:rPr>
        <w:t>Shareholders' equity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Preferred stock, $1.00 par, 20,000,000 shares authorized;</w:t>
            </w: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Issued and outstanding: Liquidation preference of $1,000 per share: 350,000</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 at September 30, 2023 and December 31, 2022; Liquidation preference of</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$10,000 per share: 140,000 shares at September 30, 2023 and December 31, 2022; Liquidation</w:t>
            </w:r>
          </w:p>
        </w:tc>
        <w:tc>
          <w:tcPr>
            <w:tcW w:w="3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preference of $25 per share: 10,000,000 shares at September 30, 2023 and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2,010,600</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2,010,600</w:t>
            </w:r>
          </w:p>
        </w:tc>
        <w:tc>
          <w:tcPr>
            <w:tcW w:w="80" w:type="dxa"/>
            <w:vAlign w:val="bottom"/>
            <w:shd w:val="clear" w:color="auto" w:fill="CFF0FC"/>
          </w:tcPr>
          <w:p>
            <w:pPr>
              <w:spacing w:after="0"/>
              <w:rPr>
                <w:sz w:val="15"/>
                <w:szCs w:val="15"/>
                <w:color w:val="auto"/>
              </w:rPr>
            </w:pPr>
          </w:p>
        </w:tc>
      </w:tr>
      <w:tr>
        <w:trPr>
          <w:trHeight w:val="161"/>
        </w:trPr>
        <w:tc>
          <w:tcPr>
            <w:tcW w:w="7620" w:type="dxa"/>
            <w:vAlign w:val="bottom"/>
          </w:tcPr>
          <w:p>
            <w:pPr>
              <w:ind w:left="20"/>
              <w:spacing w:after="0"/>
              <w:rPr>
                <w:sz w:val="20"/>
                <w:szCs w:val="20"/>
                <w:color w:val="auto"/>
              </w:rPr>
            </w:pPr>
            <w:r>
              <w:rPr>
                <w:rFonts w:ascii="Arial" w:cs="Arial" w:eastAsia="Arial" w:hAnsi="Arial"/>
                <w:sz w:val="13"/>
                <w:szCs w:val="13"/>
                <w:color w:val="auto"/>
              </w:rPr>
              <w:t>Common stock, $.50 par, 250,000,000 shares authorized,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7620" w:type="dxa"/>
            <w:vAlign w:val="bottom"/>
          </w:tcPr>
          <w:p>
            <w:pPr>
              <w:ind w:left="120"/>
              <w:spacing w:after="0"/>
              <w:rPr>
                <w:sz w:val="20"/>
                <w:szCs w:val="20"/>
                <w:color w:val="auto"/>
              </w:rPr>
            </w:pPr>
            <w:r>
              <w:rPr>
                <w:rFonts w:ascii="Arial" w:cs="Arial" w:eastAsia="Arial" w:hAnsi="Arial"/>
                <w:sz w:val="13"/>
                <w:szCs w:val="13"/>
                <w:color w:val="auto"/>
              </w:rPr>
              <w:t>179,436,779 shares issued at September 30, 2023 and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620" w:type="dxa"/>
            <w:vAlign w:val="bottom"/>
          </w:tcPr>
          <w:p>
            <w:pPr>
              <w:ind w:left="120"/>
              <w:spacing w:after="0"/>
              <w:rPr>
                <w:sz w:val="20"/>
                <w:szCs w:val="20"/>
                <w:color w:val="auto"/>
              </w:rPr>
            </w:pPr>
            <w:r>
              <w:rPr>
                <w:rFonts w:ascii="Arial" w:cs="Arial" w:eastAsia="Arial" w:hAnsi="Arial"/>
                <w:sz w:val="13"/>
                <w:szCs w:val="13"/>
                <w:color w:val="auto"/>
              </w:rPr>
              <w:t>December 31, 2022</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89,718</w:t>
            </w:r>
          </w:p>
        </w:tc>
        <w:tc>
          <w:tcPr>
            <w:tcW w:w="80" w:type="dxa"/>
            <w:vAlign w:val="bottom"/>
          </w:tcPr>
          <w:p>
            <w:pPr>
              <w:spacing w:after="0"/>
              <w:rPr>
                <w:sz w:val="14"/>
                <w:szCs w:val="14"/>
                <w:color w:val="auto"/>
              </w:rPr>
            </w:pPr>
          </w:p>
        </w:tc>
      </w:tr>
      <w:tr>
        <w:trPr>
          <w:trHeight w:val="166"/>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issuable, 12,140 shares at September 30,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14,031 shares at December 31, 2022</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w:t>
            </w: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w:t>
            </w:r>
          </w:p>
        </w:tc>
        <w:tc>
          <w:tcPr>
            <w:tcW w:w="80" w:type="dxa"/>
            <w:vAlign w:val="bottom"/>
            <w:shd w:val="clear" w:color="auto" w:fill="CFF0FC"/>
          </w:tcPr>
          <w:p>
            <w:pPr>
              <w:spacing w:after="0"/>
              <w:rPr>
                <w:sz w:val="15"/>
                <w:szCs w:val="15"/>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10,012,438</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10,002,891</w:t>
            </w:r>
          </w:p>
        </w:tc>
        <w:tc>
          <w:tcPr>
            <w:tcW w:w="80" w:type="dxa"/>
            <w:vAlign w:val="bottom"/>
          </w:tcPr>
          <w:p>
            <w:pPr>
              <w:spacing w:after="0"/>
              <w:rPr>
                <w:sz w:val="15"/>
                <w:szCs w:val="15"/>
                <w:color w:val="auto"/>
              </w:rPr>
            </w:pPr>
          </w:p>
        </w:tc>
      </w:tr>
      <w:tr>
        <w:trPr>
          <w:trHeight w:val="185"/>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Retained earnings</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17,284,350</w:t>
            </w:r>
          </w:p>
        </w:tc>
        <w:tc>
          <w:tcPr>
            <w:tcW w:w="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15,753,978</w:t>
            </w:r>
          </w:p>
        </w:tc>
        <w:tc>
          <w:tcPr>
            <w:tcW w:w="80" w:type="dxa"/>
            <w:vAlign w:val="bottom"/>
            <w:shd w:val="clear" w:color="auto" w:fill="CFF0FC"/>
          </w:tcPr>
          <w:p>
            <w:pPr>
              <w:spacing w:after="0"/>
              <w:rPr>
                <w:sz w:val="16"/>
                <w:szCs w:val="16"/>
                <w:color w:val="auto"/>
              </w:rPr>
            </w:pPr>
          </w:p>
        </w:tc>
      </w:tr>
      <w:tr>
        <w:trPr>
          <w:trHeight w:val="175"/>
        </w:trPr>
        <w:tc>
          <w:tcPr>
            <w:tcW w:w="7620" w:type="dxa"/>
            <w:vAlign w:val="bottom"/>
          </w:tcPr>
          <w:p>
            <w:pPr>
              <w:ind w:left="20"/>
              <w:spacing w:after="0"/>
              <w:rPr>
                <w:sz w:val="20"/>
                <w:szCs w:val="20"/>
                <w:color w:val="auto"/>
              </w:rPr>
            </w:pPr>
            <w:r>
              <w:rPr>
                <w:rFonts w:ascii="Arial" w:cs="Arial" w:eastAsia="Arial" w:hAnsi="Arial"/>
                <w:sz w:val="13"/>
                <w:szCs w:val="13"/>
                <w:color w:val="auto"/>
              </w:rPr>
              <w:t>Accumulated other comprehensive income (loss), net</w:t>
            </w:r>
          </w:p>
        </w:tc>
        <w:tc>
          <w:tcPr>
            <w:tcW w:w="30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(941,878 )</w:t>
            </w:r>
          </w:p>
        </w:tc>
        <w:tc>
          <w:tcPr>
            <w:tcW w:w="28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(790,030 )</w:t>
            </w:r>
          </w:p>
        </w:tc>
      </w:tr>
      <w:tr>
        <w:trPr>
          <w:trHeight w:val="166"/>
        </w:trPr>
        <w:tc>
          <w:tcPr>
            <w:tcW w:w="7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Treasury stock — common, at cost — 13,478,535 shares at September 30, 2023;</w:t>
            </w: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76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10,165,419 shares at December 31, 2022</w:t>
            </w:r>
          </w:p>
        </w:tc>
        <w:tc>
          <w:tcPr>
            <w:tcW w:w="3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(2,259,705 )</w:t>
            </w:r>
          </w:p>
        </w:tc>
        <w:tc>
          <w:tcPr>
            <w:tcW w:w="2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(1,750,279 )</w:t>
            </w:r>
          </w:p>
        </w:tc>
      </w:tr>
      <w:tr>
        <w:trPr>
          <w:trHeight w:val="175"/>
        </w:trPr>
        <w:tc>
          <w:tcPr>
            <w:tcW w:w="7620" w:type="dxa"/>
            <w:vAlign w:val="bottom"/>
          </w:tcPr>
          <w:p>
            <w:pPr>
              <w:ind w:left="340"/>
              <w:spacing w:after="0"/>
              <w:rPr>
                <w:sz w:val="20"/>
                <w:szCs w:val="20"/>
                <w:color w:val="auto"/>
              </w:rPr>
            </w:pPr>
            <w:r>
              <w:rPr>
                <w:rFonts w:ascii="Arial" w:cs="Arial" w:eastAsia="Arial" w:hAnsi="Arial"/>
                <w:sz w:val="13"/>
                <w:szCs w:val="13"/>
                <w:color w:val="auto"/>
              </w:rPr>
              <w:t>Total shareholders’ equity</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26,196,502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25,317,990</w:t>
            </w:r>
          </w:p>
        </w:tc>
        <w:tc>
          <w:tcPr>
            <w:tcW w:w="80" w:type="dxa"/>
            <w:vAlign w:val="bottom"/>
          </w:tcPr>
          <w:p>
            <w:pPr>
              <w:spacing w:after="0"/>
              <w:rPr>
                <w:sz w:val="15"/>
                <w:szCs w:val="15"/>
                <w:color w:val="auto"/>
              </w:rPr>
            </w:pPr>
          </w:p>
        </w:tc>
      </w:tr>
      <w:tr>
        <w:trPr>
          <w:trHeight w:val="225"/>
        </w:trPr>
        <w:tc>
          <w:tcPr>
            <w:tcW w:w="76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Total liabilities and shareholders’ equity</w:t>
            </w:r>
          </w:p>
        </w:tc>
        <w:tc>
          <w:tcPr>
            <w:tcW w:w="30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209,124,316</w:t>
            </w: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200,729,841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INCOME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20" w:type="dxa"/>
            <w:vAlign w:val="bottom"/>
          </w:tcPr>
          <w:p>
            <w:pPr>
              <w:spacing w:after="0"/>
              <w:rPr>
                <w:sz w:val="13"/>
                <w:szCs w:val="13"/>
                <w:color w:val="auto"/>
              </w:rPr>
            </w:pPr>
          </w:p>
        </w:tc>
        <w:tc>
          <w:tcPr>
            <w:tcW w:w="2520" w:type="dxa"/>
            <w:vAlign w:val="bottom"/>
            <w:gridSpan w:val="7"/>
          </w:tcPr>
          <w:p>
            <w:pPr>
              <w:jc w:val="center"/>
              <w:ind w:right="300"/>
              <w:spacing w:after="0"/>
              <w:rPr>
                <w:sz w:val="20"/>
                <w:szCs w:val="20"/>
                <w:color w:val="auto"/>
              </w:rPr>
            </w:pPr>
            <w:r>
              <w:rPr>
                <w:rFonts w:ascii="Arial" w:cs="Arial" w:eastAsia="Arial" w:hAnsi="Arial"/>
                <w:sz w:val="13"/>
                <w:szCs w:val="13"/>
                <w:b w:val="1"/>
                <w:bCs w:val="1"/>
                <w:color w:val="auto"/>
              </w:rPr>
              <w:t>Three Months Ended September</w:t>
            </w:r>
          </w:p>
        </w:tc>
        <w:tc>
          <w:tcPr>
            <w:tcW w:w="100" w:type="dxa"/>
            <w:vAlign w:val="bottom"/>
          </w:tcPr>
          <w:p>
            <w:pPr>
              <w:spacing w:after="0"/>
              <w:rPr>
                <w:sz w:val="13"/>
                <w:szCs w:val="13"/>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Nine Months Ended September</w:t>
            </w:r>
          </w:p>
        </w:tc>
        <w:tc>
          <w:tcPr>
            <w:tcW w:w="0" w:type="dxa"/>
            <w:vAlign w:val="bottom"/>
          </w:tcPr>
          <w:p>
            <w:pPr>
              <w:spacing w:after="0"/>
              <w:rPr>
                <w:sz w:val="1"/>
                <w:szCs w:val="1"/>
                <w:color w:val="auto"/>
              </w:rPr>
            </w:pPr>
          </w:p>
        </w:tc>
      </w:tr>
      <w:tr>
        <w:trPr>
          <w:trHeight w:val="183"/>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w:t>
            </w:r>
          </w:p>
        </w:tc>
        <w:tc>
          <w:tcPr>
            <w:tcW w:w="18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240" w:type="dxa"/>
            <w:vAlign w:val="bottom"/>
          </w:tcPr>
          <w:p>
            <w:pPr>
              <w:jc w:val="right"/>
              <w:ind w:right="4"/>
              <w:spacing w:after="0"/>
              <w:rPr>
                <w:sz w:val="20"/>
                <w:szCs w:val="20"/>
                <w:color w:val="auto"/>
              </w:rPr>
            </w:pPr>
            <w:r>
              <w:rPr>
                <w:rFonts w:ascii="Arial" w:cs="Arial" w:eastAsia="Arial" w:hAnsi="Arial"/>
                <w:sz w:val="13"/>
                <w:szCs w:val="13"/>
                <w:b w:val="1"/>
                <w:bCs w:val="1"/>
                <w:color w:val="auto"/>
                <w:w w:val="96"/>
              </w:rPr>
              <w:t>30</w:t>
            </w:r>
          </w:p>
        </w:tc>
        <w:tc>
          <w:tcPr>
            <w:tcW w:w="18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30</w:t>
            </w:r>
          </w:p>
        </w:tc>
        <w:tc>
          <w:tcPr>
            <w:tcW w:w="160" w:type="dxa"/>
            <w:vAlign w:val="bottom"/>
          </w:tcPr>
          <w:p>
            <w:pPr>
              <w:spacing w:after="0"/>
              <w:rPr>
                <w:sz w:val="15"/>
                <w:szCs w:val="15"/>
                <w:color w:val="auto"/>
              </w:rPr>
            </w:pPr>
          </w:p>
        </w:tc>
        <w:tc>
          <w:tcPr>
            <w:tcW w:w="78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Interest income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 and leases, including fees</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2,061,570</w:t>
            </w:r>
          </w:p>
        </w:tc>
        <w:tc>
          <w:tcPr>
            <w:tcW w:w="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1,455,612</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5,909,035</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3,572,954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Investment securities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Fully taxable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199,187</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135,766</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578,656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294,290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80"/>
              <w:spacing w:after="0"/>
              <w:rPr>
                <w:sz w:val="20"/>
                <w:szCs w:val="20"/>
                <w:color w:val="auto"/>
              </w:rPr>
            </w:pPr>
            <w:r>
              <w:rPr>
                <w:rFonts w:ascii="Arial" w:cs="Arial" w:eastAsia="Arial" w:hAnsi="Arial"/>
                <w:sz w:val="16"/>
                <w:szCs w:val="16"/>
                <w:color w:val="auto"/>
              </w:rPr>
              <w:t>Exempt from federal taxes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16,425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16,555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49,541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at banks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362,840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172,956</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943,686</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272,009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income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2,641,399</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1,781,513</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7,484,009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4,174,911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Interest expense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Savings and interest-checking deposits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494,219</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68,690</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1,139,649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201,541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441,075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borrowings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69,481</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2,670</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223,253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Long-term borrowings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100,770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30,338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287,251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interest expense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866,011</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102,822</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2,091,228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i w:val="1"/>
                <w:iCs w:val="1"/>
                <w:color w:val="auto"/>
              </w:rPr>
              <w:t>Net interest income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1,775,388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1,678,691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5,392,781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3,994,582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115,000</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420,000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58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Net interest income after provision for credit losses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1,625,388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1,563,691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4,972,781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3,567,582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Mortgage banking revenues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104,478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83,041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296,575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275,115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charges on deposit accounts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121,360</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115,213</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353,603</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340,890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Trust income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155,092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186,577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521,357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545,874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Brokerage services income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26,988</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21,086</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76,155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Trading account and other non-hedging derivative gains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9,379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(loss) on bank investment securities</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(235 )</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Other revenues from operations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142,519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153,189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664,034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436,943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income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559,581</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563,079</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1,949,885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1,675,066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Other expense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Salaries and employee benefits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726,940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736,354</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2,272,547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2,090,075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Equipment and net occupancy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130,842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127,117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386,435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337,584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Outside data processing and software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110,691</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95,068</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322,909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FDIC assessments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28,105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87,054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66,266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Advertising and marketing</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22,898</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21,398</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82,314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Printing, postage and supplies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14,768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42,346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core deposit and other intangible assets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14,946</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18,384</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47,099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Other costs of operations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227,893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238,059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688,623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743,047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expense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1,277,538</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1,279,253</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3,929,327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3,642,148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6"/>
                <w:szCs w:val="16"/>
                <w:color w:val="auto"/>
              </w:rPr>
              <w:t>Income before taxes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907,431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847,517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2,993,339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1,600,500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217,490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200,921</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734,740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374,208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i w:val="1"/>
                <w:iCs w:val="1"/>
                <w:color w:val="auto"/>
              </w:rPr>
              <w:t>Net income</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689,941</w:t>
            </w:r>
          </w:p>
        </w:tc>
        <w:tc>
          <w:tcPr>
            <w:tcW w:w="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646,596</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2,258,599</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1,226,292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Net income available to common shareholders</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663,763</w:t>
            </w:r>
          </w:p>
        </w:tc>
        <w:tc>
          <w:tcPr>
            <w:tcW w:w="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620,549</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2,179,802</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1,152,400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663,766</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620,554</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2,179,812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1,152,406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13.09</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Average common shares outstanding</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165,909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174,609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166,488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160,474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166,570</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175,682</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167,093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161,295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Pr>
          <w:p>
            <w:pPr>
              <w:spacing w:after="0"/>
              <w:rPr>
                <w:sz w:val="13"/>
                <w:szCs w:val="13"/>
                <w:color w:val="auto"/>
              </w:rPr>
            </w:pPr>
          </w:p>
        </w:tc>
        <w:tc>
          <w:tcPr>
            <w:tcW w:w="244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rPr>
              <w:t>Three Months Ended September</w:t>
            </w:r>
          </w:p>
        </w:tc>
        <w:tc>
          <w:tcPr>
            <w:tcW w:w="214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rPr>
              <w:t>Nine Months Ended September</w:t>
            </w: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680" w:type="dxa"/>
            <w:vAlign w:val="bottom"/>
            <w:vMerge w:val="restart"/>
          </w:tcPr>
          <w:p>
            <w:pPr>
              <w:jc w:val="right"/>
              <w:ind w:right="223"/>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260" w:type="dxa"/>
            <w:vAlign w:val="bottom"/>
          </w:tcPr>
          <w:p>
            <w:pPr>
              <w:jc w:val="right"/>
              <w:ind w:right="26"/>
              <w:spacing w:after="0"/>
              <w:rPr>
                <w:sz w:val="20"/>
                <w:szCs w:val="20"/>
                <w:color w:val="auto"/>
              </w:rPr>
            </w:pPr>
            <w:r>
              <w:rPr>
                <w:rFonts w:ascii="Arial" w:cs="Arial" w:eastAsia="Arial" w:hAnsi="Arial"/>
                <w:sz w:val="13"/>
                <w:szCs w:val="13"/>
                <w:b w:val="1"/>
                <w:bCs w:val="1"/>
                <w:color w:val="auto"/>
                <w:w w:val="96"/>
              </w:rPr>
              <w:t>30</w:t>
            </w:r>
          </w:p>
        </w:tc>
        <w:tc>
          <w:tcPr>
            <w:tcW w:w="180" w:type="dxa"/>
            <w:vAlign w:val="bottom"/>
          </w:tcPr>
          <w:p>
            <w:pPr>
              <w:spacing w:after="0"/>
              <w:rPr>
                <w:sz w:val="15"/>
                <w:szCs w:val="15"/>
                <w:color w:val="auto"/>
              </w:rPr>
            </w:pPr>
          </w:p>
        </w:tc>
        <w:tc>
          <w:tcPr>
            <w:tcW w:w="700" w:type="dxa"/>
            <w:vAlign w:val="bottom"/>
            <w:vMerge w:val="restart"/>
          </w:tcPr>
          <w:p>
            <w:pPr>
              <w:jc w:val="right"/>
              <w:ind w:right="223"/>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15"/>
                <w:szCs w:val="15"/>
                <w:color w:val="auto"/>
              </w:rPr>
            </w:pPr>
          </w:p>
        </w:tc>
        <w:tc>
          <w:tcPr>
            <w:tcW w:w="880" w:type="dxa"/>
            <w:vAlign w:val="bottom"/>
            <w:vMerge w:val="restart"/>
          </w:tcPr>
          <w:p>
            <w:pPr>
              <w:jc w:val="right"/>
              <w:ind w:right="225"/>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5"/>
                <w:szCs w:val="15"/>
                <w:color w:val="auto"/>
              </w:rPr>
            </w:pPr>
          </w:p>
        </w:tc>
        <w:tc>
          <w:tcPr>
            <w:tcW w:w="240" w:type="dxa"/>
            <w:vAlign w:val="bottom"/>
          </w:tcPr>
          <w:p>
            <w:pPr>
              <w:jc w:val="right"/>
              <w:ind w:right="6"/>
              <w:spacing w:after="0"/>
              <w:rPr>
                <w:sz w:val="20"/>
                <w:szCs w:val="20"/>
                <w:color w:val="auto"/>
              </w:rPr>
            </w:pPr>
            <w:r>
              <w:rPr>
                <w:rFonts w:ascii="Arial" w:cs="Arial" w:eastAsia="Arial" w:hAnsi="Arial"/>
                <w:sz w:val="13"/>
                <w:szCs w:val="13"/>
                <w:b w:val="1"/>
                <w:bCs w:val="1"/>
                <w:color w:val="auto"/>
                <w:w w:val="96"/>
              </w:rPr>
              <w:t>30</w:t>
            </w:r>
          </w:p>
        </w:tc>
        <w:tc>
          <w:tcPr>
            <w:tcW w:w="140" w:type="dxa"/>
            <w:vAlign w:val="bottom"/>
          </w:tcPr>
          <w:p>
            <w:pPr>
              <w:spacing w:after="0"/>
              <w:rPr>
                <w:sz w:val="15"/>
                <w:szCs w:val="15"/>
                <w:color w:val="auto"/>
              </w:rPr>
            </w:pPr>
          </w:p>
        </w:tc>
        <w:tc>
          <w:tcPr>
            <w:tcW w:w="740" w:type="dxa"/>
            <w:vAlign w:val="bottom"/>
            <w:vMerge w:val="restart"/>
          </w:tcPr>
          <w:p>
            <w:pPr>
              <w:jc w:val="right"/>
              <w:ind w:right="22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689,941</w:t>
            </w:r>
          </w:p>
        </w:tc>
        <w:tc>
          <w:tcPr>
            <w:tcW w:w="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646,596</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$ 2,258,599</w:t>
            </w:r>
          </w:p>
        </w:tc>
        <w:tc>
          <w:tcPr>
            <w:tcW w:w="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1,226,292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 and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40"/>
              <w:spacing w:after="0"/>
              <w:rPr>
                <w:sz w:val="20"/>
                <w:szCs w:val="20"/>
                <w:color w:val="auto"/>
              </w:rPr>
            </w:pPr>
            <w:r>
              <w:rPr>
                <w:rFonts w:ascii="Arial" w:cs="Arial" w:eastAsia="Arial" w:hAnsi="Arial"/>
                <w:sz w:val="16"/>
                <w:szCs w:val="16"/>
                <w:color w:val="auto"/>
              </w:rPr>
              <w:t>reclassification adjustments: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unrealized losses on investment securities</w:t>
            </w:r>
          </w:p>
        </w:tc>
        <w:tc>
          <w:tcPr>
            <w:tcW w:w="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(3,108)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(218,852 )</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(1,778)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(425,770 )</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rPr>
                <w:sz w:val="20"/>
                <w:szCs w:val="20"/>
                <w:color w:val="auto"/>
              </w:rPr>
            </w:pPr>
            <w:r>
              <w:rPr>
                <w:rFonts w:ascii="Arial" w:cs="Arial" w:eastAsia="Arial" w:hAnsi="Arial"/>
                <w:sz w:val="16"/>
                <w:szCs w:val="16"/>
                <w:color w:val="auto"/>
              </w:rPr>
              <w:t>Cash flow hedges adjustments</w:t>
            </w:r>
          </w:p>
        </w:tc>
        <w:tc>
          <w:tcPr>
            <w:tcW w:w="2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(70,255 )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(172,285 )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(145,612 )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(344,534 )</w:t>
            </w:r>
          </w:p>
        </w:tc>
        <w:tc>
          <w:tcPr>
            <w:tcW w:w="0" w:type="dxa"/>
            <w:vAlign w:val="bottom"/>
          </w:tcPr>
          <w:p>
            <w:pPr>
              <w:spacing w:after="0"/>
              <w:rPr>
                <w:sz w:val="1"/>
                <w:szCs w:val="1"/>
                <w:color w:val="auto"/>
              </w:rPr>
            </w:pPr>
          </w:p>
        </w:tc>
      </w:tr>
      <w:tr>
        <w:trPr>
          <w:trHeight w:val="205"/>
        </w:trPr>
        <w:tc>
          <w:tcPr>
            <w:tcW w:w="59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(2,457)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(5,359)</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(11,271 )</w:t>
            </w: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rPr>
                <w:sz w:val="20"/>
                <w:szCs w:val="20"/>
                <w:color w:val="auto"/>
              </w:rPr>
            </w:pPr>
            <w:r>
              <w:rPr>
                <w:rFonts w:ascii="Arial" w:cs="Arial" w:eastAsia="Arial" w:hAnsi="Arial"/>
                <w:sz w:val="16"/>
                <w:szCs w:val="16"/>
                <w:color w:val="auto"/>
              </w:rPr>
              <w:t>Defined benefit plans liability adjustments</w:t>
            </w:r>
          </w:p>
        </w:tc>
        <w:tc>
          <w:tcPr>
            <w:tcW w:w="200" w:type="dxa"/>
            <w:vAlign w:val="bottom"/>
          </w:tcPr>
          <w:p>
            <w:pPr>
              <w:spacing w:after="0"/>
              <w:rPr>
                <w:sz w:val="17"/>
                <w:szCs w:val="17"/>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(1,258)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2,993</w:t>
            </w:r>
          </w:p>
        </w:tc>
        <w:tc>
          <w:tcPr>
            <w:tcW w:w="3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(4,511)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9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(77,078 )</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(393,503 )</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(151,848 )</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(772,415 )</w:t>
            </w: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rPr>
                <w:sz w:val="20"/>
                <w:szCs w:val="20"/>
                <w:color w:val="auto"/>
              </w:rPr>
            </w:pPr>
            <w:r>
              <w:rPr>
                <w:rFonts w:ascii="Arial" w:cs="Arial" w:eastAsia="Arial" w:hAnsi="Arial"/>
                <w:sz w:val="16"/>
                <w:szCs w:val="16"/>
                <w:color w:val="auto"/>
              </w:rPr>
              <w:t>Total comprehensive income</w:t>
            </w: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612,863</w:t>
            </w: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253,093</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$ 2,106,751</w:t>
            </w:r>
          </w:p>
        </w:tc>
        <w:tc>
          <w:tcPr>
            <w:tcW w:w="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453,877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CASH FLOWS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Arial" w:cs="Arial" w:eastAsia="Arial" w:hAnsi="Arial"/>
                <w:sz w:val="13"/>
                <w:szCs w:val="13"/>
                <w:b w:val="1"/>
                <w:bCs w:val="1"/>
                <w:color w:val="auto"/>
              </w:rPr>
              <w:t>2023</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2,258,599</w:t>
            </w:r>
          </w:p>
        </w:tc>
        <w:tc>
          <w:tcPr>
            <w:tcW w:w="34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1,226,292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Provision for credit losses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420,000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427,000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Depreciation and amortization of premises and equipment</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226,786</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219,737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Amortization of capitalized servicing rights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93,799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75,165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core deposit and other intangible assets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47,099</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Provision for deferred income taxes</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(39,922 )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(89,413 )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Asset write-downs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3,318</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Net gain on sales of assets</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(244,413 )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(14,583 )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accrued interest receivable, payable</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232,610</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(58,629 )</w:t>
            </w: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Net change in other accrued income and expense</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207,845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(71,004 )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loans originated for sale</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(257,145 )</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560,861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Net change in trading account and other non-hedging derivative assets and liabilities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156,145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1,299,313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3,104,721</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3,620,121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of investment securities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320" w:type="dxa"/>
            <w:vAlign w:val="bottom"/>
            <w:vMerge w:val="restart"/>
          </w:tcPr>
          <w:p>
            <w:pPr>
              <w:ind w:left="180"/>
              <w:spacing w:after="0"/>
              <w:rPr>
                <w:sz w:val="20"/>
                <w:szCs w:val="20"/>
                <w:color w:val="auto"/>
              </w:rPr>
            </w:pPr>
            <w:r>
              <w:rPr>
                <w:rFonts w:ascii="Arial" w:cs="Arial" w:eastAsia="Arial" w:hAnsi="Arial"/>
                <w:sz w:val="13"/>
                <w:szCs w:val="13"/>
                <w:color w:val="auto"/>
              </w:rPr>
              <w:t>Equity and other securities</w:t>
            </w: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809,058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42,999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3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maturities of investment securities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Available for sale</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512,669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641,573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Held to maturity</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923,707</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1,053,989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Purchases of investment securities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Available for sale</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(343,946 )</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(7,219,785 )</w:t>
            </w: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Held to maturity</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(2,947,627 )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(796,312 )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Equity and other securities</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(1,049,338 )</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(155,290 )</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Net increase in loans and leases</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(850,349 )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(58,942 )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interest-bearing deposits at banks</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(5,155,567 )</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25,674,122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Capital expenditures, net</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(168,213 )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(126,810 )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decrease in loan servicing advances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305,622</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1,324,912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Acquisition, net of cash consideration</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Bank and bank holding company</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393,923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Other, net</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(592,921 )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(516,504 )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cash provided (used) by investing activities</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(8,556,905 )</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20,257,875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deposits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607,737</w:t>
            </w: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(20,663,949 )</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Net increase (decrease) in short-term borrowings</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3,175,712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(24,111 )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long-term borrowings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4,032,374</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499,250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Payments on long-term borrowings</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(780,715 )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(907,191 )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treasury stock</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(594,000 )</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(1,200,000 )</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Dividends paid — common</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(652,338 )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(578,968 )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paid — preferred</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(83,435 )</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(80,600 )</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Other, net</w:t>
            </w:r>
          </w:p>
        </w:tc>
        <w:tc>
          <w:tcPr>
            <w:tcW w:w="3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(4,531 )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(4,194 )</w:t>
            </w: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cash provided (used) by financing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5,700,804</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(22,959,763 )</w:t>
            </w: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248,620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918,233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1,520,244</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1,337,577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1,768,864</w:t>
            </w:r>
          </w:p>
        </w:tc>
        <w:tc>
          <w:tcPr>
            <w:tcW w:w="340" w:type="dxa"/>
            <w:vAlign w:val="bottom"/>
          </w:tcPr>
          <w:p>
            <w:pPr>
              <w:spacing w:after="0"/>
              <w:rPr>
                <w:sz w:val="15"/>
                <w:szCs w:val="15"/>
                <w:color w:val="auto"/>
              </w:rPr>
            </w:pPr>
          </w:p>
        </w:tc>
        <w:tc>
          <w:tcPr>
            <w:tcW w:w="3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2,255,810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Interest received during the period</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7,428,629</w:t>
            </w:r>
          </w:p>
        </w:tc>
        <w:tc>
          <w:tcPr>
            <w:tcW w:w="34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4,145,231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paid during the period</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1,779,089</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214,552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Income taxes paid during the period</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430,802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362,866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Real estate acquired in settlement of loans</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16,818</w:t>
            </w:r>
          </w:p>
        </w:tc>
        <w:tc>
          <w:tcPr>
            <w:tcW w:w="34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21,017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Additions to right-of-use assets under operating leases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88,263</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20"/>
              <w:spacing w:after="0"/>
              <w:rPr>
                <w:sz w:val="20"/>
                <w:szCs w:val="20"/>
                <w:color w:val="auto"/>
              </w:rPr>
            </w:pPr>
            <w:r>
              <w:rPr>
                <w:rFonts w:ascii="Arial" w:cs="Arial" w:eastAsia="Arial" w:hAnsi="Arial"/>
                <w:sz w:val="13"/>
                <w:szCs w:val="13"/>
                <w:color w:val="auto"/>
              </w:rPr>
              <w:t>Acquisition of bank and bank holding company</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Common stock issued</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8,286,515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rPr>
                <w:sz w:val="20"/>
                <w:szCs w:val="20"/>
                <w:color w:val="auto"/>
              </w:rPr>
            </w:pPr>
            <w:r>
              <w:rPr>
                <w:rFonts w:ascii="Arial" w:cs="Arial" w:eastAsia="Arial" w:hAnsi="Arial"/>
                <w:sz w:val="13"/>
                <w:szCs w:val="13"/>
                <w:color w:val="auto"/>
              </w:rPr>
              <w:t>Common stock awards converted</w:t>
            </w:r>
          </w:p>
        </w:tc>
        <w:tc>
          <w:tcPr>
            <w:tcW w:w="30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104,810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Fair value of</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340"/>
              <w:spacing w:after="0"/>
              <w:rPr>
                <w:sz w:val="20"/>
                <w:szCs w:val="20"/>
                <w:color w:val="auto"/>
              </w:rPr>
            </w:pPr>
            <w:r>
              <w:rPr>
                <w:rFonts w:ascii="Arial" w:cs="Arial" w:eastAsia="Arial" w:hAnsi="Arial"/>
                <w:sz w:val="13"/>
                <w:szCs w:val="13"/>
                <w:color w:val="auto"/>
              </w:rPr>
              <w:t>Assets acquired (noncash)</w:t>
            </w:r>
          </w:p>
        </w:tc>
        <w:tc>
          <w:tcPr>
            <w:tcW w:w="30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63,757,316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Liabilities assumed</w:t>
            </w:r>
          </w:p>
        </w:tc>
        <w:tc>
          <w:tcPr>
            <w:tcW w:w="3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55,499,314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320" w:type="dxa"/>
            <w:vAlign w:val="bottom"/>
          </w:tcPr>
          <w:p>
            <w:pPr>
              <w:ind w:left="340"/>
              <w:spacing w:after="0"/>
              <w:rPr>
                <w:sz w:val="20"/>
                <w:szCs w:val="20"/>
                <w:color w:val="auto"/>
              </w:rPr>
            </w:pPr>
            <w:r>
              <w:rPr>
                <w:rFonts w:ascii="Arial" w:cs="Arial" w:eastAsia="Arial" w:hAnsi="Arial"/>
                <w:sz w:val="13"/>
                <w:szCs w:val="13"/>
                <w:color w:val="auto"/>
              </w:rPr>
              <w:t>Preferred stock converted</w:t>
            </w:r>
          </w:p>
        </w:tc>
        <w:tc>
          <w:tcPr>
            <w:tcW w:w="300" w:type="dxa"/>
            <w:vAlign w:val="bottom"/>
          </w:tcPr>
          <w:p>
            <w:pPr>
              <w:spacing w:after="0"/>
              <w:rPr>
                <w:sz w:val="14"/>
                <w:szCs w:val="1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260,600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Comprehensiv</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Common</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b w:val="1"/>
                <w:bCs w:val="1"/>
                <w:color w:val="auto"/>
              </w:rPr>
              <w:t>Preferred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b w:val="1"/>
                <w:bCs w:val="1"/>
                <w:color w:val="auto"/>
              </w:rPr>
              <w:t>Common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3"/>
                <w:szCs w:val="13"/>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Income</w:t>
            </w:r>
          </w:p>
        </w:tc>
        <w:tc>
          <w:tcPr>
            <w:tcW w:w="10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Treasury</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8"/>
        </w:trPr>
        <w:tc>
          <w:tcPr>
            <w:tcW w:w="2800" w:type="dxa"/>
            <w:vAlign w:val="bottom"/>
            <w:gridSpan w:val="3"/>
          </w:tcPr>
          <w:p>
            <w:pPr>
              <w:ind w:left="20"/>
              <w:spacing w:after="0"/>
              <w:rPr>
                <w:sz w:val="20"/>
                <w:szCs w:val="20"/>
                <w:color w:val="auto"/>
              </w:rPr>
            </w:pPr>
            <w:r>
              <w:rPr>
                <w:rFonts w:ascii="Arial" w:cs="Arial" w:eastAsia="Arial" w:hAnsi="Arial"/>
                <w:sz w:val="11"/>
                <w:szCs w:val="11"/>
                <w:b w:val="1"/>
                <w:bCs w:val="1"/>
                <w:color w:val="auto"/>
              </w:rPr>
              <w:t>Dollars in thousands, except per share</w:t>
            </w:r>
          </w:p>
        </w:tc>
        <w:tc>
          <w:tcPr>
            <w:tcW w:w="10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Issuable</w:t>
            </w:r>
          </w:p>
        </w:tc>
        <w:tc>
          <w:tcPr>
            <w:tcW w:w="100" w:type="dxa"/>
            <w:vAlign w:val="bottom"/>
          </w:tcPr>
          <w:p>
            <w:pPr>
              <w:spacing w:after="0"/>
              <w:rPr>
                <w:sz w:val="11"/>
                <w:szCs w:val="11"/>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1"/>
                <w:szCs w:val="1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(Loss), Net</w:t>
            </w:r>
          </w:p>
        </w:tc>
        <w:tc>
          <w:tcPr>
            <w:tcW w:w="100" w:type="dxa"/>
            <w:vAlign w:val="bottom"/>
          </w:tcPr>
          <w:p>
            <w:pPr>
              <w:spacing w:after="0"/>
              <w:rPr>
                <w:sz w:val="11"/>
                <w:szCs w:val="11"/>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1"/>
                <w:szCs w:val="11"/>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r>
      <w:tr>
        <w:trPr>
          <w:trHeight w:val="24"/>
        </w:trPr>
        <w:tc>
          <w:tcPr>
            <w:tcW w:w="2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b w:val="1"/>
                <w:bCs w:val="1"/>
                <w:color w:val="auto"/>
              </w:rPr>
              <w:t>Three Months Ended September 30, 2023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Balance — July 1, 2023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972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10,000,335</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16,836,810</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(864,800 )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(2,272,702 )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25,800,933</w:t>
            </w:r>
          </w:p>
        </w:tc>
        <w:tc>
          <w:tcPr>
            <w:tcW w:w="80" w:type="dxa"/>
            <w:vAlign w:val="bottom"/>
          </w:tcPr>
          <w:p>
            <w:pPr>
              <w:spacing w:after="0"/>
              <w:rPr>
                <w:sz w:val="13"/>
                <w:szCs w:val="13"/>
                <w:color w:val="auto"/>
              </w:rPr>
            </w:pP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689,941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(77,078 )</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612,863</w:t>
            </w: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Preferred stock cash dividends (a)</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(24,941 )</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(24,941 )</w:t>
            </w: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Purchases of treasury stock (b)</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780" w:type="dxa"/>
            <w:vAlign w:val="bottom"/>
            <w:gridSpan w:val="2"/>
          </w:tcPr>
          <w:p>
            <w:pPr>
              <w:ind w:left="80"/>
              <w:spacing w:after="0"/>
              <w:rPr>
                <w:sz w:val="20"/>
                <w:szCs w:val="20"/>
                <w:color w:val="auto"/>
              </w:rPr>
            </w:pPr>
            <w:r>
              <w:rPr>
                <w:rFonts w:ascii="Arial" w:cs="Arial" w:eastAsia="Arial" w:hAnsi="Arial"/>
                <w:sz w:val="11"/>
                <w:szCs w:val="11"/>
                <w:color w:val="auto"/>
              </w:rPr>
              <w:t>transactions, net (b)</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12,103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(469 )</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12,997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24,638</w:t>
            </w:r>
          </w:p>
        </w:tc>
        <w:tc>
          <w:tcPr>
            <w:tcW w:w="80" w:type="dxa"/>
            <w:vAlign w:val="bottom"/>
          </w:tcPr>
          <w:p>
            <w:pPr>
              <w:spacing w:after="0"/>
              <w:rPr>
                <w:sz w:val="12"/>
                <w:szCs w:val="12"/>
                <w:color w:val="auto"/>
              </w:rPr>
            </w:pPr>
          </w:p>
        </w:tc>
      </w:tr>
      <w:tr>
        <w:trPr>
          <w:trHeight w:val="14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Common stock cash dividends —</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27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$1.30 per share</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(216,991 )</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(216,991 )</w:t>
            </w:r>
          </w:p>
        </w:tc>
      </w:tr>
      <w:tr>
        <w:trPr>
          <w:trHeight w:val="15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Balance — September 30, 2023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979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10,012,438</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17,284,350</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60"/>
              <w:spacing w:after="0" w:line="136" w:lineRule="exact"/>
              <w:rPr>
                <w:sz w:val="20"/>
                <w:szCs w:val="20"/>
                <w:color w:val="auto"/>
              </w:rPr>
            </w:pPr>
            <w:r>
              <w:rPr>
                <w:rFonts w:ascii="Arial" w:cs="Arial" w:eastAsia="Arial" w:hAnsi="Arial"/>
                <w:sz w:val="9"/>
                <w:szCs w:val="9"/>
                <w:color w:val="auto"/>
              </w:rPr>
              <w:t xml:space="preserve">(941,878 </w:t>
            </w:r>
            <w:r>
              <w:rPr>
                <w:rFonts w:ascii="Arial" w:cs="Arial" w:eastAsia="Arial" w:hAnsi="Arial"/>
                <w:sz w:val="15"/>
                <w:szCs w:val="15"/>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36" w:lineRule="exact"/>
              <w:rPr>
                <w:sz w:val="20"/>
                <w:szCs w:val="20"/>
                <w:color w:val="auto"/>
              </w:rPr>
            </w:pPr>
            <w:r>
              <w:rPr>
                <w:rFonts w:ascii="Arial" w:cs="Arial" w:eastAsia="Arial" w:hAnsi="Arial"/>
                <w:sz w:val="9"/>
                <w:szCs w:val="9"/>
                <w:color w:val="auto"/>
              </w:rPr>
              <w:t xml:space="preserve">(2,259,705 </w:t>
            </w:r>
            <w:r>
              <w:rPr>
                <w:rFonts w:ascii="Arial" w:cs="Arial" w:eastAsia="Arial" w:hAnsi="Arial"/>
                <w:sz w:val="15"/>
                <w:szCs w:val="15"/>
                <w:color w:val="auto"/>
                <w:vertAlign w:val="subscript"/>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26,196,502</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6"/>
        </w:trPr>
        <w:tc>
          <w:tcPr>
            <w:tcW w:w="2800" w:type="dxa"/>
            <w:vAlign w:val="bottom"/>
            <w:gridSpan w:val="3"/>
          </w:tcPr>
          <w:p>
            <w:pPr>
              <w:ind w:left="20"/>
              <w:spacing w:after="0"/>
              <w:rPr>
                <w:sz w:val="20"/>
                <w:szCs w:val="20"/>
                <w:color w:val="auto"/>
              </w:rPr>
            </w:pPr>
            <w:r>
              <w:rPr>
                <w:rFonts w:ascii="Arial" w:cs="Arial" w:eastAsia="Arial" w:hAnsi="Arial"/>
                <w:sz w:val="11"/>
                <w:szCs w:val="11"/>
                <w:b w:val="1"/>
                <w:bCs w:val="1"/>
                <w:color w:val="auto"/>
              </w:rPr>
              <w:t>Nine Months Ended September 30, 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Balance — January 1, 2023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10,002,891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15,753,978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(790,030 )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(1,750,279 )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25,317,990</w:t>
            </w: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2,258,599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(151,848 )</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2,106,751</w:t>
            </w:r>
          </w:p>
        </w:tc>
        <w:tc>
          <w:tcPr>
            <w:tcW w:w="80" w:type="dxa"/>
            <w:vAlign w:val="bottom"/>
          </w:tcPr>
          <w:p>
            <w:pPr>
              <w:spacing w:after="0"/>
              <w:rPr>
                <w:sz w:val="13"/>
                <w:szCs w:val="13"/>
                <w:color w:val="auto"/>
              </w:rPr>
            </w:pP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Preferred stock cash dividends (a)</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(74,822 )</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(74,822 )</w:t>
            </w: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Purchases of treasury stock (b)</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(599,940 )</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(599,940 )</w:t>
            </w:r>
          </w:p>
        </w:tc>
      </w:tr>
      <w:tr>
        <w:trPr>
          <w:trHeight w:val="14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27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transactions, net (b)</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(133 )</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9,547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(1,415 )</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90,514</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98,513</w:t>
            </w:r>
          </w:p>
        </w:tc>
        <w:tc>
          <w:tcPr>
            <w:tcW w:w="80" w:type="dxa"/>
            <w:vAlign w:val="bottom"/>
            <w:shd w:val="clear" w:color="auto" w:fill="CFF0FC"/>
          </w:tcPr>
          <w:p>
            <w:pPr>
              <w:spacing w:after="0"/>
              <w:rPr>
                <w:sz w:val="12"/>
                <w:szCs w:val="12"/>
                <w:color w:val="auto"/>
              </w:rPr>
            </w:pPr>
          </w:p>
        </w:tc>
      </w:tr>
      <w:tr>
        <w:trPr>
          <w:trHeight w:val="14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Common stock cash dividends —</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780" w:type="dxa"/>
            <w:vAlign w:val="bottom"/>
            <w:gridSpan w:val="2"/>
          </w:tcPr>
          <w:p>
            <w:pPr>
              <w:ind w:left="80"/>
              <w:spacing w:after="0"/>
              <w:rPr>
                <w:sz w:val="20"/>
                <w:szCs w:val="20"/>
                <w:color w:val="auto"/>
              </w:rPr>
            </w:pPr>
            <w:r>
              <w:rPr>
                <w:rFonts w:ascii="Arial" w:cs="Arial" w:eastAsia="Arial" w:hAnsi="Arial"/>
                <w:sz w:val="11"/>
                <w:szCs w:val="11"/>
                <w:color w:val="auto"/>
              </w:rPr>
              <w:t>$3.90 per share</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(651,990 )</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(651,990 )</w:t>
            </w:r>
          </w:p>
        </w:tc>
      </w:tr>
      <w:tr>
        <w:trPr>
          <w:trHeight w:val="19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Balance — September 30, 2023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10,012,438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17,284,350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160"/>
              <w:spacing w:after="0" w:line="138" w:lineRule="exact"/>
              <w:rPr>
                <w:sz w:val="20"/>
                <w:szCs w:val="20"/>
                <w:color w:val="auto"/>
              </w:rPr>
            </w:pPr>
            <w:r>
              <w:rPr>
                <w:rFonts w:ascii="Arial" w:cs="Arial" w:eastAsia="Arial" w:hAnsi="Arial"/>
                <w:sz w:val="9"/>
                <w:szCs w:val="9"/>
                <w:color w:val="auto"/>
              </w:rPr>
              <w:t xml:space="preserve">(941,878 </w:t>
            </w:r>
            <w:r>
              <w:rPr>
                <w:rFonts w:ascii="Arial" w:cs="Arial" w:eastAsia="Arial" w:hAnsi="Arial"/>
                <w:sz w:val="16"/>
                <w:szCs w:val="16"/>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line="138" w:lineRule="exact"/>
              <w:rPr>
                <w:sz w:val="20"/>
                <w:szCs w:val="20"/>
                <w:color w:val="auto"/>
              </w:rPr>
            </w:pPr>
            <w:r>
              <w:rPr>
                <w:rFonts w:ascii="Arial" w:cs="Arial" w:eastAsia="Arial" w:hAnsi="Arial"/>
                <w:sz w:val="9"/>
                <w:szCs w:val="9"/>
                <w:color w:val="auto"/>
              </w:rPr>
              <w:t xml:space="preserve">(2,259,705 </w:t>
            </w:r>
            <w:r>
              <w:rPr>
                <w:rFonts w:ascii="Arial" w:cs="Arial" w:eastAsia="Arial" w:hAnsi="Arial"/>
                <w:sz w:val="16"/>
                <w:szCs w:val="16"/>
                <w:color w:val="auto"/>
                <w:vertAlign w:val="subscript"/>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26,196,502</w:t>
            </w:r>
          </w:p>
        </w:tc>
        <w:tc>
          <w:tcPr>
            <w:tcW w:w="80" w:type="dxa"/>
            <w:vAlign w:val="bottom"/>
            <w:shd w:val="clear" w:color="auto" w:fill="CFF0FC"/>
          </w:tcPr>
          <w:p>
            <w:pPr>
              <w:spacing w:after="0"/>
              <w:rPr>
                <w:sz w:val="17"/>
                <w:szCs w:val="17"/>
                <w:color w:val="auto"/>
              </w:rPr>
            </w:pPr>
          </w:p>
        </w:tc>
      </w:tr>
      <w:tr>
        <w:trPr>
          <w:trHeight w:val="132"/>
        </w:trPr>
        <w:tc>
          <w:tcPr>
            <w:tcW w:w="20" w:type="dxa"/>
            <w:vAlign w:val="bottom"/>
            <w:tcBorders>
              <w:top w:val="single" w:sz="8" w:color="CFF0FC"/>
            </w:tcBorders>
          </w:tcPr>
          <w:p>
            <w:pPr>
              <w:spacing w:after="0"/>
              <w:rPr>
                <w:sz w:val="11"/>
                <w:szCs w:val="11"/>
                <w:color w:val="auto"/>
              </w:rPr>
            </w:pPr>
          </w:p>
        </w:tc>
        <w:tc>
          <w:tcPr>
            <w:tcW w:w="198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56"/>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b w:val="1"/>
                <w:bCs w:val="1"/>
                <w:color w:val="auto"/>
              </w:rPr>
              <w:t>Three Months Ended September 30, 2022</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Balance — July 1, 2022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1,090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9,986,881</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14,808,637</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(506,490 )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(595,905 )</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25,794,531</w:t>
            </w:r>
          </w:p>
        </w:tc>
        <w:tc>
          <w:tcPr>
            <w:tcW w:w="80" w:type="dxa"/>
            <w:vAlign w:val="bottom"/>
          </w:tcPr>
          <w:p>
            <w:pPr>
              <w:spacing w:after="0"/>
              <w:rPr>
                <w:sz w:val="13"/>
                <w:szCs w:val="13"/>
                <w:color w:val="auto"/>
              </w:rPr>
            </w:pP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646,596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(393,503 )</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253,093</w:t>
            </w: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Preferred stock cash dividends (a)</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(24,941 )</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(24,941 )</w:t>
            </w: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Purchases of treasury stock</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(600,000 )</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(600,000 )</w:t>
            </w:r>
          </w:p>
        </w:tc>
      </w:tr>
      <w:tr>
        <w:trPr>
          <w:trHeight w:val="14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780" w:type="dxa"/>
            <w:vAlign w:val="bottom"/>
            <w:gridSpan w:val="2"/>
          </w:tcPr>
          <w:p>
            <w:pPr>
              <w:ind w:left="80"/>
              <w:spacing w:after="0"/>
              <w:rPr>
                <w:sz w:val="20"/>
                <w:szCs w:val="20"/>
                <w:color w:val="auto"/>
              </w:rPr>
            </w:pPr>
            <w:r>
              <w:rPr>
                <w:rFonts w:ascii="Arial" w:cs="Arial" w:eastAsia="Arial" w:hAnsi="Arial"/>
                <w:sz w:val="11"/>
                <w:szCs w:val="11"/>
                <w:color w:val="auto"/>
              </w:rPr>
              <w:t>transactions, net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(327 )</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36,752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43,947</w:t>
            </w:r>
          </w:p>
        </w:tc>
        <w:tc>
          <w:tcPr>
            <w:tcW w:w="80" w:type="dxa"/>
            <w:vAlign w:val="bottom"/>
          </w:tcPr>
          <w:p>
            <w:pPr>
              <w:spacing w:after="0"/>
              <w:rPr>
                <w:sz w:val="12"/>
                <w:szCs w:val="12"/>
                <w:color w:val="auto"/>
              </w:rPr>
            </w:pPr>
          </w:p>
        </w:tc>
      </w:tr>
      <w:tr>
        <w:trPr>
          <w:trHeight w:val="14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Common stock cash dividends —</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2"/>
        </w:trPr>
        <w:tc>
          <w:tcPr>
            <w:tcW w:w="20" w:type="dxa"/>
            <w:vAlign w:val="bottom"/>
            <w:shd w:val="clear" w:color="auto" w:fill="CFF0FC"/>
          </w:tcPr>
          <w:p>
            <w:pPr>
              <w:spacing w:after="0"/>
              <w:rPr>
                <w:sz w:val="12"/>
                <w:szCs w:val="12"/>
                <w:color w:val="auto"/>
              </w:rPr>
            </w:pPr>
          </w:p>
        </w:tc>
        <w:tc>
          <w:tcPr>
            <w:tcW w:w="278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$1.20 per share</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(210,137 )</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(210,137 )</w:t>
            </w:r>
          </w:p>
        </w:tc>
      </w:tr>
      <w:tr>
        <w:trPr>
          <w:trHeight w:val="15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Balance — September 30, 2022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2,010,600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89,718</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1,098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9,994,395</w:t>
            </w:r>
          </w:p>
        </w:tc>
        <w:tc>
          <w:tcPr>
            <w:tcW w:w="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15,219,828</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160"/>
              <w:spacing w:after="0" w:line="136" w:lineRule="exact"/>
              <w:rPr>
                <w:sz w:val="20"/>
                <w:szCs w:val="20"/>
                <w:color w:val="auto"/>
              </w:rPr>
            </w:pPr>
            <w:r>
              <w:rPr>
                <w:rFonts w:ascii="Arial" w:cs="Arial" w:eastAsia="Arial" w:hAnsi="Arial"/>
                <w:sz w:val="9"/>
                <w:szCs w:val="9"/>
                <w:color w:val="auto"/>
              </w:rPr>
              <w:t xml:space="preserve">(899,993 </w:t>
            </w:r>
            <w:r>
              <w:rPr>
                <w:rFonts w:ascii="Arial" w:cs="Arial" w:eastAsia="Arial" w:hAnsi="Arial"/>
                <w:sz w:val="15"/>
                <w:szCs w:val="15"/>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36" w:lineRule="exact"/>
              <w:rPr>
                <w:sz w:val="20"/>
                <w:szCs w:val="20"/>
                <w:color w:val="auto"/>
              </w:rPr>
            </w:pPr>
            <w:r>
              <w:rPr>
                <w:rFonts w:ascii="Arial" w:cs="Arial" w:eastAsia="Arial" w:hAnsi="Arial"/>
                <w:sz w:val="9"/>
                <w:szCs w:val="9"/>
                <w:color w:val="auto"/>
              </w:rPr>
              <w:t xml:space="preserve">(1,159,153 </w:t>
            </w:r>
            <w:r>
              <w:rPr>
                <w:rFonts w:ascii="Arial" w:cs="Arial" w:eastAsia="Arial" w:hAnsi="Arial"/>
                <w:sz w:val="15"/>
                <w:szCs w:val="15"/>
                <w:color w:val="auto"/>
                <w:vertAlign w:val="subscript"/>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25,256,493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6"/>
        </w:trPr>
        <w:tc>
          <w:tcPr>
            <w:tcW w:w="2800" w:type="dxa"/>
            <w:vAlign w:val="bottom"/>
            <w:gridSpan w:val="3"/>
          </w:tcPr>
          <w:p>
            <w:pPr>
              <w:ind w:left="20"/>
              <w:spacing w:after="0"/>
              <w:rPr>
                <w:sz w:val="20"/>
                <w:szCs w:val="20"/>
                <w:color w:val="auto"/>
              </w:rPr>
            </w:pPr>
            <w:r>
              <w:rPr>
                <w:rFonts w:ascii="Arial" w:cs="Arial" w:eastAsia="Arial" w:hAnsi="Arial"/>
                <w:sz w:val="11"/>
                <w:szCs w:val="11"/>
                <w:b w:val="1"/>
                <w:bCs w:val="1"/>
                <w:color w:val="auto"/>
              </w:rPr>
              <w:t>Nine Months Ended September 30, 2022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Balance — January 1, 2022</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6,635,000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14,646,448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(127,578 )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(5,081,548 )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17,903,405</w:t>
            </w:r>
          </w:p>
        </w:tc>
        <w:tc>
          <w:tcPr>
            <w:tcW w:w="80" w:type="dxa"/>
            <w:vAlign w:val="bottom"/>
            <w:shd w:val="clear" w:color="auto" w:fill="CFF0FC"/>
          </w:tcPr>
          <w:p>
            <w:pPr>
              <w:spacing w:after="0"/>
              <w:rPr>
                <w:sz w:val="13"/>
                <w:szCs w:val="13"/>
                <w:color w:val="auto"/>
              </w:rPr>
            </w:pP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1,226,292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(772,415 )</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453,877</w:t>
            </w:r>
          </w:p>
        </w:tc>
        <w:tc>
          <w:tcPr>
            <w:tcW w:w="80" w:type="dxa"/>
            <w:vAlign w:val="bottom"/>
          </w:tcPr>
          <w:p>
            <w:pPr>
              <w:spacing w:after="0"/>
              <w:rPr>
                <w:sz w:val="13"/>
                <w:szCs w:val="13"/>
                <w:color w:val="auto"/>
              </w:rPr>
            </w:pP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Acquisition of People's United Financial, Inc.:</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780" w:type="dxa"/>
            <w:vAlign w:val="bottom"/>
            <w:gridSpan w:val="2"/>
          </w:tcPr>
          <w:p>
            <w:pPr>
              <w:ind w:left="160"/>
              <w:spacing w:after="0"/>
              <w:rPr>
                <w:sz w:val="20"/>
                <w:szCs w:val="20"/>
                <w:color w:val="auto"/>
              </w:rPr>
            </w:pPr>
            <w:r>
              <w:rPr>
                <w:rFonts w:ascii="Arial" w:cs="Arial" w:eastAsia="Arial" w:hAnsi="Arial"/>
                <w:sz w:val="11"/>
                <w:szCs w:val="11"/>
                <w:color w:val="auto"/>
              </w:rPr>
              <w:t>Common stock issued</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3,256,821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5,019,870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8,286,515</w:t>
            </w:r>
          </w:p>
        </w:tc>
        <w:tc>
          <w:tcPr>
            <w:tcW w:w="80" w:type="dxa"/>
            <w:vAlign w:val="bottom"/>
          </w:tcPr>
          <w:p>
            <w:pPr>
              <w:spacing w:after="0"/>
              <w:rPr>
                <w:sz w:val="13"/>
                <w:szCs w:val="13"/>
                <w:color w:val="auto"/>
              </w:rPr>
            </w:pPr>
          </w:p>
        </w:tc>
      </w:tr>
      <w:tr>
        <w:trPr>
          <w:trHeight w:val="158"/>
        </w:trPr>
        <w:tc>
          <w:tcPr>
            <w:tcW w:w="20" w:type="dxa"/>
            <w:vAlign w:val="bottom"/>
            <w:shd w:val="clear" w:color="auto" w:fill="CFF0FC"/>
          </w:tcPr>
          <w:p>
            <w:pPr>
              <w:spacing w:after="0"/>
              <w:rPr>
                <w:sz w:val="13"/>
                <w:szCs w:val="13"/>
                <w:color w:val="auto"/>
              </w:rPr>
            </w:pPr>
          </w:p>
        </w:tc>
        <w:tc>
          <w:tcPr>
            <w:tcW w:w="2780" w:type="dxa"/>
            <w:vAlign w:val="bottom"/>
            <w:gridSpan w:val="2"/>
            <w:shd w:val="clear" w:color="auto" w:fill="CFF0FC"/>
          </w:tcPr>
          <w:p>
            <w:pPr>
              <w:ind w:left="160"/>
              <w:spacing w:after="0"/>
              <w:rPr>
                <w:sz w:val="20"/>
                <w:szCs w:val="20"/>
                <w:color w:val="auto"/>
              </w:rPr>
            </w:pPr>
            <w:r>
              <w:rPr>
                <w:rFonts w:ascii="Arial" w:cs="Arial" w:eastAsia="Arial" w:hAnsi="Arial"/>
                <w:sz w:val="11"/>
                <w:szCs w:val="11"/>
                <w:color w:val="auto"/>
              </w:rPr>
              <w:t>Common stock awards converted</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104,810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104,810</w:t>
            </w:r>
          </w:p>
        </w:tc>
        <w:tc>
          <w:tcPr>
            <w:tcW w:w="8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780" w:type="dxa"/>
            <w:vAlign w:val="bottom"/>
            <w:gridSpan w:val="2"/>
          </w:tcPr>
          <w:p>
            <w:pPr>
              <w:ind w:left="160"/>
              <w:spacing w:after="0"/>
              <w:rPr>
                <w:sz w:val="20"/>
                <w:szCs w:val="20"/>
                <w:color w:val="auto"/>
              </w:rPr>
            </w:pPr>
            <w:r>
              <w:rPr>
                <w:rFonts w:ascii="Arial" w:cs="Arial" w:eastAsia="Arial" w:hAnsi="Arial"/>
                <w:sz w:val="11"/>
                <w:szCs w:val="11"/>
                <w:color w:val="auto"/>
              </w:rPr>
              <w:t>Conversion of Series H preferred stock</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260,600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260,600</w:t>
            </w:r>
          </w:p>
        </w:tc>
        <w:tc>
          <w:tcPr>
            <w:tcW w:w="80" w:type="dxa"/>
            <w:vAlign w:val="bottom"/>
          </w:tcPr>
          <w:p>
            <w:pPr>
              <w:spacing w:after="0"/>
              <w:rPr>
                <w:sz w:val="13"/>
                <w:szCs w:val="13"/>
                <w:color w:val="auto"/>
              </w:rPr>
            </w:pP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Preferred stock cash dividends (a)</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(71,647 )</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(71,647 )</w:t>
            </w:r>
          </w:p>
        </w:tc>
      </w:tr>
      <w:tr>
        <w:trPr>
          <w:trHeight w:val="154"/>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Purchases of treasury stock</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(1,200,000 )</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(1,200,000 )</w:t>
            </w:r>
          </w:p>
        </w:tc>
      </w:tr>
      <w:tr>
        <w:trPr>
          <w:trHeight w:val="15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Stock-based compensation transactions, net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(114 )</w:t>
            </w: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(2,236 )</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(970 )</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102,525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99,228</w:t>
            </w:r>
          </w:p>
        </w:tc>
        <w:tc>
          <w:tcPr>
            <w:tcW w:w="80" w:type="dxa"/>
            <w:vAlign w:val="bottom"/>
            <w:shd w:val="clear" w:color="auto" w:fill="CFF0FC"/>
          </w:tcPr>
          <w:p>
            <w:pPr>
              <w:spacing w:after="0"/>
              <w:rPr>
                <w:sz w:val="13"/>
                <w:szCs w:val="13"/>
                <w:color w:val="auto"/>
              </w:rPr>
            </w:pPr>
          </w:p>
        </w:tc>
      </w:tr>
      <w:tr>
        <w:trPr>
          <w:trHeight w:val="146"/>
        </w:trPr>
        <w:tc>
          <w:tcPr>
            <w:tcW w:w="2800" w:type="dxa"/>
            <w:vAlign w:val="bottom"/>
            <w:gridSpan w:val="3"/>
          </w:tcPr>
          <w:p>
            <w:pPr>
              <w:ind w:left="20"/>
              <w:spacing w:after="0"/>
              <w:rPr>
                <w:sz w:val="20"/>
                <w:szCs w:val="20"/>
                <w:color w:val="auto"/>
              </w:rPr>
            </w:pPr>
            <w:r>
              <w:rPr>
                <w:rFonts w:ascii="Arial" w:cs="Arial" w:eastAsia="Arial" w:hAnsi="Arial"/>
                <w:sz w:val="11"/>
                <w:szCs w:val="11"/>
                <w:color w:val="auto"/>
              </w:rPr>
              <w:t>Common stock cash dividends —</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780" w:type="dxa"/>
            <w:vAlign w:val="bottom"/>
            <w:gridSpan w:val="2"/>
          </w:tcPr>
          <w:p>
            <w:pPr>
              <w:ind w:left="80"/>
              <w:spacing w:after="0"/>
              <w:rPr>
                <w:sz w:val="20"/>
                <w:szCs w:val="20"/>
                <w:color w:val="auto"/>
              </w:rPr>
            </w:pPr>
            <w:r>
              <w:rPr>
                <w:rFonts w:ascii="Arial" w:cs="Arial" w:eastAsia="Arial" w:hAnsi="Arial"/>
                <w:sz w:val="11"/>
                <w:szCs w:val="11"/>
                <w:color w:val="auto"/>
              </w:rPr>
              <w:t>$3.60 per share</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(580,295 )</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(580,295 )</w:t>
            </w:r>
          </w:p>
        </w:tc>
      </w:tr>
      <w:tr>
        <w:trPr>
          <w:trHeight w:val="178"/>
        </w:trPr>
        <w:tc>
          <w:tcPr>
            <w:tcW w:w="2800" w:type="dxa"/>
            <w:vAlign w:val="bottom"/>
            <w:gridSpan w:val="3"/>
            <w:shd w:val="clear" w:color="auto" w:fill="CFF0FC"/>
          </w:tcPr>
          <w:p>
            <w:pPr>
              <w:ind w:left="20"/>
              <w:spacing w:after="0"/>
              <w:rPr>
                <w:sz w:val="20"/>
                <w:szCs w:val="20"/>
                <w:color w:val="auto"/>
              </w:rPr>
            </w:pPr>
            <w:r>
              <w:rPr>
                <w:rFonts w:ascii="Arial" w:cs="Arial" w:eastAsia="Arial" w:hAnsi="Arial"/>
                <w:sz w:val="11"/>
                <w:szCs w:val="11"/>
                <w:color w:val="auto"/>
              </w:rPr>
              <w:t>Balance — September 30, 2022</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2,010,600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89,718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9,994,395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15,219,828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160"/>
              <w:spacing w:after="0" w:line="138" w:lineRule="exact"/>
              <w:rPr>
                <w:sz w:val="20"/>
                <w:szCs w:val="20"/>
                <w:color w:val="auto"/>
              </w:rPr>
            </w:pPr>
            <w:r>
              <w:rPr>
                <w:rFonts w:ascii="Arial" w:cs="Arial" w:eastAsia="Arial" w:hAnsi="Arial"/>
                <w:sz w:val="9"/>
                <w:szCs w:val="9"/>
                <w:color w:val="auto"/>
              </w:rPr>
              <w:t xml:space="preserve">(899,993 </w:t>
            </w:r>
            <w:r>
              <w:rPr>
                <w:rFonts w:ascii="Arial" w:cs="Arial" w:eastAsia="Arial" w:hAnsi="Arial"/>
                <w:sz w:val="16"/>
                <w:szCs w:val="16"/>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140"/>
              <w:spacing w:after="0" w:line="138" w:lineRule="exact"/>
              <w:rPr>
                <w:sz w:val="20"/>
                <w:szCs w:val="20"/>
                <w:color w:val="auto"/>
              </w:rPr>
            </w:pPr>
            <w:r>
              <w:rPr>
                <w:rFonts w:ascii="Arial" w:cs="Arial" w:eastAsia="Arial" w:hAnsi="Arial"/>
                <w:sz w:val="9"/>
                <w:szCs w:val="9"/>
                <w:color w:val="auto"/>
              </w:rPr>
              <w:t xml:space="preserve">(1,159,153 </w:t>
            </w:r>
            <w:r>
              <w:rPr>
                <w:rFonts w:ascii="Arial" w:cs="Arial" w:eastAsia="Arial" w:hAnsi="Arial"/>
                <w:sz w:val="16"/>
                <w:szCs w:val="16"/>
                <w:color w:val="auto"/>
                <w:vertAlign w:val="subscript"/>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25,256,493</w:t>
            </w:r>
          </w:p>
        </w:tc>
        <w:tc>
          <w:tcPr>
            <w:tcW w:w="8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19" w:lineRule="exact"/>
        <w:rPr>
          <w:sz w:val="20"/>
          <w:szCs w:val="20"/>
          <w:color w:val="auto"/>
        </w:rPr>
      </w:pPr>
    </w:p>
    <w:p>
      <w:pPr>
        <w:ind w:left="180" w:right="60"/>
        <w:spacing w:after="0" w:line="255" w:lineRule="auto"/>
        <w:rPr>
          <w:sz w:val="20"/>
          <w:szCs w:val="20"/>
          <w:color w:val="auto"/>
        </w:rPr>
      </w:pPr>
      <w:r>
        <w:rPr>
          <w:rFonts w:ascii="Arial" w:cs="Arial" w:eastAsia="Arial" w:hAnsi="Arial"/>
          <w:sz w:val="12"/>
          <w:szCs w:val="12"/>
          <w:i w:val="1"/>
          <w:iCs w:val="1"/>
          <w:color w:val="auto"/>
        </w:rPr>
        <w:t>(a)</w:t>
      </w:r>
      <w:r>
        <w:rPr>
          <w:rFonts w:ascii="Arial" w:cs="Arial" w:eastAsia="Arial" w:hAnsi="Arial"/>
          <w:sz w:val="13"/>
          <w:szCs w:val="13"/>
          <w:i w:val="1"/>
          <w:iCs w:val="1"/>
          <w:color w:val="auto"/>
        </w:rPr>
        <w:t>For the three-month and nine-month periods ended September 30, 2023, dividends per preferred share were: Preferred Series E - $16.125 and $48.375, respectively;</w:t>
      </w:r>
      <w:r>
        <w:rPr>
          <w:rFonts w:ascii="Arial" w:cs="Arial" w:eastAsia="Arial" w:hAnsi="Arial"/>
          <w:sz w:val="12"/>
          <w:szCs w:val="12"/>
          <w:i w:val="1"/>
          <w:iCs w:val="1"/>
          <w:color w:val="auto"/>
        </w:rPr>
        <w:t xml:space="preserve"> </w:t>
      </w:r>
      <w:r>
        <w:rPr>
          <w:rFonts w:ascii="Arial" w:cs="Arial" w:eastAsia="Arial" w:hAnsi="Arial"/>
          <w:sz w:val="13"/>
          <w:szCs w:val="13"/>
          <w:i w:val="1"/>
          <w:iCs w:val="1"/>
          <w:color w:val="auto"/>
        </w:rPr>
        <w:t>Preferred Series F - $128.125 and $384.375, respectively; Preferred Series G - $125.00 and $375.00, respectively; Preferred Series H - $0.3516 and $ 1.0547, respectively; and Preferred Series I - $87.50 and $ 262.50, respectively. Dividends per preferred share for the three-month and nine-month periods ended September 30, 2022 were: Preferred Series E - $16.125 and $48.375, respectively; Preferred Series F - $128.125 and $ 384.375, respectively; Preferred Series G - $125.00 and $375.00, respectively; Preferred Series H - $0.3516 and $0.7031, respectively; and Preferred Series I - $87.50. and $269.31, respectively.</w:t>
      </w:r>
    </w:p>
    <w:p>
      <w:pPr>
        <w:ind w:left="180"/>
        <w:spacing w:after="0"/>
        <w:rPr>
          <w:sz w:val="20"/>
          <w:szCs w:val="20"/>
          <w:color w:val="auto"/>
        </w:rPr>
      </w:pPr>
      <w:r>
        <w:rPr>
          <w:rFonts w:ascii="Arial" w:cs="Arial" w:eastAsia="Arial" w:hAnsi="Arial"/>
          <w:sz w:val="12"/>
          <w:szCs w:val="12"/>
          <w:i w:val="1"/>
          <w:iCs w:val="1"/>
          <w:color w:val="auto"/>
        </w:rPr>
        <w:t>(b)</w:t>
      </w:r>
      <w:r>
        <w:rPr>
          <w:rFonts w:ascii="Arial" w:cs="Arial" w:eastAsia="Arial" w:hAnsi="Arial"/>
          <w:sz w:val="13"/>
          <w:szCs w:val="13"/>
          <w:i w:val="1"/>
          <w:iCs w:val="1"/>
          <w:color w:val="auto"/>
        </w:rPr>
        <w:t>Effective January 1, 2023 amounts are inclusive of 1% U.S. government excise taxes receivable or payable.</w:t>
      </w:r>
    </w:p>
    <w:p>
      <w:pPr>
        <w:spacing w:after="0" w:line="209"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3" w:right="68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consolidated interim financial statements of the Company were compiled in accordance with GAAP using the accounting policies set forth in note 1 of Notes to Financial Statements included in the 2022 Annual Report, except as disclosed in note 16 of Notes to Financial Statements herein. The financial statements contain all adjustments which are, in the opinion of management, necessary for a fair statement of the Company's financial position, results of operations and cash flows for the interim periods presented.</w:t>
      </w:r>
    </w:p>
    <w:p>
      <w:pPr>
        <w:spacing w:after="0" w:line="62" w:lineRule="exact"/>
        <w:rPr>
          <w:sz w:val="20"/>
          <w:szCs w:val="20"/>
          <w:color w:val="auto"/>
        </w:rPr>
      </w:pPr>
    </w:p>
    <w:p>
      <w:pPr>
        <w:ind w:right="8000" w:firstLine="6"/>
        <w:spacing w:after="0" w:line="367"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and divestiture </w:t>
      </w:r>
      <w:r>
        <w:rPr>
          <w:rFonts w:ascii="Arial" w:cs="Arial" w:eastAsia="Arial" w:hAnsi="Arial"/>
          <w:sz w:val="18"/>
          <w:szCs w:val="18"/>
          <w:i w:val="1"/>
          <w:iCs w:val="1"/>
          <w:color w:val="auto"/>
        </w:rPr>
        <w:t>Acquisition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1, 2022, M&amp;T completed the acquisition of People's United. Through subsidiaries, People's United provided commercial banking, retail banking and wealth management services to individual, corporate and municipal customers through a network of branches located in Connecticut, southeastern New York, Massachusetts, Vermont, New Hampshire and Maine. Following the merger, People's United Bank, National Association, a national banking association and a wholly owned subsidiary of People's United, merged with and into M&amp;T Bank, the principal banking subsidiary of M&amp;T, with M&amp;T Bank as the surviving entity. The results of operations acquired from People's United have been included in the Company's financial results since April 1, 2022.</w:t>
      </w:r>
    </w:p>
    <w:p>
      <w:pPr>
        <w:spacing w:after="0" w:line="73" w:lineRule="exact"/>
        <w:rPr>
          <w:sz w:val="20"/>
          <w:szCs w:val="20"/>
          <w:color w:val="auto"/>
        </w:rPr>
      </w:pPr>
    </w:p>
    <w:p>
      <w:pPr>
        <w:ind w:firstLine="696"/>
        <w:spacing w:after="0" w:line="254" w:lineRule="auto"/>
        <w:rPr>
          <w:sz w:val="20"/>
          <w:szCs w:val="20"/>
          <w:color w:val="auto"/>
        </w:rPr>
      </w:pPr>
      <w:r>
        <w:rPr>
          <w:rFonts w:ascii="Arial" w:cs="Arial" w:eastAsia="Arial" w:hAnsi="Arial"/>
          <w:sz w:val="18"/>
          <w:szCs w:val="18"/>
          <w:color w:val="auto"/>
        </w:rPr>
        <w:t>Pursuant to the terms of the merger agreement dated February 22, 2021, People’s United shareholders received consideration valued at .118 of an M&amp;T common share in exchange for each common share of People’s United. The purchase price totaled approximately $8.4 billion (with the price based on M&amp;T’s closing price of $164.66 per share as of April 1, 2022). M&amp;T issued 50,325,004 common shares in completing the transaction. Additionally, People’s United outstanding preferred stock was converted into new shares of Series H Preferred Stock of M&amp;T. The acquisition of People's United expanded the Company's geographical footprint and management expects the Company will benefit from greater geographical diversity and the advantages of scale associated with a larger company.</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43" w:right="720"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divestiture, continued</w:t>
      </w:r>
    </w:p>
    <w:p>
      <w:pPr>
        <w:spacing w:after="0" w:line="115" w:lineRule="exact"/>
        <w:rPr>
          <w:sz w:val="20"/>
          <w:szCs w:val="20"/>
          <w:color w:val="auto"/>
        </w:rPr>
      </w:pPr>
    </w:p>
    <w:p>
      <w:pPr>
        <w:ind w:right="20" w:firstLine="696"/>
        <w:spacing w:after="0" w:line="259" w:lineRule="auto"/>
        <w:rPr>
          <w:sz w:val="20"/>
          <w:szCs w:val="20"/>
          <w:color w:val="auto"/>
        </w:rPr>
      </w:pPr>
      <w:r>
        <w:rPr>
          <w:rFonts w:ascii="Arial" w:cs="Arial" w:eastAsia="Arial" w:hAnsi="Arial"/>
          <w:sz w:val="18"/>
          <w:szCs w:val="18"/>
          <w:color w:val="auto"/>
        </w:rPr>
        <w:t>The People’s United transaction has been accounted for using the acquisition method of accounting and, accordingly, assets acquired, liabilities assumed and preferred stock converted were recorded at estimated fair value on the acquisition date. The consideration paid for People’s United common equity and the amounts of identifiable assets acquired, liabilities assumed and preferred stock converted as of the acquisition date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04"/>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Consideration:</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Common stock issued (50,325,004 shares)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8,286,515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stock awards converted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consideration</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8,393,149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Identifiable assets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Cash and due from banks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395,747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Interest-bearing deposits at banks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9,193,346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11,574,689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Loans and leases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35,840,648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Core deposit and other intangible assets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2,979,388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identifiable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60,244,818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Liabilities and preferred stock</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Deposits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52,967,915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8700" w:type="dxa"/>
            <w:vAlign w:val="bottom"/>
            <w:vMerge w:val="continue"/>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5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1,389,012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1,142,387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420"/>
              <w:spacing w:after="0"/>
              <w:rPr>
                <w:sz w:val="20"/>
                <w:szCs w:val="20"/>
                <w:color w:val="auto"/>
              </w:rPr>
            </w:pPr>
            <w:r>
              <w:rPr>
                <w:rFonts w:ascii="Arial" w:cs="Arial" w:eastAsia="Arial" w:hAnsi="Arial"/>
                <w:sz w:val="16"/>
                <w:szCs w:val="16"/>
                <w:color w:val="auto"/>
              </w:rPr>
              <w:t>Total liabilities assumed</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55,499,314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Preferred stock</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20"/>
              <w:spacing w:after="0"/>
              <w:rPr>
                <w:sz w:val="20"/>
                <w:szCs w:val="20"/>
                <w:color w:val="auto"/>
              </w:rPr>
            </w:pPr>
            <w:r>
              <w:rPr>
                <w:rFonts w:ascii="Arial" w:cs="Arial" w:eastAsia="Arial" w:hAnsi="Arial"/>
                <w:sz w:val="16"/>
                <w:szCs w:val="16"/>
                <w:color w:val="auto"/>
              </w:rPr>
              <w:t>Total liabilities and preferred stock</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55,759,914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assets acquired</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4,484,904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7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3,908,245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GAAP requires loans and leases obtained through an acquisition that have experienced a more -than-insignificant deterioration in credit quality since origination be considered PCD. The Company considered several factors in the determination of PCD loans, including loan grades assigned to acquired commercial loans and leases and commercial real estate loans utilizing the Company's loan grading system and delinquency status and history for acquired loans backed by residential real estate. For PCD loans and leases, the initial estimate of expected credit losses of $99 million was established through an adjustment to increase both the initial carrying value and allowance for credit losses. GAAP also provides that an allowance for credit losses on loans acquired, but not classified as PCD, also be recognized above and beyond the impact of forecasted losses used in determining fair value. Accordingly, the Company recorded $242 million of provision for credit losses for non- PCD acquired loans and leases at the acquisition date. The following table reconciles the unpaid principal balance to the fair value of loans and leases at April 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PCD</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Non-PCD</w:t>
            </w:r>
          </w:p>
        </w:tc>
      </w:tr>
      <w:tr>
        <w:trPr>
          <w:trHeight w:val="183"/>
        </w:trPr>
        <w:tc>
          <w:tcPr>
            <w:tcW w:w="7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4"/>
        </w:trPr>
        <w:tc>
          <w:tcPr>
            <w:tcW w:w="7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Unpaid principal balance</w:t>
            </w:r>
          </w:p>
        </w:tc>
        <w:tc>
          <w:tcPr>
            <w:tcW w:w="3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3,410,506</w:t>
            </w: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(a) $</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32,896,454</w:t>
            </w:r>
          </w:p>
        </w:tc>
        <w:tc>
          <w:tcPr>
            <w:tcW w:w="400" w:type="dxa"/>
            <w:vAlign w:val="bottom"/>
            <w:shd w:val="clear" w:color="auto" w:fill="CFF0FC"/>
          </w:tcPr>
          <w:p>
            <w:pPr>
              <w:spacing w:after="0"/>
              <w:rPr>
                <w:sz w:val="17"/>
                <w:szCs w:val="17"/>
                <w:color w:val="auto"/>
              </w:rPr>
            </w:pPr>
          </w:p>
        </w:tc>
      </w:tr>
      <w:tr>
        <w:trPr>
          <w:trHeight w:val="239"/>
        </w:trPr>
        <w:tc>
          <w:tcPr>
            <w:tcW w:w="7000" w:type="dxa"/>
            <w:vAlign w:val="bottom"/>
          </w:tcPr>
          <w:p>
            <w:pPr>
              <w:ind w:left="20"/>
              <w:spacing w:after="0"/>
              <w:rPr>
                <w:sz w:val="20"/>
                <w:szCs w:val="20"/>
                <w:color w:val="auto"/>
              </w:rPr>
            </w:pPr>
            <w:r>
              <w:rPr>
                <w:rFonts w:ascii="Arial" w:cs="Arial" w:eastAsia="Arial" w:hAnsi="Arial"/>
                <w:sz w:val="16"/>
                <w:szCs w:val="16"/>
                <w:color w:val="auto"/>
              </w:rPr>
              <w:t>Allowance for credit losses at acquisition</w:t>
            </w:r>
          </w:p>
        </w:tc>
        <w:tc>
          <w:tcPr>
            <w:tcW w:w="3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(99,000 )</w:t>
            </w:r>
          </w:p>
        </w:tc>
        <w:tc>
          <w:tcPr>
            <w:tcW w:w="620" w:type="dxa"/>
            <w:vAlign w:val="bottom"/>
            <w:gridSpan w:val="2"/>
          </w:tcPr>
          <w:p>
            <w:pPr>
              <w:ind w:left="40"/>
              <w:spacing w:after="0"/>
              <w:rPr>
                <w:sz w:val="20"/>
                <w:szCs w:val="20"/>
                <w:color w:val="auto"/>
              </w:rPr>
            </w:pPr>
            <w:r>
              <w:rPr>
                <w:rFonts w:ascii="Arial" w:cs="Arial" w:eastAsia="Arial" w:hAnsi="Arial"/>
                <w:sz w:val="16"/>
                <w:szCs w:val="16"/>
                <w:color w:val="auto"/>
              </w:rPr>
              <w:t>(a)</w:t>
            </w: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r>
      <w:tr>
        <w:trPr>
          <w:trHeight w:val="205"/>
        </w:trPr>
        <w:tc>
          <w:tcPr>
            <w:tcW w:w="7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discount</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(106,814 )</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(260,498 ) (b)</w:t>
            </w:r>
          </w:p>
        </w:tc>
      </w:tr>
      <w:tr>
        <w:trPr>
          <w:trHeight w:val="203"/>
        </w:trPr>
        <w:tc>
          <w:tcPr>
            <w:tcW w:w="7000" w:type="dxa"/>
            <w:vAlign w:val="bottom"/>
          </w:tcPr>
          <w:p>
            <w:pPr>
              <w:ind w:left="180"/>
              <w:spacing w:after="0"/>
              <w:rPr>
                <w:sz w:val="20"/>
                <w:szCs w:val="20"/>
                <w:color w:val="auto"/>
              </w:rPr>
            </w:pPr>
            <w:r>
              <w:rPr>
                <w:rFonts w:ascii="Arial" w:cs="Arial" w:eastAsia="Arial" w:hAnsi="Arial"/>
                <w:sz w:val="16"/>
                <w:szCs w:val="16"/>
                <w:color w:val="auto"/>
              </w:rPr>
              <w:t>Fair value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3,204,692</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32,635,956</w:t>
            </w:r>
          </w:p>
        </w:tc>
        <w:tc>
          <w:tcPr>
            <w:tcW w:w="400" w:type="dxa"/>
            <w:vAlign w:val="bottom"/>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(a)The unpaid principal balance and allowance for credit losses at acquisition is net of charge-offs of $33 million recognized on the PCD loans.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approximately $242 million of principal balances not expected to be collected.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divestiture, continued</w:t>
      </w:r>
    </w:p>
    <w:p>
      <w:pPr>
        <w:spacing w:after="0" w:line="115" w:lineRule="exact"/>
        <w:rPr>
          <w:sz w:val="20"/>
          <w:szCs w:val="20"/>
          <w:color w:val="auto"/>
        </w:rPr>
      </w:pPr>
    </w:p>
    <w:p>
      <w:pPr>
        <w:ind w:right="420" w:firstLine="696"/>
        <w:spacing w:after="0" w:line="263" w:lineRule="auto"/>
        <w:rPr>
          <w:sz w:val="20"/>
          <w:szCs w:val="20"/>
          <w:color w:val="auto"/>
        </w:rPr>
      </w:pPr>
      <w:r>
        <w:rPr>
          <w:rFonts w:ascii="Arial" w:cs="Arial" w:eastAsia="Arial" w:hAnsi="Arial"/>
          <w:sz w:val="18"/>
          <w:szCs w:val="18"/>
          <w:color w:val="auto"/>
        </w:rPr>
        <w:t>In connection with the acquisition, the Company recorded approximately $3.9 billion of goodwill, which represents the excess of the purchase price over the fair value of the net assets acquired, and $261 million of core deposit and other intangible assets. The core deposit and other intangible assets are being amortized over periods of three to seven years.</w:t>
      </w:r>
    </w:p>
    <w:p>
      <w:pPr>
        <w:spacing w:after="0" w:line="64" w:lineRule="exact"/>
        <w:rPr>
          <w:sz w:val="20"/>
          <w:szCs w:val="20"/>
          <w:color w:val="auto"/>
        </w:rPr>
      </w:pPr>
    </w:p>
    <w:p>
      <w:pPr>
        <w:ind w:right="140" w:firstLine="696"/>
        <w:spacing w:after="0" w:line="254" w:lineRule="auto"/>
        <w:rPr>
          <w:sz w:val="20"/>
          <w:szCs w:val="20"/>
          <w:color w:val="auto"/>
        </w:rPr>
      </w:pPr>
      <w:r>
        <w:rPr>
          <w:rFonts w:ascii="Arial" w:cs="Arial" w:eastAsia="Arial" w:hAnsi="Arial"/>
          <w:sz w:val="18"/>
          <w:szCs w:val="18"/>
          <w:color w:val="auto"/>
        </w:rPr>
        <w:t>The following table presents certain pro forma information as if People’s United had been acquired on January 1, 2021. These results combine the historical results of People’s United into the Company’s Consolidated Statement of Income and, while adjustments were made for the estimated impact of certain fair valuation adjustments and other acquisition-related activity, they are not indicative of what would have occurred had the acquisition taken place as indicated. For example, merger-related expenses noted below are included in the periods where such expenses were incurred. Additionally, the Company expects to achieve operating cost savings and other business synergies as a result of the acquisition which are not reflected in the pro forma amounts that follow: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20" w:type="dxa"/>
            <w:vAlign w:val="bottom"/>
          </w:tcPr>
          <w:p>
            <w:pPr>
              <w:jc w:val="center"/>
              <w:ind w:right="250"/>
              <w:spacing w:after="0"/>
              <w:rPr>
                <w:sz w:val="20"/>
                <w:szCs w:val="20"/>
                <w:color w:val="auto"/>
              </w:rPr>
            </w:pPr>
            <w:r>
              <w:rPr>
                <w:rFonts w:ascii="Arial" w:cs="Arial" w:eastAsia="Arial" w:hAnsi="Arial"/>
                <w:sz w:val="13"/>
                <w:szCs w:val="13"/>
                <w:b w:val="1"/>
                <w:bCs w:val="1"/>
                <w:color w:val="auto"/>
              </w:rPr>
              <w:t>Pro forma</w:t>
            </w:r>
          </w:p>
        </w:tc>
      </w:tr>
      <w:tr>
        <w:trPr>
          <w:trHeight w:val="189"/>
        </w:trPr>
        <w:tc>
          <w:tcPr>
            <w:tcW w:w="49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820" w:type="dxa"/>
            <w:vAlign w:val="bottom"/>
          </w:tcPr>
          <w:p>
            <w:pPr>
              <w:jc w:val="center"/>
              <w:ind w:right="250"/>
              <w:spacing w:after="0"/>
              <w:rPr>
                <w:sz w:val="20"/>
                <w:szCs w:val="20"/>
                <w:color w:val="auto"/>
              </w:rPr>
            </w:pPr>
            <w:r>
              <w:rPr>
                <w:rFonts w:ascii="Arial" w:cs="Arial" w:eastAsia="Arial" w:hAnsi="Arial"/>
                <w:sz w:val="13"/>
                <w:szCs w:val="13"/>
                <w:b w:val="1"/>
                <w:bCs w:val="1"/>
                <w:color w:val="auto"/>
              </w:rPr>
              <w:t>Nine months ended</w:t>
            </w:r>
          </w:p>
        </w:tc>
      </w:tr>
      <w:tr>
        <w:trPr>
          <w:trHeight w:val="183"/>
        </w:trPr>
        <w:tc>
          <w:tcPr>
            <w:tcW w:w="49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20" w:type="dxa"/>
            <w:vAlign w:val="bottom"/>
          </w:tcPr>
          <w:p>
            <w:pPr>
              <w:jc w:val="center"/>
              <w:ind w:right="250"/>
              <w:spacing w:after="0"/>
              <w:rPr>
                <w:sz w:val="20"/>
                <w:szCs w:val="20"/>
                <w:color w:val="auto"/>
              </w:rPr>
            </w:pPr>
            <w:r>
              <w:rPr>
                <w:rFonts w:ascii="Arial" w:cs="Arial" w:eastAsia="Arial" w:hAnsi="Arial"/>
                <w:sz w:val="13"/>
                <w:szCs w:val="13"/>
                <w:b w:val="1"/>
                <w:bCs w:val="1"/>
                <w:color w:val="auto"/>
              </w:rPr>
              <w:t>September 30, 2022</w:t>
            </w:r>
          </w:p>
        </w:tc>
      </w:tr>
      <w:tr>
        <w:trPr>
          <w:trHeight w:val="240"/>
        </w:trPr>
        <w:tc>
          <w:tcPr>
            <w:tcW w:w="49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20" w:type="dxa"/>
            <w:vAlign w:val="bottom"/>
          </w:tcPr>
          <w:p>
            <w:pPr>
              <w:jc w:val="center"/>
              <w:ind w:right="250"/>
              <w:spacing w:after="0"/>
              <w:rPr>
                <w:sz w:val="20"/>
                <w:szCs w:val="20"/>
                <w:color w:val="auto"/>
              </w:rPr>
            </w:pPr>
            <w:r>
              <w:rPr>
                <w:rFonts w:ascii="Arial" w:cs="Arial" w:eastAsia="Arial" w:hAnsi="Arial"/>
                <w:sz w:val="13"/>
                <w:szCs w:val="13"/>
                <w:b w:val="1"/>
                <w:bCs w:val="1"/>
                <w:color w:val="auto"/>
              </w:rPr>
              <w:t>(In thousands)</w:t>
            </w:r>
          </w:p>
        </w:tc>
      </w:tr>
      <w:tr>
        <w:trPr>
          <w:trHeight w:val="204"/>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revenues (a)</w:t>
            </w:r>
          </w:p>
        </w:tc>
        <w:tc>
          <w:tcPr>
            <w:tcW w:w="3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6"/>
                <w:szCs w:val="16"/>
                <w:color w:val="auto"/>
              </w:rPr>
              <w:t>6,134,400</w:t>
            </w:r>
          </w:p>
        </w:tc>
      </w:tr>
      <w:tr>
        <w:trPr>
          <w:trHeight w:val="214"/>
        </w:trPr>
        <w:tc>
          <w:tcPr>
            <w:tcW w:w="4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Arial" w:cs="Arial" w:eastAsia="Arial" w:hAnsi="Arial"/>
                <w:sz w:val="16"/>
                <w:szCs w:val="16"/>
                <w:color w:val="auto"/>
              </w:rPr>
              <w:t>1,399,913</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(a)Represents the total of net interest income and other income.</w:t>
      </w:r>
    </w:p>
    <w:p>
      <w:pPr>
        <w:spacing w:after="0" w:line="109" w:lineRule="exact"/>
        <w:rPr>
          <w:sz w:val="20"/>
          <w:szCs w:val="20"/>
          <w:color w:val="auto"/>
        </w:rPr>
      </w:pPr>
    </w:p>
    <w:p>
      <w:pPr>
        <w:ind w:firstLine="696"/>
        <w:spacing w:after="0" w:line="252" w:lineRule="auto"/>
        <w:rPr>
          <w:sz w:val="20"/>
          <w:szCs w:val="20"/>
          <w:color w:val="auto"/>
        </w:rPr>
      </w:pPr>
      <w:r>
        <w:rPr>
          <w:rFonts w:ascii="Arial" w:cs="Arial" w:eastAsia="Arial" w:hAnsi="Arial"/>
          <w:sz w:val="18"/>
          <w:szCs w:val="18"/>
          <w:color w:val="auto"/>
        </w:rPr>
        <w:t>In connection with the People’s United acquisition, the Company incurred merger-related expenses related to systems conversions and other costs of integrating and conforming acquired operations with and into the Company. Those expenses consisted largely of professional services, temporary help fees and other costs associated with actual or planned systems conversions and/or integration of operations and the introduction of the Company to its new customers; costs related to termination of existing contractual arrangements for various services; initial marketing and promotion expenses designed to introduce M&amp;T Bank to its new customers; severance (for former People’s United employees); travel costs; and other costs of completing the transaction and commencing operations in new markets and offices. The Company did not incur any People's United merger- related expenses during the three and nine months ended September 30, 2023. Merger-related expenses incurred in the three and nine months ended September 30, 2022 totaled approximately $53 million and $293 million, respectively, and consisted predominantly of professional services, including legal expenses and technology -related activities to prepare for planned integration efforts, and severance for former People's United employees. The Company also recognized a $242 million provision for credit losses on acquired loans that were not deemed to be PCD on April 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1" w:lineRule="exact"/>
        <w:rPr>
          <w:sz w:val="20"/>
          <w:szCs w:val="20"/>
          <w:color w:val="auto"/>
        </w:rPr>
      </w:pPr>
    </w:p>
    <w:p>
      <w:pPr>
        <w:ind w:right="20" w:firstLine="696"/>
        <w:spacing w:after="0" w:line="255" w:lineRule="auto"/>
        <w:rPr>
          <w:sz w:val="20"/>
          <w:szCs w:val="20"/>
          <w:color w:val="auto"/>
        </w:rPr>
      </w:pPr>
      <w:r>
        <w:rPr>
          <w:rFonts w:ascii="Arial" w:cs="Arial" w:eastAsia="Arial" w:hAnsi="Arial"/>
          <w:sz w:val="18"/>
          <w:szCs w:val="18"/>
          <w:color w:val="auto"/>
        </w:rPr>
        <w:t>On December 19, 2022 the Company announced that it had entered into a definitive agreement to sell its CIT business to a private equity firm. The transaction was completed on April 29, 2023 and resulted in a pre-tax gain of $225 million that has been included in other revenues from operations in the Consolidated Statement of Income for the nine -month period ended September 30, 2023. Prior to the sale, the CIT business contributed $60 million and $121 million to trust income in the nine months ended September 30, 2023 and 2022, respectively. After considering expenses, the results of operations from the CIT business were not material to the Company's consolidated results of operations in those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83"/>
              <w:spacing w:after="0"/>
              <w:rPr>
                <w:sz w:val="20"/>
                <w:szCs w:val="20"/>
                <w:color w:val="auto"/>
              </w:rPr>
            </w:pPr>
            <w:r>
              <w:rPr>
                <w:rFonts w:ascii="Arial" w:cs="Arial" w:eastAsia="Arial" w:hAnsi="Arial"/>
                <w:sz w:val="13"/>
                <w:szCs w:val="13"/>
                <w:b w:val="1"/>
                <w:bCs w:val="1"/>
                <w:color w:val="auto"/>
              </w:rPr>
              <w:t>Gross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3"/>
              <w:spacing w:after="0"/>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03"/>
              <w:spacing w:after="0"/>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83"/>
              <w:spacing w:after="0"/>
              <w:rPr>
                <w:sz w:val="20"/>
                <w:szCs w:val="20"/>
                <w:color w:val="auto"/>
              </w:rPr>
            </w:pPr>
            <w:r>
              <w:rPr>
                <w:rFonts w:ascii="Arial" w:cs="Arial" w:eastAsia="Arial" w:hAnsi="Arial"/>
                <w:sz w:val="13"/>
                <w:szCs w:val="13"/>
                <w:b w:val="1"/>
                <w:bCs w:val="1"/>
                <w:color w:val="auto"/>
              </w:rPr>
              <w:t>Unrealized</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63"/>
              <w:spacing w:after="0"/>
              <w:rPr>
                <w:sz w:val="20"/>
                <w:szCs w:val="20"/>
                <w:color w:val="auto"/>
              </w:rPr>
            </w:pPr>
            <w:r>
              <w:rPr>
                <w:rFonts w:ascii="Arial" w:cs="Arial" w:eastAsia="Arial" w:hAnsi="Arial"/>
                <w:sz w:val="13"/>
                <w:szCs w:val="13"/>
                <w:b w:val="1"/>
                <w:bCs w:val="1"/>
                <w:color w:val="auto"/>
              </w:rPr>
              <w:t>Cost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63"/>
              <w:spacing w:after="0"/>
              <w:rPr>
                <w:sz w:val="20"/>
                <w:szCs w:val="20"/>
                <w:color w:val="auto"/>
              </w:rPr>
            </w:pPr>
            <w:r>
              <w:rPr>
                <w:rFonts w:ascii="Arial" w:cs="Arial" w:eastAsia="Arial" w:hAnsi="Arial"/>
                <w:sz w:val="13"/>
                <w:szCs w:val="13"/>
                <w:b w:val="1"/>
                <w:bCs w:val="1"/>
                <w:color w:val="auto"/>
                <w:w w:val="99"/>
              </w:rPr>
              <w:t>Gains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83"/>
              <w:spacing w:after="0"/>
              <w:rPr>
                <w:sz w:val="20"/>
                <w:szCs w:val="20"/>
                <w:color w:val="auto"/>
              </w:rPr>
            </w:pPr>
            <w:r>
              <w:rPr>
                <w:rFonts w:ascii="Arial" w:cs="Arial" w:eastAsia="Arial" w:hAnsi="Arial"/>
                <w:sz w:val="13"/>
                <w:szCs w:val="13"/>
                <w:b w:val="1"/>
                <w:bCs w:val="1"/>
                <w:color w:val="auto"/>
              </w:rPr>
              <w:t>Losses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643"/>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 2023</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7,935,658</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200,551</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7,735,107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544,263</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18,794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525,469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2,382,810</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214,531</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2,168,287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176,235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163,546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11,038,966</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446,711</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10,592,409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1,001,991</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48,706</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953,285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2,511,784</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219,149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2,292,635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2,031,532</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233,055</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1,798,477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9,979,882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1,306,934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8,672,948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44,319</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9,041</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7,374</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45,986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15,571,120</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9,041</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1,815,218</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13,764,943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Total debt securities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26,610,086</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9,195</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2,261,929</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24,357,352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4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Equity and other securities:</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rPr>
                <w:sz w:val="20"/>
                <w:szCs w:val="20"/>
                <w:color w:val="auto"/>
              </w:rPr>
            </w:pPr>
            <w:r>
              <w:rPr>
                <w:rFonts w:ascii="Arial" w:cs="Arial" w:eastAsia="Arial" w:hAnsi="Arial"/>
                <w:sz w:val="16"/>
                <w:szCs w:val="16"/>
                <w:color w:val="auto"/>
              </w:rPr>
              <w:t>Readily marketable equity — at fair value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260,688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2,425</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3,897</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259,216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 at cost</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913,358</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913,358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Total equity and other securities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1,174,046</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2,425</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3,897</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1,172,574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U.S. Treasury and federal agencies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7,913,932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243,172</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7,670,960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594,779</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20,480</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2,501,334</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171,281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2,330,118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debt securities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183,107</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9,773</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11,193,152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444,706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10,748,961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U.S. Treasury and federal agencies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1,054,035</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45,747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1,008,288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2,577,078</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116,512</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2,460,570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912,431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103,528</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808,903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8,934,918</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891,063</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8,045,306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80"/>
              <w:spacing w:after="0"/>
              <w:rPr>
                <w:sz w:val="20"/>
                <w:szCs w:val="20"/>
                <w:color w:val="auto"/>
              </w:rPr>
            </w:pPr>
            <w:r>
              <w:rPr>
                <w:rFonts w:ascii="Arial" w:cs="Arial" w:eastAsia="Arial" w:hAnsi="Arial"/>
                <w:sz w:val="16"/>
                <w:szCs w:val="16"/>
                <w:color w:val="auto"/>
              </w:rPr>
              <w:t>Privately issued</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49,742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8,833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7,987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debt securities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13,529,969</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10,288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1,164,837</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12,375,420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debt securities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24,723,121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10,803</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1,609,543</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23,124,381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040" w:type="dxa"/>
            <w:vAlign w:val="bottom"/>
            <w:tcBorders>
              <w:top w:val="single" w:sz="8" w:color="CFF0FC"/>
            </w:tcBorders>
          </w:tcPr>
          <w:p>
            <w:pPr>
              <w:ind w:left="20"/>
              <w:spacing w:after="0" w:line="180" w:lineRule="exact"/>
              <w:rPr>
                <w:sz w:val="20"/>
                <w:szCs w:val="20"/>
                <w:color w:val="auto"/>
              </w:rPr>
            </w:pPr>
            <w:r>
              <w:rPr>
                <w:rFonts w:ascii="Arial" w:cs="Arial" w:eastAsia="Arial" w:hAnsi="Arial"/>
                <w:sz w:val="16"/>
                <w:szCs w:val="16"/>
                <w:color w:val="auto"/>
              </w:rPr>
              <w:t>Equity and other securities:</w:t>
            </w: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Readily marketable equity — at fair value</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153,283</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151,458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rPr>
                <w:sz w:val="20"/>
                <w:szCs w:val="20"/>
                <w:color w:val="auto"/>
              </w:rPr>
            </w:pPr>
            <w:r>
              <w:rPr>
                <w:rFonts w:ascii="Arial" w:cs="Arial" w:eastAsia="Arial" w:hAnsi="Arial"/>
                <w:sz w:val="16"/>
                <w:szCs w:val="16"/>
                <w:color w:val="auto"/>
              </w:rPr>
              <w:t>Other — at cost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780,483</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780,483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equity and other securities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933,766</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931,941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3"/>
        </w:trPr>
        <w:tc>
          <w:tcPr>
            <w:tcW w:w="504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gridSpan w:val="2"/>
          </w:tcPr>
          <w:p>
            <w:pPr>
              <w:jc w:val="right"/>
              <w:ind w:right="683"/>
              <w:spacing w:after="0"/>
              <w:rPr>
                <w:sz w:val="20"/>
                <w:szCs w:val="20"/>
                <w:color w:val="auto"/>
              </w:rPr>
            </w:pPr>
            <w:r>
              <w:rPr>
                <w:rFonts w:ascii="Arial" w:cs="Arial" w:eastAsia="Arial" w:hAnsi="Arial"/>
                <w:sz w:val="16"/>
                <w:szCs w:val="16"/>
                <w:color w:val="auto"/>
              </w:rPr>
              <w:t>- 12 -</w:t>
            </w:r>
          </w:p>
        </w:tc>
        <w:tc>
          <w:tcPr>
            <w:tcW w:w="4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04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000" w:type="dxa"/>
            <w:vAlign w:val="bottom"/>
            <w:tcBorders>
              <w:bottom w:val="single" w:sz="8" w:color="EEEEEE"/>
            </w:tcBorders>
          </w:tcPr>
          <w:p>
            <w:pPr>
              <w:spacing w:after="0"/>
              <w:rPr>
                <w:sz w:val="7"/>
                <w:szCs w:val="7"/>
                <w:color w:val="auto"/>
              </w:rPr>
            </w:pPr>
          </w:p>
        </w:tc>
        <w:tc>
          <w:tcPr>
            <w:tcW w:w="42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4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900" w:type="dxa"/>
            <w:vAlign w:val="bottom"/>
            <w:tcBorders>
              <w:bottom w:val="single" w:sz="8" w:color="EEEEEE"/>
            </w:tcBorders>
          </w:tcPr>
          <w:p>
            <w:pPr>
              <w:spacing w:after="0"/>
              <w:rPr>
                <w:sz w:val="7"/>
                <w:szCs w:val="7"/>
                <w:color w:val="auto"/>
              </w:rPr>
            </w:pPr>
          </w:p>
        </w:tc>
        <w:tc>
          <w:tcPr>
            <w:tcW w:w="40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jc w:val="both"/>
        <w:ind w:left="20" w:right="460" w:firstLine="468"/>
        <w:spacing w:after="0" w:line="263" w:lineRule="auto"/>
        <w:rPr>
          <w:sz w:val="20"/>
          <w:szCs w:val="20"/>
          <w:color w:val="auto"/>
        </w:rPr>
      </w:pPr>
      <w:r>
        <w:rPr>
          <w:rFonts w:ascii="Arial" w:cs="Arial" w:eastAsia="Arial" w:hAnsi="Arial"/>
          <w:sz w:val="18"/>
          <w:szCs w:val="18"/>
          <w:color w:val="auto"/>
        </w:rPr>
        <w:t>There were no significant gross realized gains or losses from sales of investment securities for the three-month and nine-month periods ended September 30, 2023 and 2022. Unrealized losses on equity securities are included in gain (loss) on bank investment securities in the Consolidated Statement of Income.</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2023, the amortized cost and estimated fair value of debt securities by contractual maturity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1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44"/>
              <w:spacing w:after="0"/>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5"/>
          </w:tcPr>
          <w:p>
            <w:pPr>
              <w:ind w:left="70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04"/>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Debt securities available for sale:</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4,619,339</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4,544,581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one year through five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3,437,580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3,306,540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24,974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ten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4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8,111,893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7,898,653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 available for sale</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2,927,073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2,693,756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11,038,966</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10,592,409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2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Debt securities held to maturity:</w:t>
            </w:r>
          </w:p>
        </w:tc>
        <w:tc>
          <w:tcPr>
            <w:tcW w:w="3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in one year or less</w:t>
            </w: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14,164</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one year through five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1,151,126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1,097,310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Arial" w:cs="Arial" w:eastAsia="Arial" w:hAnsi="Arial"/>
                <w:sz w:val="16"/>
                <w:szCs w:val="16"/>
                <w:color w:val="auto"/>
              </w:rPr>
              <w:t>Due after five years through ten years</w:t>
            </w: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1,306,208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1,223,790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ten years</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1,043,889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912,465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3,515,387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3,247,532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 held to maturity</w:t>
            </w:r>
          </w:p>
        </w:tc>
        <w:tc>
          <w:tcPr>
            <w:tcW w:w="3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12,055,733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10,517,411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3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15,571,120</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13,764,943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620" w:type="dxa"/>
            <w:vAlign w:val="bottom"/>
            <w:vMerge w:val="restart"/>
          </w:tcPr>
          <w:p>
            <w:pPr>
              <w:jc w:val="right"/>
              <w:ind w:right="2202"/>
              <w:spacing w:after="0"/>
              <w:rPr>
                <w:sz w:val="20"/>
                <w:szCs w:val="20"/>
                <w:color w:val="auto"/>
              </w:rPr>
            </w:pPr>
            <w:r>
              <w:rPr>
                <w:rFonts w:ascii="Arial" w:cs="Arial" w:eastAsia="Arial" w:hAnsi="Arial"/>
                <w:sz w:val="16"/>
                <w:szCs w:val="16"/>
                <w:color w:val="auto"/>
              </w:rPr>
              <w:t>- 13 -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1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120" w:type="dxa"/>
            <w:vAlign w:val="bottom"/>
            <w:tcBorders>
              <w:bottom w:val="single" w:sz="8" w:color="EEEEEE"/>
            </w:tcBorders>
          </w:tcPr>
          <w:p>
            <w:pPr>
              <w:spacing w:after="0"/>
              <w:rPr>
                <w:sz w:val="7"/>
                <w:szCs w:val="7"/>
                <w:color w:val="auto"/>
              </w:rPr>
            </w:pPr>
          </w:p>
        </w:tc>
        <w:tc>
          <w:tcPr>
            <w:tcW w:w="36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ind w:left="20" w:right="480" w:firstLine="468"/>
        <w:spacing w:after="0" w:line="263" w:lineRule="auto"/>
        <w:rPr>
          <w:sz w:val="20"/>
          <w:szCs w:val="20"/>
          <w:color w:val="auto"/>
        </w:rPr>
      </w:pPr>
      <w:r>
        <w:rPr>
          <w:rFonts w:ascii="Arial" w:cs="Arial" w:eastAsia="Arial" w:hAnsi="Arial"/>
          <w:sz w:val="18"/>
          <w:szCs w:val="18"/>
          <w:color w:val="auto"/>
        </w:rPr>
        <w:t>A summary of investment securities that as of September 30, 2023 and December 31, 2022 had been in a continuous unrealized loss position for less than twelve months and those that had been in a continuous unrealized loss position for twelve months or longer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403"/>
              <w:spacing w:after="0"/>
              <w:rPr>
                <w:sz w:val="20"/>
                <w:szCs w:val="20"/>
                <w:color w:val="auto"/>
              </w:rPr>
            </w:pPr>
            <w:r>
              <w:rPr>
                <w:rFonts w:ascii="Arial" w:cs="Arial" w:eastAsia="Arial" w:hAnsi="Arial"/>
                <w:sz w:val="13"/>
                <w:szCs w:val="13"/>
                <w:b w:val="1"/>
                <w:bCs w:val="1"/>
                <w:color w:val="auto"/>
              </w:rPr>
              <w:t>Less Than 12 Months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400"/>
              <w:spacing w:after="0"/>
              <w:rPr>
                <w:sz w:val="20"/>
                <w:szCs w:val="20"/>
                <w:color w:val="auto"/>
              </w:rPr>
            </w:pPr>
            <w:r>
              <w:rPr>
                <w:rFonts w:ascii="Arial" w:cs="Arial" w:eastAsia="Arial" w:hAnsi="Arial"/>
                <w:sz w:val="13"/>
                <w:szCs w:val="13"/>
                <w:b w:val="1"/>
                <w:bCs w:val="1"/>
                <w:color w:val="auto"/>
              </w:rPr>
              <w:t>12 Months or More</w:t>
            </w:r>
          </w:p>
        </w:tc>
      </w:tr>
      <w:tr>
        <w:trPr>
          <w:trHeight w:val="156"/>
        </w:trPr>
        <w:tc>
          <w:tcPr>
            <w:tcW w:w="4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83"/>
              <w:spacing w:after="0"/>
              <w:rPr>
                <w:sz w:val="20"/>
                <w:szCs w:val="20"/>
                <w:color w:val="auto"/>
              </w:rPr>
            </w:pPr>
            <w:r>
              <w:rPr>
                <w:rFonts w:ascii="Arial" w:cs="Arial" w:eastAsia="Arial" w:hAnsi="Arial"/>
                <w:sz w:val="13"/>
                <w:szCs w:val="13"/>
                <w:b w:val="1"/>
                <w:bCs w:val="1"/>
                <w:color w:val="auto"/>
              </w:rPr>
              <w:t>Fair</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3"/>
                <w:szCs w:val="13"/>
                <w:b w:val="1"/>
                <w:bCs w:val="1"/>
                <w:color w:val="auto"/>
              </w:rPr>
              <w:t>Unrealized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263"/>
              <w:spacing w:after="0"/>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Unrealized</w:t>
            </w:r>
          </w:p>
        </w:tc>
      </w:tr>
      <w:tr>
        <w:trPr>
          <w:trHeight w:val="180"/>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23"/>
              <w:spacing w:after="0"/>
              <w:rPr>
                <w:sz w:val="20"/>
                <w:szCs w:val="20"/>
                <w:color w:val="auto"/>
              </w:rPr>
            </w:pPr>
            <w:r>
              <w:rPr>
                <w:rFonts w:ascii="Arial" w:cs="Arial" w:eastAsia="Arial" w:hAnsi="Arial"/>
                <w:sz w:val="13"/>
                <w:szCs w:val="13"/>
                <w:b w:val="1"/>
                <w:bCs w:val="1"/>
                <w:color w:val="auto"/>
              </w:rPr>
              <w:t>Value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83"/>
              <w:spacing w:after="0"/>
              <w:rPr>
                <w:sz w:val="20"/>
                <w:szCs w:val="20"/>
                <w:color w:val="auto"/>
              </w:rPr>
            </w:pPr>
            <w:r>
              <w:rPr>
                <w:rFonts w:ascii="Arial" w:cs="Arial" w:eastAsia="Arial" w:hAnsi="Arial"/>
                <w:sz w:val="13"/>
                <w:szCs w:val="13"/>
                <w:b w:val="1"/>
                <w:bCs w:val="1"/>
                <w:color w:val="auto"/>
              </w:rPr>
              <w:t>Losses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23"/>
              <w:spacing w:after="0"/>
              <w:rPr>
                <w:sz w:val="20"/>
                <w:szCs w:val="20"/>
                <w:color w:val="auto"/>
              </w:rPr>
            </w:pPr>
            <w:r>
              <w:rPr>
                <w:rFonts w:ascii="Arial" w:cs="Arial" w:eastAsia="Arial" w:hAnsi="Arial"/>
                <w:sz w:val="13"/>
                <w:szCs w:val="13"/>
                <w:b w:val="1"/>
                <w:bCs w:val="1"/>
                <w:color w:val="auto"/>
              </w:rPr>
              <w:t>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Losses</w:t>
            </w:r>
          </w:p>
        </w:tc>
      </w:tr>
      <w:tr>
        <w:trPr>
          <w:trHeight w:val="184"/>
        </w:trPr>
        <w:tc>
          <w:tcPr>
            <w:tcW w:w="4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4"/>
          </w:tcPr>
          <w:p>
            <w:pPr>
              <w:jc w:val="right"/>
              <w:ind w:right="623"/>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 2023</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226,045</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3,741</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7,509,062</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196,810</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81,949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5,146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443,520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13,648</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240,610</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13,246</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1,926,504</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201,285</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6,553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152,192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12,633</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555,157</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22,335</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10,031,278</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424,376</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48,825</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904,460</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47,513</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235,273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15,423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2,055,317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203,726</w:t>
            </w: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1,015,480</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97,998</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782,997</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135,057</w:t>
            </w:r>
          </w:p>
        </w:tc>
        <w:tc>
          <w:tcPr>
            <w:tcW w:w="80" w:type="dxa"/>
            <w:vAlign w:val="bottom"/>
            <w:shd w:val="clear" w:color="auto" w:fill="CFF0FC"/>
          </w:tcPr>
          <w:p>
            <w:pPr>
              <w:spacing w:after="0"/>
              <w:rPr>
                <w:sz w:val="17"/>
                <w:szCs w:val="17"/>
                <w:color w:val="auto"/>
              </w:rPr>
            </w:pPr>
          </w:p>
        </w:tc>
      </w:tr>
      <w:tr>
        <w:trPr>
          <w:trHeight w:val="203"/>
        </w:trPr>
        <w:tc>
          <w:tcPr>
            <w:tcW w:w="41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2,570,788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146,021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6,102,160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1,160,913</w:t>
            </w:r>
          </w:p>
        </w:tc>
        <w:tc>
          <w:tcPr>
            <w:tcW w:w="80" w:type="dxa"/>
            <w:vAlign w:val="bottom"/>
          </w:tcPr>
          <w:p>
            <w:pPr>
              <w:spacing w:after="0"/>
              <w:rPr>
                <w:sz w:val="17"/>
                <w:szCs w:val="17"/>
                <w:color w:val="auto"/>
              </w:rPr>
            </w:pPr>
          </w:p>
        </w:tc>
      </w:tr>
      <w:tr>
        <w:trPr>
          <w:trHeight w:val="277"/>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14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w:t>
            </w:r>
          </w:p>
        </w:tc>
        <w:tc>
          <w:tcPr>
            <w:tcW w:w="3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3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32,081</w:t>
            </w:r>
          </w:p>
        </w:tc>
        <w:tc>
          <w:tcPr>
            <w:tcW w:w="3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7,292</w:t>
            </w:r>
          </w:p>
        </w:tc>
        <w:tc>
          <w:tcPr>
            <w:tcW w:w="80" w:type="dxa"/>
            <w:vAlign w:val="bottom"/>
            <w:shd w:val="clear" w:color="auto" w:fill="CFF0FC"/>
          </w:tcPr>
          <w:p>
            <w:pPr>
              <w:spacing w:after="0"/>
              <w:rPr>
                <w:sz w:val="24"/>
                <w:szCs w:val="24"/>
                <w:color w:val="auto"/>
              </w:rPr>
            </w:pPr>
          </w:p>
        </w:tc>
      </w:tr>
      <w:tr>
        <w:trPr>
          <w:trHeight w:val="203"/>
        </w:trPr>
        <w:tc>
          <w:tcPr>
            <w:tcW w:w="4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3,872,293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260,717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9,877,015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1,554,501</w:t>
            </w:r>
          </w:p>
        </w:tc>
        <w:tc>
          <w:tcPr>
            <w:tcW w:w="80" w:type="dxa"/>
            <w:vAlign w:val="bottom"/>
          </w:tcPr>
          <w:p>
            <w:pPr>
              <w:spacing w:after="0"/>
              <w:rPr>
                <w:sz w:val="17"/>
                <w:szCs w:val="17"/>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4,427,450</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283,052</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19,908,293</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1,978,877</w:t>
            </w:r>
          </w:p>
        </w:tc>
        <w:tc>
          <w:tcPr>
            <w:tcW w:w="80" w:type="dxa"/>
            <w:vAlign w:val="bottom"/>
            <w:shd w:val="clear" w:color="auto" w:fill="CFF0FC"/>
          </w:tcPr>
          <w:p>
            <w:pPr>
              <w:spacing w:after="0"/>
              <w:rPr>
                <w:sz w:val="21"/>
                <w:szCs w:val="21"/>
                <w:color w:val="auto"/>
              </w:rPr>
            </w:pPr>
          </w:p>
        </w:tc>
      </w:tr>
      <w:tr>
        <w:trPr>
          <w:trHeight w:val="180"/>
        </w:trPr>
        <w:tc>
          <w:tcPr>
            <w:tcW w:w="4140" w:type="dxa"/>
            <w:vAlign w:val="bottom"/>
            <w:tcBorders>
              <w:top w:val="single" w:sz="8" w:color="CFF0FC"/>
            </w:tcBorders>
          </w:tcPr>
          <w:p>
            <w:pPr>
              <w:spacing w:after="0"/>
              <w:rPr>
                <w:sz w:val="15"/>
                <w:szCs w:val="15"/>
                <w:color w:val="auto"/>
              </w:rPr>
            </w:pPr>
          </w:p>
        </w:tc>
        <w:tc>
          <w:tcPr>
            <w:tcW w:w="14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4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2022</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6,706,413</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183,760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841,945</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59,412</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574,299</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20,480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3"/>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2,295,873</w:t>
            </w:r>
          </w:p>
        </w:tc>
        <w:tc>
          <w:tcPr>
            <w:tcW w:w="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169,489</w:t>
            </w: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28,305</w:t>
            </w:r>
          </w:p>
        </w:tc>
        <w:tc>
          <w:tcPr>
            <w:tcW w:w="3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w:t>
            </w:r>
          </w:p>
        </w:tc>
        <w:tc>
          <w:tcPr>
            <w:tcW w:w="80" w:type="dxa"/>
            <w:vAlign w:val="bottom"/>
            <w:shd w:val="clear" w:color="auto" w:fill="CFF0FC"/>
          </w:tcPr>
          <w:p>
            <w:pPr>
              <w:spacing w:after="0"/>
              <w:rPr>
                <w:sz w:val="22"/>
                <w:szCs w:val="22"/>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Other debt securities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93,458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3,604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73,280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6,169</w:t>
            </w: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9,670,043</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377,333</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943,530</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67,373</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Investment securities held to maturity:</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and federal agencies</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1,008,288</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45,747</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4140" w:type="dxa"/>
            <w:vAlign w:val="bottom"/>
          </w:tcPr>
          <w:p>
            <w:pPr>
              <w:ind w:left="20"/>
              <w:spacing w:after="0"/>
              <w:rPr>
                <w:sz w:val="20"/>
                <w:szCs w:val="20"/>
                <w:color w:val="auto"/>
              </w:rPr>
            </w:pPr>
            <w:r>
              <w:rPr>
                <w:rFonts w:ascii="Arial" w:cs="Arial" w:eastAsia="Arial" w:hAnsi="Arial"/>
                <w:sz w:val="16"/>
                <w:szCs w:val="16"/>
                <w:color w:val="auto"/>
              </w:rPr>
              <w:t>Obligations of states and political subdivisions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2,449,420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116,512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1"/>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Mortgage-backed securities:</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ind w:left="180"/>
              <w:spacing w:after="0"/>
              <w:rPr>
                <w:sz w:val="20"/>
                <w:szCs w:val="20"/>
                <w:color w:val="auto"/>
              </w:rPr>
            </w:pPr>
            <w:r>
              <w:rPr>
                <w:rFonts w:ascii="Arial" w:cs="Arial" w:eastAsia="Arial" w:hAnsi="Arial"/>
                <w:sz w:val="16"/>
                <w:szCs w:val="16"/>
                <w:color w:val="auto"/>
              </w:rPr>
              <w:t>Government issued or guaranteed:</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Commercial</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808,903</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103,528</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414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6,292,462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619,403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1,319,300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271,660</w:t>
            </w:r>
          </w:p>
        </w:tc>
        <w:tc>
          <w:tcPr>
            <w:tcW w:w="80" w:type="dxa"/>
            <w:vAlign w:val="bottom"/>
          </w:tcPr>
          <w:p>
            <w:pPr>
              <w:spacing w:after="0"/>
              <w:rPr>
                <w:sz w:val="20"/>
                <w:szCs w:val="20"/>
                <w:color w:val="auto"/>
              </w:rPr>
            </w:pPr>
          </w:p>
        </w:tc>
      </w:tr>
      <w:tr>
        <w:trPr>
          <w:trHeight w:val="241"/>
        </w:trPr>
        <w:tc>
          <w:tcPr>
            <w:tcW w:w="4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Privately issued</w:t>
            </w: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35,661</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7,987</w:t>
            </w:r>
          </w:p>
        </w:tc>
        <w:tc>
          <w:tcPr>
            <w:tcW w:w="80" w:type="dxa"/>
            <w:vAlign w:val="bottom"/>
            <w:shd w:val="clear" w:color="auto" w:fill="CFF0FC"/>
          </w:tcPr>
          <w:p>
            <w:pPr>
              <w:spacing w:after="0"/>
              <w:rPr>
                <w:sz w:val="20"/>
                <w:szCs w:val="20"/>
                <w:color w:val="auto"/>
              </w:rPr>
            </w:pPr>
          </w:p>
        </w:tc>
      </w:tr>
      <w:tr>
        <w:trPr>
          <w:trHeight w:val="239"/>
        </w:trPr>
        <w:tc>
          <w:tcPr>
            <w:tcW w:w="4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10,559,073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885,190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1,354,961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279,647</w:t>
            </w:r>
          </w:p>
        </w:tc>
        <w:tc>
          <w:tcPr>
            <w:tcW w:w="80" w:type="dxa"/>
            <w:vAlign w:val="bottom"/>
          </w:tcPr>
          <w:p>
            <w:pPr>
              <w:spacing w:after="0"/>
              <w:rPr>
                <w:sz w:val="20"/>
                <w:szCs w:val="20"/>
                <w:color w:val="auto"/>
              </w:rPr>
            </w:pPr>
          </w:p>
        </w:tc>
      </w:tr>
      <w:tr>
        <w:trPr>
          <w:trHeight w:val="245"/>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20,229,116</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1,262,523</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2,298,491</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347,020</w:t>
            </w:r>
          </w:p>
        </w:tc>
        <w:tc>
          <w:tcPr>
            <w:tcW w:w="80" w:type="dxa"/>
            <w:vAlign w:val="bottom"/>
            <w:shd w:val="clear" w:color="auto" w:fill="CFF0FC"/>
          </w:tcPr>
          <w:p>
            <w:pPr>
              <w:spacing w:after="0"/>
              <w:rPr>
                <w:sz w:val="21"/>
                <w:szCs w:val="21"/>
                <w:color w:val="auto"/>
              </w:rPr>
            </w:pPr>
          </w:p>
        </w:tc>
      </w:tr>
      <w:tr>
        <w:trPr>
          <w:trHeight w:val="538"/>
        </w:trPr>
        <w:tc>
          <w:tcPr>
            <w:tcW w:w="414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22"/>
              <w:spacing w:after="0"/>
              <w:rPr>
                <w:sz w:val="20"/>
                <w:szCs w:val="20"/>
                <w:color w:val="auto"/>
              </w:rPr>
            </w:pPr>
            <w:r>
              <w:rPr>
                <w:rFonts w:ascii="Arial" w:cs="Arial" w:eastAsia="Arial" w:hAnsi="Arial"/>
                <w:sz w:val="16"/>
                <w:szCs w:val="16"/>
                <w:color w:val="auto"/>
              </w:rPr>
              <w:t>- 14 -</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86"/>
        </w:trPr>
        <w:tc>
          <w:tcPr>
            <w:tcW w:w="4140" w:type="dxa"/>
            <w:vAlign w:val="bottom"/>
            <w:tcBorders>
              <w:bottom w:val="single" w:sz="8" w:color="EEEEEE"/>
            </w:tcBorders>
          </w:tcPr>
          <w:p>
            <w:pPr>
              <w:spacing w:after="0"/>
              <w:rPr>
                <w:sz w:val="7"/>
                <w:szCs w:val="7"/>
                <w:color w:val="auto"/>
              </w:rPr>
            </w:pPr>
          </w:p>
        </w:tc>
        <w:tc>
          <w:tcPr>
            <w:tcW w:w="142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36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15" w:lineRule="exact"/>
        <w:rPr>
          <w:sz w:val="20"/>
          <w:szCs w:val="20"/>
          <w:color w:val="auto"/>
        </w:rPr>
      </w:pPr>
    </w:p>
    <w:p>
      <w:pPr>
        <w:ind w:left="20" w:right="60" w:firstLine="468"/>
        <w:spacing w:after="0" w:line="255" w:lineRule="auto"/>
        <w:rPr>
          <w:sz w:val="20"/>
          <w:szCs w:val="20"/>
          <w:color w:val="auto"/>
        </w:rPr>
      </w:pPr>
      <w:r>
        <w:rPr>
          <w:rFonts w:ascii="Arial" w:cs="Arial" w:eastAsia="Arial" w:hAnsi="Arial"/>
          <w:sz w:val="18"/>
          <w:szCs w:val="18"/>
          <w:color w:val="auto"/>
        </w:rPr>
        <w:t>The Company owned 4,279 individual debt securities with aggregate gross unrealized losses of $2.3 billion at September 30, 2023. Based on a review of each of the securities in the investment securities portfolio at September 30, 2023, the Company concluded that it expected to recover the amortized cost basis of its investment. As of September 30, 2023, the Company does not intend to sell nor is it anticipated that it would be required to sell any of its impaired investment securities at a loss. At September 30, 2023, the Company has not identified events or changes in circumstances which may have a significant adverse effect on the fair value of the $913 million of cost method equity securities.</w:t>
      </w:r>
    </w:p>
    <w:p>
      <w:pPr>
        <w:spacing w:after="0" w:line="73" w:lineRule="exact"/>
        <w:rPr>
          <w:sz w:val="20"/>
          <w:szCs w:val="20"/>
          <w:color w:val="auto"/>
        </w:rPr>
      </w:pPr>
    </w:p>
    <w:p>
      <w:pPr>
        <w:ind w:left="20" w:right="320" w:firstLine="432"/>
        <w:spacing w:after="0" w:line="275" w:lineRule="auto"/>
        <w:rPr>
          <w:sz w:val="20"/>
          <w:szCs w:val="20"/>
          <w:color w:val="auto"/>
        </w:rPr>
      </w:pPr>
      <w:r>
        <w:rPr>
          <w:rFonts w:ascii="Arial" w:cs="Arial" w:eastAsia="Arial" w:hAnsi="Arial"/>
          <w:sz w:val="18"/>
          <w:szCs w:val="18"/>
          <w:color w:val="auto"/>
        </w:rPr>
        <w:t>The Company estimated no material allowance for credit losses for its investment securities classified as held-to-maturity at September 30, 2023 or December 31, 2022.</w:t>
      </w:r>
    </w:p>
    <w:p>
      <w:pPr>
        <w:spacing w:after="0" w:line="54" w:lineRule="exact"/>
        <w:rPr>
          <w:sz w:val="20"/>
          <w:szCs w:val="20"/>
          <w:color w:val="auto"/>
        </w:rPr>
      </w:pPr>
    </w:p>
    <w:p>
      <w:pPr>
        <w:ind w:left="20" w:firstLine="432"/>
        <w:spacing w:after="0" w:line="263" w:lineRule="auto"/>
        <w:rPr>
          <w:sz w:val="20"/>
          <w:szCs w:val="20"/>
          <w:color w:val="auto"/>
        </w:rPr>
      </w:pPr>
      <w:r>
        <w:rPr>
          <w:rFonts w:ascii="Arial" w:cs="Arial" w:eastAsia="Arial" w:hAnsi="Arial"/>
          <w:sz w:val="18"/>
          <w:szCs w:val="18"/>
          <w:color w:val="auto"/>
        </w:rPr>
        <w:t>At September 30, 2023 and December 31, 2022 investment securities with carrying values of $8.2 billion (including $696 million related to repurchase transactions) and $7.9 billion (including $567 million related to repurchase transactions), respectively, were pledged to secure borrowings, lines of credit and governmental deposits.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current, past due and nonaccrual loans as of September 30, 2023 and December 31, 2022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w w:val="99"/>
              </w:rPr>
              <w:t>Accruing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4"/>
              <w:spacing w:after="0"/>
              <w:rPr>
                <w:sz w:val="20"/>
                <w:szCs w:val="20"/>
                <w:color w:val="auto"/>
              </w:rPr>
            </w:pPr>
            <w:r>
              <w:rPr>
                <w:rFonts w:ascii="Arial" w:cs="Arial" w:eastAsia="Arial" w:hAnsi="Arial"/>
                <w:sz w:val="13"/>
                <w:szCs w:val="13"/>
                <w:b w:val="1"/>
                <w:bCs w:val="1"/>
                <w:color w:val="auto"/>
              </w:rPr>
              <w:t>Loans Past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rPr>
              <w:t>Due 90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143"/>
              <w:spacing w:after="0"/>
              <w:rPr>
                <w:sz w:val="20"/>
                <w:szCs w:val="20"/>
                <w:color w:val="auto"/>
              </w:rPr>
            </w:pPr>
            <w:r>
              <w:rPr>
                <w:rFonts w:ascii="Arial" w:cs="Arial" w:eastAsia="Arial" w:hAnsi="Arial"/>
                <w:sz w:val="13"/>
                <w:szCs w:val="13"/>
                <w:b w:val="1"/>
                <w:bCs w:val="1"/>
                <w:color w:val="auto"/>
              </w:rPr>
              <w:t>30-89 Days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rPr>
              <w:t>Days or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Arial" w:cs="Arial" w:eastAsia="Arial" w:hAnsi="Arial"/>
                <w:sz w:val="13"/>
                <w:szCs w:val="13"/>
                <w:b w:val="1"/>
                <w:bCs w:val="1"/>
                <w:color w:val="auto"/>
              </w:rPr>
              <w:t>Past Due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rPr>
              <w:t>More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23"/>
              <w:spacing w:after="0"/>
              <w:rPr>
                <w:sz w:val="20"/>
                <w:szCs w:val="20"/>
                <w:color w:val="auto"/>
              </w:rPr>
            </w:pPr>
            <w:r>
              <w:rPr>
                <w:rFonts w:ascii="Arial" w:cs="Arial" w:eastAsia="Arial" w:hAnsi="Arial"/>
                <w:sz w:val="13"/>
                <w:szCs w:val="13"/>
                <w:b w:val="1"/>
                <w:bCs w:val="1"/>
                <w:color w:val="auto"/>
              </w:rPr>
              <w:t>Nonaccrual</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r>
      <w:tr>
        <w:trPr>
          <w:trHeight w:val="204"/>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 2023</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Commercial, financial, leasing, etc.</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44,298,562</w:t>
            </w:r>
          </w:p>
        </w:tc>
        <w:tc>
          <w:tcPr>
            <w:tcW w:w="480" w:type="dxa"/>
            <w:vAlign w:val="bottom"/>
            <w:gridSpan w:val="2"/>
          </w:tcPr>
          <w:p>
            <w:pPr>
              <w:jc w:val="center"/>
              <w:ind w:lef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252,987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21,064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485,420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45,058,033</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34,018,257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424,005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65,426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1,236,087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35,743,775</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builder and developer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1,090,355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1,100,494</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Other commercial construction</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6,371,793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221,532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136,004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6,729,329</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21,342,546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645,696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261,290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240,753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22,490,285</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Residential — limited documentation</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865,988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29,747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957,985</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Home equity lines and loans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4,578,381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4,692,711</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Recreational finance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9,448,458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67,149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9,546,131</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3,855,578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46,257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15,959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3,917,794</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2,040,303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53,272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2,118,148</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127,910,221</w:t>
            </w:r>
          </w:p>
        </w:tc>
        <w:tc>
          <w:tcPr>
            <w:tcW w:w="480" w:type="dxa"/>
            <w:vAlign w:val="bottom"/>
            <w:gridSpan w:val="2"/>
          </w:tcPr>
          <w:p>
            <w:pPr>
              <w:jc w:val="center"/>
              <w:ind w:lef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1,748,497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354,029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2,341,938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132,354,685</w:t>
            </w:r>
          </w:p>
        </w:tc>
        <w:tc>
          <w:tcPr>
            <w:tcW w:w="8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3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financial, leasing, etc.</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40,982,398</w:t>
            </w:r>
          </w:p>
        </w:tc>
        <w:tc>
          <w:tcPr>
            <w:tcW w:w="480" w:type="dxa"/>
            <w:vAlign w:val="bottom"/>
            <w:gridSpan w:val="2"/>
            <w:shd w:val="clear" w:color="auto" w:fill="CFF0FC"/>
          </w:tcPr>
          <w:p>
            <w:pPr>
              <w:jc w:val="center"/>
              <w:ind w:left="8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448,462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347,204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41,850,566</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34,972,627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311,188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67,696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1,396,662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36,748,173</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Residential builder and developer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1,304,798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1,314,730</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construction</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6,936,661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239,521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124,937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7,301,668</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21,491,506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595,897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345,402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272,090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22,704,895</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 limited documentation</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950,782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1,051,052</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lines and loans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4,891,311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30,787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84,788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5,006,886</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Recreational finance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8,974,171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54,593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44,630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9,073,394</w:t>
            </w:r>
          </w:p>
        </w:tc>
        <w:tc>
          <w:tcPr>
            <w:tcW w:w="80" w:type="dxa"/>
            <w:vAlign w:val="bottom"/>
          </w:tcPr>
          <w:p>
            <w:pPr>
              <w:spacing w:after="0"/>
              <w:rPr>
                <w:sz w:val="17"/>
                <w:szCs w:val="17"/>
                <w:color w:val="auto"/>
              </w:rPr>
            </w:pPr>
          </w:p>
        </w:tc>
      </w:tr>
      <w:tr>
        <w:trPr>
          <w:trHeight w:val="205"/>
        </w:trPr>
        <w:tc>
          <w:tcPr>
            <w:tcW w:w="38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Automobile</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4,393,206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44,486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39,584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4,477,276</w:t>
            </w:r>
          </w:p>
        </w:tc>
        <w:tc>
          <w:tcPr>
            <w:tcW w:w="80" w:type="dxa"/>
            <w:vAlign w:val="bottom"/>
            <w:shd w:val="clear" w:color="auto" w:fill="CFF0FC"/>
          </w:tcPr>
          <w:p>
            <w:pPr>
              <w:spacing w:after="0"/>
              <w:rPr>
                <w:sz w:val="17"/>
                <w:szCs w:val="17"/>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1,958,196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22,961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49,497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2,035,523</w:t>
            </w:r>
          </w:p>
        </w:tc>
        <w:tc>
          <w:tcPr>
            <w:tcW w:w="80" w:type="dxa"/>
            <w:vAlign w:val="bottom"/>
          </w:tcPr>
          <w:p>
            <w:pPr>
              <w:spacing w:after="0"/>
              <w:rPr>
                <w:sz w:val="17"/>
                <w:szCs w:val="17"/>
                <w:color w:val="auto"/>
              </w:rPr>
            </w:pPr>
          </w:p>
        </w:tc>
      </w:tr>
      <w:tr>
        <w:trPr>
          <w:trHeight w:val="244"/>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126,855,656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center"/>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1,779,054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491,018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2,438,435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131,564,163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563"/>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gridSpan w:val="2"/>
          </w:tcPr>
          <w:p>
            <w:pPr>
              <w:jc w:val="center"/>
              <w:ind w:left="42"/>
              <w:spacing w:after="0"/>
              <w:rPr>
                <w:sz w:val="20"/>
                <w:szCs w:val="20"/>
                <w:color w:val="auto"/>
              </w:rPr>
            </w:pPr>
            <w:r>
              <w:rPr>
                <w:rFonts w:ascii="Arial" w:cs="Arial" w:eastAsia="Arial" w:hAnsi="Arial"/>
                <w:sz w:val="16"/>
                <w:szCs w:val="16"/>
                <w:color w:val="auto"/>
                <w:w w:val="96"/>
              </w:rPr>
              <w:t>- 15 -</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8"/>
        </w:trPr>
        <w:tc>
          <w:tcPr>
            <w:tcW w:w="384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340" w:firstLine="468"/>
        <w:spacing w:after="0" w:line="263" w:lineRule="auto"/>
        <w:rPr>
          <w:sz w:val="20"/>
          <w:szCs w:val="20"/>
          <w:color w:val="auto"/>
        </w:rPr>
      </w:pPr>
      <w:r>
        <w:rPr>
          <w:rFonts w:ascii="Arial" w:cs="Arial" w:eastAsia="Arial" w:hAnsi="Arial"/>
          <w:sz w:val="18"/>
          <w:szCs w:val="18"/>
          <w:color w:val="auto"/>
        </w:rPr>
        <w:t>One- to-four family residential mortgage loans held for sale were $205 million and $32 million at September 30, 2023 and December 31, 2022, respectively. Commercial real estate loans held for sale were $226 million at September 30, 2023 and $131 million at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3"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 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credit personnel review all criticized commercial loans and commercial real estate loans greater than $5 million to determine the appropriateness of the assigned loan grade, including whether the loan should be reported as accruing or nonaccruing.</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400" w:firstLine="468"/>
        <w:spacing w:after="0" w:line="263" w:lineRule="auto"/>
        <w:rPr>
          <w:sz w:val="20"/>
          <w:szCs w:val="20"/>
          <w:color w:val="auto"/>
        </w:rPr>
      </w:pPr>
      <w:r>
        <w:rPr>
          <w:rFonts w:ascii="Arial" w:cs="Arial" w:eastAsia="Arial" w:hAnsi="Arial"/>
          <w:sz w:val="18"/>
          <w:szCs w:val="18"/>
          <w:color w:val="auto"/>
        </w:rPr>
        <w:t>The following table summarizes the loan grades applied at September 30, 2023 to the various classes of the Company’s commercial loans and commercial real estate loans and gross charge-offs for those types of loans for the three-month and nine-month periods ended September 30, 2023 by origination year.</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Revolving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7"/>
              </w:rPr>
              <w:t>Converted to</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Term Loans by Origination Year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rPr>
              <w:t>Revolving</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Term</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2023</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10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3"/>
                <w:szCs w:val="13"/>
                <w:color w:val="auto"/>
              </w:rPr>
            </w:pPr>
          </w:p>
        </w:tc>
        <w:tc>
          <w:tcPr>
            <w:tcW w:w="800" w:type="dxa"/>
            <w:vAlign w:val="bottom"/>
          </w:tcPr>
          <w:p>
            <w:pPr>
              <w:jc w:val="right"/>
              <w:ind w:right="2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right"/>
              <w:ind w:right="186"/>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Commercial, financial, leasing, etc.:</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Loan grades:</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5,789,909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7,017,863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4,114,909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1,510,693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1,238,701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1,995,635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20,869,512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56,263</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42,593,485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109,004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264,016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180,450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113,930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99,434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307,309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878,730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26,255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1,979,128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Criticized nonaccrual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12,337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57,857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42,081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33,338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21,447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68,028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240,285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10,047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485,420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commercial,</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5,911,250</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7,339,736</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4,337,440</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1,657,961</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1,359,582</w:t>
            </w:r>
          </w:p>
        </w:tc>
        <w:tc>
          <w:tcPr>
            <w:tcW w:w="20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2,370,972</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21,988,527</w:t>
            </w:r>
          </w:p>
        </w:tc>
        <w:tc>
          <w:tcPr>
            <w:tcW w:w="18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92,565</w:t>
            </w:r>
          </w:p>
        </w:tc>
        <w:tc>
          <w:tcPr>
            <w:tcW w:w="18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45,058,033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financial, leasing, etc.</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3" w:lineRule="exact"/>
              <w:rPr>
                <w:sz w:val="20"/>
                <w:szCs w:val="20"/>
                <w:color w:val="auto"/>
              </w:rPr>
            </w:pPr>
            <w:r>
              <w:rPr>
                <w:rFonts w:ascii="Arial" w:cs="Arial" w:eastAsia="Arial" w:hAnsi="Arial"/>
                <w:sz w:val="11"/>
                <w:szCs w:val="11"/>
                <w:color w:val="auto"/>
              </w:rPr>
              <w:t>Gross charge-offs three months</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2,124</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7,929</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2,998</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1,766</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2,539</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3,300</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6,188</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26,844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Gross charge-offs nine months</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2,959</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18,887</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11,108</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8,518</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7,056</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11,615</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6,961</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67,104</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FF0FC"/>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6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Real estate:</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Commercial: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2,553,454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3,578,095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2,989,307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2,978,906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4,446,005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12,208,078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710,648</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29,464,493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630,132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478,637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494,243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905,654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2,510,960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22,844</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5,043,195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54,904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14,255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159,956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151,052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831,527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24,148</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1,236,087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commercial real</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2,554,424</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4,263,131</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3,482,199</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3,633,105</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5,502,711</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15,550,565</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757,640</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35,743,775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estate</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Gross charge-offs three months</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48,093</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48,093</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3" w:lineRule="exact"/>
              <w:rPr>
                <w:sz w:val="20"/>
                <w:szCs w:val="20"/>
                <w:color w:val="auto"/>
              </w:rPr>
            </w:pPr>
            <w:r>
              <w:rPr>
                <w:rFonts w:ascii="Arial" w:cs="Arial" w:eastAsia="Arial" w:hAnsi="Arial"/>
                <w:sz w:val="11"/>
                <w:szCs w:val="11"/>
                <w:color w:val="auto"/>
              </w:rPr>
              <w:t>Gross charge-offs nine months</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424</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77,906</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100,004</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178,334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Residential builder and</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developer:</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433,338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337,680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67,233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6,818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2,050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13,503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133,839</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994,461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11,867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25,379</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64,125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336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663</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102,680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2,835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518</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residential builder</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433,648</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349,547</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95,447</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6,818</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66,693</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13,839</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134,502</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1,100,494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and developer</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Gross charge-offs three months</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245</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245</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3" w:lineRule="exact"/>
              <w:rPr>
                <w:sz w:val="20"/>
                <w:szCs w:val="20"/>
                <w:color w:val="auto"/>
              </w:rPr>
            </w:pPr>
            <w:r>
              <w:rPr>
                <w:rFonts w:ascii="Arial" w:cs="Arial" w:eastAsia="Arial" w:hAnsi="Arial"/>
                <w:sz w:val="11"/>
                <w:szCs w:val="11"/>
                <w:color w:val="auto"/>
              </w:rPr>
              <w:t>Gross charge-offs nine months</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245</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55</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1,678</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commercial construction:</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60"/>
              <w:spacing w:after="0"/>
              <w:rPr>
                <w:sz w:val="20"/>
                <w:szCs w:val="20"/>
                <w:color w:val="auto"/>
              </w:rPr>
            </w:pPr>
            <w:r>
              <w:rPr>
                <w:rFonts w:ascii="Arial" w:cs="Arial" w:eastAsia="Arial" w:hAnsi="Arial"/>
                <w:sz w:val="11"/>
                <w:szCs w:val="11"/>
                <w:color w:val="auto"/>
              </w:rPr>
              <w:t>Loan grades: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636,314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1,481,975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1,023,831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676,613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465,423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204,511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20,171</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4,508,838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Criticized 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7,180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130,644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184,379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531,138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837,446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393,700</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2,084,487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Criticized nonaccrual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10,018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46,626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50,165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26,237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2,958</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136,004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other commercial</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643,494</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1,612,619</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1,218,228</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1,254,377</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1,353,034</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624,448</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23,129</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6,729,329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construction</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color w:val="auto"/>
              </w:rPr>
              <w:t>Gross charge-offs three months</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3,236</w:t>
            </w:r>
          </w:p>
        </w:tc>
        <w:tc>
          <w:tcPr>
            <w:tcW w:w="2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3,236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60" w:type="dxa"/>
            <w:vAlign w:val="bottom"/>
          </w:tcPr>
          <w:p>
            <w:pPr>
              <w:ind w:left="20"/>
              <w:spacing w:after="0" w:line="123" w:lineRule="exact"/>
              <w:rPr>
                <w:sz w:val="20"/>
                <w:szCs w:val="20"/>
                <w:color w:val="auto"/>
              </w:rPr>
            </w:pPr>
            <w:r>
              <w:rPr>
                <w:rFonts w:ascii="Arial" w:cs="Arial" w:eastAsia="Arial" w:hAnsi="Arial"/>
                <w:sz w:val="11"/>
                <w:szCs w:val="11"/>
                <w:color w:val="auto"/>
              </w:rPr>
              <w:t>Gross charge-offs nine months</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3,236</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3,236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20"/>
              <w:spacing w:after="0" w:line="86" w:lineRule="exact"/>
              <w:rPr>
                <w:sz w:val="20"/>
                <w:szCs w:val="20"/>
                <w:color w:val="auto"/>
              </w:rPr>
            </w:pPr>
            <w:r>
              <w:rPr>
                <w:rFonts w:ascii="Arial" w:cs="Arial" w:eastAsia="Arial" w:hAnsi="Arial"/>
                <w:sz w:val="9"/>
                <w:szCs w:val="9"/>
                <w:color w:val="auto"/>
              </w:rPr>
              <w:t>ended September 30, 2023</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The Company considers repayment performance a significant indicator of credit quality for its residential real estate loan and consumer loan portfolios. A summary of loans in accrual and nonaccrual status at September 30, 2023 for the various classes of the Company’s residential real estate loans and consumer loans and gross charge-offs for those types of loans for the three-month and nine-month periods ended September 30, 2023 by origination year follows: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w w:val="94"/>
              </w:rPr>
              <w:t>Revolving Loans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Converted to</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3"/>
          </w:tcPr>
          <w:p>
            <w:pPr>
              <w:jc w:val="right"/>
              <w:ind w:right="112"/>
              <w:spacing w:after="0"/>
              <w:rPr>
                <w:sz w:val="20"/>
                <w:szCs w:val="20"/>
                <w:color w:val="auto"/>
              </w:rPr>
            </w:pPr>
            <w:r>
              <w:rPr>
                <w:rFonts w:ascii="Arial" w:cs="Arial" w:eastAsia="Arial" w:hAnsi="Arial"/>
                <w:sz w:val="10"/>
                <w:szCs w:val="10"/>
                <w:b w:val="1"/>
                <w:bCs w:val="1"/>
                <w:color w:val="auto"/>
              </w:rPr>
              <w:t>Term Loans by Origination Year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12"/>
              <w:spacing w:after="0"/>
              <w:rPr>
                <w:sz w:val="20"/>
                <w:szCs w:val="20"/>
                <w:color w:val="auto"/>
              </w:rPr>
            </w:pPr>
            <w:r>
              <w:rPr>
                <w:rFonts w:ascii="Arial" w:cs="Arial" w:eastAsia="Arial" w:hAnsi="Arial"/>
                <w:sz w:val="10"/>
                <w:szCs w:val="10"/>
                <w:b w:val="1"/>
                <w:bCs w:val="1"/>
                <w:color w:val="auto"/>
              </w:rPr>
              <w:t>Revolving</w:t>
            </w:r>
          </w:p>
        </w:tc>
        <w:tc>
          <w:tcPr>
            <w:tcW w:w="2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7"/>
              </w:rPr>
              <w:t>Term</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232"/>
              <w:spacing w:after="0"/>
              <w:rPr>
                <w:sz w:val="20"/>
                <w:szCs w:val="20"/>
                <w:color w:val="auto"/>
              </w:rPr>
            </w:pPr>
            <w:r>
              <w:rPr>
                <w:rFonts w:ascii="Arial" w:cs="Arial" w:eastAsia="Arial" w:hAnsi="Arial"/>
                <w:sz w:val="10"/>
                <w:szCs w:val="10"/>
                <w:b w:val="1"/>
                <w:bCs w:val="1"/>
                <w:color w:val="auto"/>
              </w:rPr>
              <w:t>2023</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b w:val="1"/>
                <w:bCs w:val="1"/>
                <w:color w:val="auto"/>
              </w:rPr>
              <w:t>2022</w:t>
            </w:r>
          </w:p>
        </w:tc>
        <w:tc>
          <w:tcPr>
            <w:tcW w:w="1020" w:type="dxa"/>
            <w:vAlign w:val="bottom"/>
            <w:gridSpan w:val="2"/>
          </w:tcPr>
          <w:p>
            <w:pPr>
              <w:jc w:val="right"/>
              <w:ind w:right="252"/>
              <w:spacing w:after="0"/>
              <w:rPr>
                <w:sz w:val="20"/>
                <w:szCs w:val="20"/>
                <w:color w:val="auto"/>
              </w:rPr>
            </w:pPr>
            <w:r>
              <w:rPr>
                <w:rFonts w:ascii="Arial" w:cs="Arial" w:eastAsia="Arial" w:hAnsi="Arial"/>
                <w:sz w:val="10"/>
                <w:szCs w:val="10"/>
                <w:b w:val="1"/>
                <w:bCs w:val="1"/>
                <w:color w:val="auto"/>
              </w:rPr>
              <w:t>2021</w:t>
            </w:r>
          </w:p>
        </w:tc>
        <w:tc>
          <w:tcPr>
            <w:tcW w:w="1000" w:type="dxa"/>
            <w:vAlign w:val="bottom"/>
            <w:gridSpan w:val="2"/>
          </w:tcPr>
          <w:p>
            <w:pPr>
              <w:jc w:val="right"/>
              <w:ind w:right="232"/>
              <w:spacing w:after="0"/>
              <w:rPr>
                <w:sz w:val="20"/>
                <w:szCs w:val="20"/>
                <w:color w:val="auto"/>
              </w:rPr>
            </w:pPr>
            <w:r>
              <w:rPr>
                <w:rFonts w:ascii="Arial" w:cs="Arial" w:eastAsia="Arial" w:hAnsi="Arial"/>
                <w:sz w:val="10"/>
                <w:szCs w:val="10"/>
                <w:b w:val="1"/>
                <w:bCs w:val="1"/>
                <w:color w:val="auto"/>
              </w:rPr>
              <w:t>2020</w:t>
            </w:r>
          </w:p>
        </w:tc>
        <w:tc>
          <w:tcPr>
            <w:tcW w:w="1020" w:type="dxa"/>
            <w:vAlign w:val="bottom"/>
            <w:gridSpan w:val="2"/>
          </w:tcPr>
          <w:p>
            <w:pPr>
              <w:jc w:val="right"/>
              <w:ind w:right="252"/>
              <w:spacing w:after="0"/>
              <w:rPr>
                <w:sz w:val="20"/>
                <w:szCs w:val="20"/>
                <w:color w:val="auto"/>
              </w:rPr>
            </w:pPr>
            <w:r>
              <w:rPr>
                <w:rFonts w:ascii="Arial" w:cs="Arial" w:eastAsia="Arial" w:hAnsi="Arial"/>
                <w:sz w:val="10"/>
                <w:szCs w:val="10"/>
                <w:b w:val="1"/>
                <w:bCs w:val="1"/>
                <w:color w:val="auto"/>
              </w:rPr>
              <w:t>2019</w:t>
            </w:r>
          </w:p>
        </w:tc>
        <w:tc>
          <w:tcPr>
            <w:tcW w:w="200" w:type="dxa"/>
            <w:vAlign w:val="bottom"/>
          </w:tcPr>
          <w:p>
            <w:pPr>
              <w:spacing w:after="0"/>
              <w:rPr>
                <w:sz w:val="12"/>
                <w:szCs w:val="12"/>
                <w:color w:val="auto"/>
              </w:rPr>
            </w:pPr>
          </w:p>
        </w:tc>
        <w:tc>
          <w:tcPr>
            <w:tcW w:w="800" w:type="dxa"/>
            <w:vAlign w:val="bottom"/>
          </w:tcPr>
          <w:p>
            <w:pPr>
              <w:jc w:val="right"/>
              <w:ind w:right="232"/>
              <w:spacing w:after="0"/>
              <w:rPr>
                <w:sz w:val="20"/>
                <w:szCs w:val="20"/>
                <w:color w:val="auto"/>
              </w:rPr>
            </w:pPr>
            <w:r>
              <w:rPr>
                <w:rFonts w:ascii="Arial" w:cs="Arial" w:eastAsia="Arial" w:hAnsi="Arial"/>
                <w:sz w:val="10"/>
                <w:szCs w:val="10"/>
                <w:b w:val="1"/>
                <w:bCs w:val="1"/>
                <w:color w:val="auto"/>
              </w:rPr>
              <w:t>Prior</w:t>
            </w:r>
          </w:p>
        </w:tc>
        <w:tc>
          <w:tcPr>
            <w:tcW w:w="220" w:type="dxa"/>
            <w:vAlign w:val="bottom"/>
          </w:tcPr>
          <w:p>
            <w:pPr>
              <w:spacing w:after="0"/>
              <w:rPr>
                <w:sz w:val="12"/>
                <w:szCs w:val="12"/>
                <w:color w:val="auto"/>
              </w:rPr>
            </w:pPr>
          </w:p>
        </w:tc>
        <w:tc>
          <w:tcPr>
            <w:tcW w:w="760" w:type="dxa"/>
            <w:vAlign w:val="bottom"/>
          </w:tcPr>
          <w:p>
            <w:pPr>
              <w:jc w:val="right"/>
              <w:ind w:right="192"/>
              <w:spacing w:after="0"/>
              <w:rPr>
                <w:sz w:val="20"/>
                <w:szCs w:val="20"/>
                <w:color w:val="auto"/>
              </w:rPr>
            </w:pPr>
            <w:r>
              <w:rPr>
                <w:rFonts w:ascii="Arial" w:cs="Arial" w:eastAsia="Arial" w:hAnsi="Arial"/>
                <w:sz w:val="10"/>
                <w:szCs w:val="10"/>
                <w:b w:val="1"/>
                <w:bCs w:val="1"/>
                <w:color w:val="auto"/>
              </w:rPr>
              <w:t>Loans</w:t>
            </w: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4"/>
              </w:rPr>
              <w:t>Loans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80" w:type="dxa"/>
            <w:vAlign w:val="bottom"/>
            <w:gridSpan w:val="2"/>
          </w:tcPr>
          <w:p>
            <w:pPr>
              <w:ind w:left="20"/>
              <w:spacing w:after="0"/>
              <w:rPr>
                <w:sz w:val="20"/>
                <w:szCs w:val="20"/>
                <w:color w:val="auto"/>
              </w:rPr>
            </w:pPr>
            <w:r>
              <w:rPr>
                <w:rFonts w:ascii="Arial" w:cs="Arial" w:eastAsia="Arial" w:hAnsi="Arial"/>
                <w:sz w:val="10"/>
                <w:szCs w:val="10"/>
                <w:b w:val="1"/>
                <w:bCs w:val="1"/>
                <w:color w:val="auto"/>
              </w:rPr>
              <w:t>Residential: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1,349,605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4,827,335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3,817,652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2,605,414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1,240,538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7,419,338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82,664</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21,342,546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8,385</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87,178</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68,811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41,367</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22,082</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416,816</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1,057</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645,696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27,348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19,355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13,736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13,169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186,769</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261,290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971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14,353</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13,730</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3,500</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8,529</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192,207</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7,463</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240,753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0"/>
                <w:szCs w:val="10"/>
                <w:color w:val="auto"/>
              </w:rPr>
              <w:t>Total residential</w:t>
            </w:r>
          </w:p>
        </w:tc>
        <w:tc>
          <w:tcPr>
            <w:tcW w:w="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1,359,874</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4,956,214</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3,919,548</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2,664,017</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1,284,318</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8,215,130</w:t>
            </w:r>
          </w:p>
        </w:tc>
        <w:tc>
          <w:tcPr>
            <w:tcW w:w="2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91,184</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22,490,285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31</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248</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279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164</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192</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21</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139</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2,173</w:t>
            </w:r>
          </w:p>
        </w:tc>
        <w:tc>
          <w:tcPr>
            <w:tcW w:w="2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2,689</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8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Residential - limited documentation:</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865,988</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865,988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29,747</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29,747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62,250</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62,250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Total residential - limited</w:t>
            </w:r>
          </w:p>
        </w:tc>
        <w:tc>
          <w:tcPr>
            <w:tcW w:w="140" w:type="dxa"/>
            <w:vAlign w:val="bottom"/>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957,985</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957,985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100"/>
              <w:spacing w:after="0" w:line="73" w:lineRule="exact"/>
              <w:rPr>
                <w:sz w:val="20"/>
                <w:szCs w:val="20"/>
                <w:color w:val="auto"/>
              </w:rPr>
            </w:pPr>
            <w:r>
              <w:rPr>
                <w:rFonts w:ascii="Arial" w:cs="Arial" w:eastAsia="Arial" w:hAnsi="Arial"/>
                <w:sz w:val="8"/>
                <w:szCs w:val="8"/>
                <w:color w:val="auto"/>
              </w:rPr>
              <w:t>documentation</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1,053</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1,053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1,416</w:t>
            </w:r>
          </w:p>
        </w:tc>
        <w:tc>
          <w:tcPr>
            <w:tcW w:w="2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1,416</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80" w:type="dxa"/>
            <w:vAlign w:val="bottom"/>
            <w:gridSpan w:val="2"/>
          </w:tcPr>
          <w:p>
            <w:pPr>
              <w:ind w:left="20"/>
              <w:spacing w:after="0"/>
              <w:rPr>
                <w:sz w:val="20"/>
                <w:szCs w:val="20"/>
                <w:color w:val="auto"/>
              </w:rPr>
            </w:pPr>
            <w:r>
              <w:rPr>
                <w:rFonts w:ascii="Arial" w:cs="Arial" w:eastAsia="Arial" w:hAnsi="Arial"/>
                <w:sz w:val="10"/>
                <w:szCs w:val="10"/>
                <w:b w:val="1"/>
                <w:bCs w:val="1"/>
                <w:color w:val="auto"/>
              </w:rPr>
              <w:t>Consumer: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Home equity lines and loans:</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75</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27</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1,918</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1,874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13,594</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103,236</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3,032,468</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1,425,189</w:t>
            </w:r>
          </w:p>
        </w:tc>
        <w:tc>
          <w:tcPr>
            <w:tcW w:w="3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4,578,381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144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232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2,104</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33,534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36,014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80" w:type="dxa"/>
            <w:vAlign w:val="bottom"/>
            <w:gridSpan w:val="2"/>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19</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6,091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1,158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71,021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78,316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rPr>
                <w:sz w:val="20"/>
                <w:szCs w:val="20"/>
                <w:color w:val="auto"/>
              </w:rPr>
            </w:pPr>
            <w:r>
              <w:rPr>
                <w:rFonts w:ascii="Arial" w:cs="Arial" w:eastAsia="Arial" w:hAnsi="Arial"/>
                <w:sz w:val="10"/>
                <w:szCs w:val="10"/>
                <w:color w:val="auto"/>
              </w:rPr>
              <w:t>Total home equity lines and loans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1,937</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2,018</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13,853</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111,431</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3,033,626</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1,529,744</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4,692,711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1,522</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1,522</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84</w:t>
            </w:r>
          </w:p>
        </w:tc>
        <w:tc>
          <w:tcPr>
            <w:tcW w:w="220" w:type="dxa"/>
            <w:vAlign w:val="bottom"/>
            <w:vMerge w:val="restart"/>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1,298</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3,339</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4,721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Recreational finance:</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1,824,498</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2,438,925</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1,944,826</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1,344,923</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820,557</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1,074,729</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9,448,458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5,564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11,669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15,168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12,145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7,973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14,630</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67,149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80" w:type="dxa"/>
            <w:vAlign w:val="bottom"/>
            <w:gridSpan w:val="2"/>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1,138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3,935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6,338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5,477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4,013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9,623</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30,524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rPr>
                <w:sz w:val="20"/>
                <w:szCs w:val="20"/>
                <w:color w:val="auto"/>
              </w:rPr>
            </w:pPr>
            <w:r>
              <w:rPr>
                <w:rFonts w:ascii="Arial" w:cs="Arial" w:eastAsia="Arial" w:hAnsi="Arial"/>
                <w:sz w:val="10"/>
                <w:szCs w:val="10"/>
                <w:color w:val="auto"/>
              </w:rPr>
              <w:t>Total recreational finance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1,831,200</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2,454,529</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1,966,332</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1,362,545</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832,543</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1,098,982</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9,546,131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1,261</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3,415</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3,475</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2,377</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1,872</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3,673</w:t>
            </w:r>
          </w:p>
        </w:tc>
        <w:tc>
          <w:tcPr>
            <w:tcW w:w="2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16,073</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2,134</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8,565</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9,502</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8,108</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6,035</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11,030</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45,374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Automobile:</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653,170</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1,192,810</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1,164,074</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489,259</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236,991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119,274</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3,855,578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3,019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12,198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13,492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6,866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5,582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5,100</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46,257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80" w:type="dxa"/>
            <w:vAlign w:val="bottom"/>
            <w:gridSpan w:val="2"/>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1,148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2,679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4,632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2,525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2,217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2,758</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15,959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rPr>
                <w:sz w:val="20"/>
                <w:szCs w:val="20"/>
                <w:color w:val="auto"/>
              </w:rPr>
            </w:pPr>
            <w:r>
              <w:rPr>
                <w:rFonts w:ascii="Arial" w:cs="Arial" w:eastAsia="Arial" w:hAnsi="Arial"/>
                <w:sz w:val="10"/>
                <w:szCs w:val="10"/>
                <w:color w:val="auto"/>
              </w:rPr>
              <w:t>Total automobile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657,337</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1,207,687</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1,182,198</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498,650</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244,790</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127,132</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3,917,794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476</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1,584</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1,288</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625</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436</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579</w:t>
            </w:r>
          </w:p>
        </w:tc>
        <w:tc>
          <w:tcPr>
            <w:tcW w:w="2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4,988</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557</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4,403</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5,272</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2,502</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1,919</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1,977</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16,630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Other:</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Current</w:t>
            </w:r>
          </w:p>
        </w:tc>
        <w:tc>
          <w:tcPr>
            <w:tcW w:w="140" w:type="dxa"/>
            <w:vAlign w:val="bottom"/>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209,451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200,204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128,475</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38,232</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19,931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19,668</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1,421,161</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3,181</w:t>
            </w:r>
          </w:p>
        </w:tc>
        <w:tc>
          <w:tcPr>
            <w:tcW w:w="3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2,040,303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30-89 days past due</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2,592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2,055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1,546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314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185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383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10,337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912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18,324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40"/>
              <w:spacing w:after="0"/>
              <w:rPr>
                <w:sz w:val="20"/>
                <w:szCs w:val="20"/>
                <w:color w:val="auto"/>
              </w:rPr>
            </w:pPr>
            <w:r>
              <w:rPr>
                <w:rFonts w:ascii="Arial" w:cs="Arial" w:eastAsia="Arial" w:hAnsi="Arial"/>
                <w:sz w:val="10"/>
                <w:szCs w:val="10"/>
                <w:color w:val="auto"/>
              </w:rPr>
              <w:t>Accruing loans past due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80" w:type="dxa"/>
            <w:vAlign w:val="bottom"/>
            <w:gridSpan w:val="2"/>
          </w:tcPr>
          <w:p>
            <w:pPr>
              <w:ind w:left="240"/>
              <w:spacing w:after="0"/>
              <w:rPr>
                <w:sz w:val="20"/>
                <w:szCs w:val="20"/>
                <w:color w:val="auto"/>
              </w:rPr>
            </w:pPr>
            <w:r>
              <w:rPr>
                <w:rFonts w:ascii="Arial" w:cs="Arial" w:eastAsia="Arial" w:hAnsi="Arial"/>
                <w:sz w:val="10"/>
                <w:szCs w:val="10"/>
                <w:color w:val="auto"/>
              </w:rPr>
              <w:t>90 days or more</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spacing w:after="0"/>
              <w:rPr>
                <w:sz w:val="20"/>
                <w:szCs w:val="20"/>
                <w:color w:val="auto"/>
              </w:rPr>
            </w:pPr>
            <w:r>
              <w:rPr>
                <w:rFonts w:ascii="Arial" w:cs="Arial" w:eastAsia="Arial" w:hAnsi="Arial"/>
                <w:sz w:val="10"/>
                <w:szCs w:val="10"/>
                <w:color w:val="auto"/>
              </w:rPr>
              <w:t>208</w:t>
            </w:r>
          </w:p>
        </w:tc>
        <w:tc>
          <w:tcPr>
            <w:tcW w:w="980" w:type="dxa"/>
            <w:vAlign w:val="bottom"/>
            <w:gridSpan w:val="2"/>
          </w:tcPr>
          <w:p>
            <w:pPr>
              <w:jc w:val="right"/>
              <w:spacing w:after="0"/>
              <w:rPr>
                <w:sz w:val="20"/>
                <w:szCs w:val="20"/>
                <w:color w:val="auto"/>
              </w:rPr>
            </w:pPr>
            <w:r>
              <w:rPr>
                <w:rFonts w:ascii="Arial" w:cs="Arial" w:eastAsia="Arial" w:hAnsi="Arial"/>
                <w:sz w:val="10"/>
                <w:szCs w:val="10"/>
                <w:color w:val="auto"/>
              </w:rPr>
              <w:t>6,041</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6,249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rPr>
              <w:t>Nonaccrual</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1,805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852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430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149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305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49,408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204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53,272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tcPr>
          <w:p>
            <w:pPr>
              <w:ind w:left="20"/>
              <w:spacing w:after="0"/>
              <w:rPr>
                <w:sz w:val="20"/>
                <w:szCs w:val="20"/>
                <w:color w:val="auto"/>
              </w:rPr>
            </w:pPr>
            <w:r>
              <w:rPr>
                <w:rFonts w:ascii="Arial" w:cs="Arial" w:eastAsia="Arial" w:hAnsi="Arial"/>
                <w:sz w:val="10"/>
                <w:szCs w:val="10"/>
                <w:color w:val="auto"/>
              </w:rPr>
              <w:t>Total other</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213,848</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203,111</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130,451</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38,665</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20,265</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20,564</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1,486,947</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4,297</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2,118,148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680" w:type="dxa"/>
            <w:vAlign w:val="bottom"/>
            <w:gridSpan w:val="2"/>
            <w:shd w:val="clear" w:color="auto" w:fill="CFF0FC"/>
          </w:tcPr>
          <w:p>
            <w:pPr>
              <w:ind w:left="20"/>
              <w:spacing w:after="0" w:line="112" w:lineRule="exact"/>
              <w:rPr>
                <w:sz w:val="20"/>
                <w:szCs w:val="20"/>
                <w:color w:val="auto"/>
              </w:rPr>
            </w:pPr>
            <w:r>
              <w:rPr>
                <w:rFonts w:ascii="Arial" w:cs="Arial" w:eastAsia="Arial" w:hAnsi="Arial"/>
                <w:sz w:val="10"/>
                <w:szCs w:val="10"/>
                <w:color w:val="auto"/>
              </w:rPr>
              <w:t>Gross charge-offs three months</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5,716</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2,200</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1,222</w:t>
            </w:r>
          </w:p>
        </w:tc>
        <w:tc>
          <w:tcPr>
            <w:tcW w:w="220" w:type="dxa"/>
            <w:vAlign w:val="bottom"/>
            <w:vMerge w:val="restart"/>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323</w:t>
            </w:r>
          </w:p>
        </w:tc>
        <w:tc>
          <w:tcPr>
            <w:tcW w:w="22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263</w:t>
            </w:r>
          </w:p>
        </w:tc>
        <w:tc>
          <w:tcPr>
            <w:tcW w:w="200" w:type="dxa"/>
            <w:vAlign w:val="bottom"/>
            <w:vMerge w:val="restart"/>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348</w:t>
            </w:r>
          </w:p>
        </w:tc>
        <w:tc>
          <w:tcPr>
            <w:tcW w:w="22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9,723</w:t>
            </w:r>
          </w:p>
        </w:tc>
        <w:tc>
          <w:tcPr>
            <w:tcW w:w="200" w:type="dxa"/>
            <w:vAlign w:val="bottom"/>
            <w:shd w:val="clear" w:color="auto" w:fill="CFF0FC"/>
          </w:tcPr>
          <w:p>
            <w:pPr>
              <w:spacing w:after="0"/>
              <w:rPr>
                <w:sz w:val="9"/>
                <w:szCs w:val="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19,795</w:t>
            </w: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60" w:type="dxa"/>
            <w:vAlign w:val="bottom"/>
            <w:tcBorders>
              <w:bottom w:val="single" w:sz="8" w:color="CFF0FC"/>
            </w:tcBorders>
            <w:shd w:val="clear" w:color="auto" w:fill="CFF0FC"/>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tcBorders>
            <w:vMerge w:val="continue"/>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8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76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00" w:type="dxa"/>
            <w:vAlign w:val="bottom"/>
            <w:tcBorders>
              <w:bottom w:val="single" w:sz="8" w:color="CFF0FC"/>
            </w:tcBorders>
            <w:vMerge w:val="continue"/>
            <w:shd w:val="clear" w:color="auto" w:fill="CFF0FC"/>
          </w:tcPr>
          <w:p>
            <w:pPr>
              <w:spacing w:after="0"/>
              <w:rPr>
                <w:sz w:val="11"/>
                <w:szCs w:val="11"/>
                <w:color w:val="auto"/>
              </w:rPr>
            </w:pPr>
          </w:p>
        </w:tc>
        <w:tc>
          <w:tcPr>
            <w:tcW w:w="180" w:type="dxa"/>
            <w:vAlign w:val="bottom"/>
            <w:tcBorders>
              <w:bottom w:val="single" w:sz="8" w:color="auto"/>
            </w:tcBorders>
            <w:vMerge w:val="continue"/>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Gross charge-offs nine months</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11,829</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14,060</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6,218</w:t>
            </w:r>
          </w:p>
        </w:tc>
        <w:tc>
          <w:tcPr>
            <w:tcW w:w="22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2,927</w:t>
            </w:r>
          </w:p>
        </w:tc>
        <w:tc>
          <w:tcPr>
            <w:tcW w:w="22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3,178</w:t>
            </w:r>
          </w:p>
        </w:tc>
        <w:tc>
          <w:tcPr>
            <w:tcW w:w="20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9,682</w:t>
            </w:r>
          </w:p>
        </w:tc>
        <w:tc>
          <w:tcPr>
            <w:tcW w:w="220" w:type="dxa"/>
            <w:vAlign w:val="bottom"/>
            <w:vMerge w:val="restart"/>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9,915</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200" w:type="dxa"/>
            <w:vAlign w:val="bottom"/>
            <w:vMerge w:val="restart"/>
          </w:tcPr>
          <w:p>
            <w:pPr>
              <w:spacing w:after="0"/>
              <w:rPr>
                <w:sz w:val="9"/>
                <w:szCs w:val="9"/>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57,809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60" w:type="dxa"/>
            <w:vAlign w:val="bottom"/>
          </w:tcPr>
          <w:p>
            <w:pPr>
              <w:ind w:left="20"/>
              <w:spacing w:after="0" w:line="73" w:lineRule="exact"/>
              <w:rPr>
                <w:sz w:val="20"/>
                <w:szCs w:val="20"/>
                <w:color w:val="auto"/>
              </w:rPr>
            </w:pPr>
            <w:r>
              <w:rPr>
                <w:rFonts w:ascii="Arial" w:cs="Arial" w:eastAsia="Arial" w:hAnsi="Arial"/>
                <w:sz w:val="8"/>
                <w:szCs w:val="8"/>
                <w:color w:val="auto"/>
              </w:rPr>
              <w:t>ended 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FF0FC"/>
          </w:tcPr>
          <w:p>
            <w:pPr>
              <w:ind w:left="20"/>
              <w:spacing w:after="0"/>
              <w:rPr>
                <w:sz w:val="20"/>
                <w:szCs w:val="20"/>
                <w:color w:val="auto"/>
              </w:rPr>
            </w:pPr>
            <w:r>
              <w:rPr>
                <w:rFonts w:ascii="Arial" w:cs="Arial" w:eastAsia="Arial" w:hAnsi="Arial"/>
                <w:sz w:val="10"/>
                <w:szCs w:val="10"/>
                <w:b w:val="1"/>
                <w:bCs w:val="1"/>
                <w:color w:val="auto"/>
              </w:rPr>
              <w:t>Total loans and leases at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6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0"/>
                <w:szCs w:val="10"/>
                <w:b w:val="1"/>
                <w:bCs w:val="1"/>
                <w:color w:val="auto"/>
              </w:rPr>
              <w:t>September 30, 2023</w:t>
            </w:r>
          </w:p>
        </w:tc>
        <w:tc>
          <w:tcPr>
            <w:tcW w:w="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13,605,150</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22,386,601</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16,333,780</w:t>
            </w: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11,118,156</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10,677,789</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29,091,048</w:t>
            </w:r>
          </w:p>
        </w:tc>
        <w:tc>
          <w:tcPr>
            <w:tcW w:w="2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27,515,555</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1,626,606</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132,354,685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680" w:type="dxa"/>
            <w:vAlign w:val="bottom"/>
            <w:gridSpan w:val="2"/>
          </w:tcPr>
          <w:p>
            <w:pPr>
              <w:ind w:left="20"/>
              <w:spacing w:after="0" w:line="109" w:lineRule="exact"/>
              <w:rPr>
                <w:sz w:val="20"/>
                <w:szCs w:val="20"/>
                <w:color w:val="auto"/>
              </w:rPr>
            </w:pPr>
            <w:r>
              <w:rPr>
                <w:rFonts w:ascii="Arial" w:cs="Arial" w:eastAsia="Arial" w:hAnsi="Arial"/>
                <w:sz w:val="10"/>
                <w:szCs w:val="10"/>
                <w:b w:val="1"/>
                <w:bCs w:val="1"/>
                <w:color w:val="auto"/>
              </w:rPr>
              <w:t>Total gross charge-offs for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680" w:type="dxa"/>
            <w:vAlign w:val="bottom"/>
            <w:gridSpan w:val="2"/>
          </w:tcPr>
          <w:p>
            <w:pPr>
              <w:ind w:left="100"/>
              <w:spacing w:after="0"/>
              <w:rPr>
                <w:sz w:val="20"/>
                <w:szCs w:val="20"/>
                <w:color w:val="auto"/>
              </w:rPr>
            </w:pPr>
            <w:r>
              <w:rPr>
                <w:rFonts w:ascii="Arial" w:cs="Arial" w:eastAsia="Arial" w:hAnsi="Arial"/>
                <w:sz w:val="10"/>
                <w:szCs w:val="10"/>
                <w:b w:val="1"/>
                <w:bCs w:val="1"/>
                <w:color w:val="auto"/>
              </w:rPr>
              <w:t>the three months ended</w:t>
            </w:r>
          </w:p>
        </w:tc>
        <w:tc>
          <w:tcPr>
            <w:tcW w:w="140" w:type="dxa"/>
            <w:vAlign w:val="bottom"/>
            <w:vMerge w:val="restart"/>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9,577</w:t>
            </w:r>
          </w:p>
        </w:tc>
        <w:tc>
          <w:tcPr>
            <w:tcW w:w="22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15,404</w:t>
            </w:r>
          </w:p>
        </w:tc>
        <w:tc>
          <w:tcPr>
            <w:tcW w:w="22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8,983</w:t>
            </w:r>
          </w:p>
        </w:tc>
        <w:tc>
          <w:tcPr>
            <w:tcW w:w="22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0"/>
                <w:szCs w:val="10"/>
                <w:color w:val="auto"/>
              </w:rPr>
              <w:t>5,091</w:t>
            </w:r>
          </w:p>
        </w:tc>
        <w:tc>
          <w:tcPr>
            <w:tcW w:w="22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8,346</w:t>
            </w:r>
          </w:p>
        </w:tc>
        <w:tc>
          <w:tcPr>
            <w:tcW w:w="20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57,294</w:t>
            </w:r>
          </w:p>
        </w:tc>
        <w:tc>
          <w:tcPr>
            <w:tcW w:w="22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color w:val="auto"/>
              </w:rPr>
              <w:t>15,911</w:t>
            </w:r>
          </w:p>
        </w:tc>
        <w:tc>
          <w:tcPr>
            <w:tcW w:w="20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color w:val="auto"/>
              </w:rPr>
              <w:t>1,522</w:t>
            </w:r>
          </w:p>
        </w:tc>
        <w:tc>
          <w:tcPr>
            <w:tcW w:w="200" w:type="dxa"/>
            <w:vAlign w:val="bottom"/>
            <w:vMerge w:val="restart"/>
          </w:tcPr>
          <w:p>
            <w:pPr>
              <w:spacing w:after="0"/>
              <w:rPr>
                <w:sz w:val="10"/>
                <w:szCs w:val="10"/>
                <w:color w:val="auto"/>
              </w:rPr>
            </w:pPr>
          </w:p>
        </w:tc>
        <w:tc>
          <w:tcPr>
            <w:tcW w:w="180" w:type="dxa"/>
            <w:vAlign w:val="bottom"/>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122,128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tcPr>
          <w:p>
            <w:pPr>
              <w:ind w:left="100"/>
              <w:spacing w:after="0" w:line="79" w:lineRule="exact"/>
              <w:rPr>
                <w:sz w:val="20"/>
                <w:szCs w:val="20"/>
                <w:color w:val="auto"/>
              </w:rPr>
            </w:pPr>
            <w:r>
              <w:rPr>
                <w:rFonts w:ascii="Arial" w:cs="Arial" w:eastAsia="Arial" w:hAnsi="Arial"/>
                <w:sz w:val="8"/>
                <w:szCs w:val="8"/>
                <w:b w:val="1"/>
                <w:bCs w:val="1"/>
                <w:color w:val="auto"/>
              </w:rPr>
              <w:t>September 30, 2023</w:t>
            </w: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680" w:type="dxa"/>
            <w:vAlign w:val="bottom"/>
            <w:gridSpan w:val="2"/>
            <w:shd w:val="clear" w:color="auto" w:fill="CFF0FC"/>
          </w:tcPr>
          <w:p>
            <w:pPr>
              <w:ind w:left="20"/>
              <w:spacing w:after="0" w:line="105" w:lineRule="exact"/>
              <w:rPr>
                <w:sz w:val="20"/>
                <w:szCs w:val="20"/>
                <w:color w:val="auto"/>
              </w:rPr>
            </w:pPr>
            <w:r>
              <w:rPr>
                <w:rFonts w:ascii="Arial" w:cs="Arial" w:eastAsia="Arial" w:hAnsi="Arial"/>
                <w:sz w:val="10"/>
                <w:szCs w:val="10"/>
                <w:b w:val="1"/>
                <w:bCs w:val="1"/>
                <w:color w:val="auto"/>
              </w:rPr>
              <w:t>Total gross charge-offs for</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680" w:type="dxa"/>
            <w:vAlign w:val="bottom"/>
            <w:gridSpan w:val="2"/>
            <w:shd w:val="clear" w:color="auto" w:fill="CFF0FC"/>
          </w:tcPr>
          <w:p>
            <w:pPr>
              <w:ind w:left="100"/>
              <w:spacing w:after="0"/>
              <w:rPr>
                <w:sz w:val="20"/>
                <w:szCs w:val="20"/>
                <w:color w:val="auto"/>
              </w:rPr>
            </w:pPr>
            <w:r>
              <w:rPr>
                <w:rFonts w:ascii="Arial" w:cs="Arial" w:eastAsia="Arial" w:hAnsi="Arial"/>
                <w:sz w:val="10"/>
                <w:szCs w:val="10"/>
                <w:b w:val="1"/>
                <w:bCs w:val="1"/>
                <w:color w:val="auto"/>
              </w:rPr>
              <w:t>the nine months ended</w:t>
            </w:r>
          </w:p>
        </w:tc>
        <w:tc>
          <w:tcPr>
            <w:tcW w:w="140" w:type="dxa"/>
            <w:vAlign w:val="bottom"/>
            <w:vMerge w:val="restart"/>
            <w:shd w:val="clear" w:color="auto" w:fill="CFF0FC"/>
          </w:tcPr>
          <w:p>
            <w:pPr>
              <w:jc w:val="right"/>
              <w:ind w:right="76"/>
              <w:spacing w:after="0"/>
              <w:rPr>
                <w:sz w:val="20"/>
                <w:szCs w:val="20"/>
                <w:color w:val="auto"/>
              </w:rPr>
            </w:pPr>
            <w:r>
              <w:rPr>
                <w:rFonts w:ascii="Arial" w:cs="Arial" w:eastAsia="Arial" w:hAnsi="Arial"/>
                <w:sz w:val="5"/>
                <w:szCs w:val="5"/>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17,479</w:t>
            </w:r>
          </w:p>
        </w:tc>
        <w:tc>
          <w:tcPr>
            <w:tcW w:w="220" w:type="dxa"/>
            <w:vAlign w:val="bottom"/>
            <w:vMerge w:val="restart"/>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46,324</w:t>
            </w:r>
          </w:p>
        </w:tc>
        <w:tc>
          <w:tcPr>
            <w:tcW w:w="22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32,292</w:t>
            </w:r>
          </w:p>
        </w:tc>
        <w:tc>
          <w:tcPr>
            <w:tcW w:w="220" w:type="dxa"/>
            <w:vAlign w:val="bottom"/>
            <w:vMerge w:val="restart"/>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22,500</w:t>
            </w:r>
          </w:p>
        </w:tc>
        <w:tc>
          <w:tcPr>
            <w:tcW w:w="22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99,469</w:t>
            </w:r>
          </w:p>
        </w:tc>
        <w:tc>
          <w:tcPr>
            <w:tcW w:w="20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138,036</w:t>
            </w:r>
          </w:p>
        </w:tc>
        <w:tc>
          <w:tcPr>
            <w:tcW w:w="220" w:type="dxa"/>
            <w:vAlign w:val="bottom"/>
            <w:vMerge w:val="restart"/>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19,852</w:t>
            </w:r>
          </w:p>
        </w:tc>
        <w:tc>
          <w:tcPr>
            <w:tcW w:w="200" w:type="dxa"/>
            <w:vAlign w:val="bottom"/>
            <w:vMerge w:val="restart"/>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3,339</w:t>
            </w:r>
          </w:p>
        </w:tc>
        <w:tc>
          <w:tcPr>
            <w:tcW w:w="200" w:type="dxa"/>
            <w:vAlign w:val="bottom"/>
            <w:vMerge w:val="restart"/>
            <w:shd w:val="clear" w:color="auto" w:fill="CFF0FC"/>
          </w:tcPr>
          <w:p>
            <w:pPr>
              <w:spacing w:after="0"/>
              <w:rPr>
                <w:sz w:val="10"/>
                <w:szCs w:val="10"/>
                <w:color w:val="auto"/>
              </w:rPr>
            </w:pPr>
          </w:p>
        </w:tc>
        <w:tc>
          <w:tcPr>
            <w:tcW w:w="180" w:type="dxa"/>
            <w:vAlign w:val="bottom"/>
            <w:vMerge w:val="restart"/>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rPr>
              <w:t>379,291</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60" w:type="dxa"/>
            <w:vAlign w:val="bottom"/>
            <w:tcBorders>
              <w:bottom w:val="single" w:sz="8" w:color="CFF0FC"/>
            </w:tcBorders>
            <w:shd w:val="clear" w:color="auto" w:fill="CFF0FC"/>
          </w:tcPr>
          <w:p>
            <w:pPr>
              <w:ind w:left="100"/>
              <w:spacing w:after="0" w:line="79" w:lineRule="exact"/>
              <w:rPr>
                <w:sz w:val="20"/>
                <w:szCs w:val="20"/>
                <w:color w:val="auto"/>
              </w:rPr>
            </w:pPr>
            <w:r>
              <w:rPr>
                <w:rFonts w:ascii="Arial" w:cs="Arial" w:eastAsia="Arial" w:hAnsi="Arial"/>
                <w:sz w:val="8"/>
                <w:szCs w:val="8"/>
                <w:b w:val="1"/>
                <w:bCs w:val="1"/>
                <w:color w:val="auto"/>
              </w:rPr>
              <w:t>September 30, 2023</w:t>
            </w:r>
          </w:p>
        </w:tc>
        <w:tc>
          <w:tcPr>
            <w:tcW w:w="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NOTES TO FINANCIAL STATEMENTS,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380" w:firstLine="696"/>
        <w:spacing w:after="0" w:line="275" w:lineRule="auto"/>
        <w:rPr>
          <w:sz w:val="20"/>
          <w:szCs w:val="20"/>
          <w:color w:val="auto"/>
        </w:rPr>
      </w:pPr>
      <w:r>
        <w:rPr>
          <w:rFonts w:ascii="Arial" w:cs="Arial" w:eastAsia="Arial" w:hAnsi="Arial"/>
          <w:sz w:val="18"/>
          <w:szCs w:val="18"/>
          <w:color w:val="auto"/>
        </w:rPr>
        <w:t>The following table summarizes the loan grades applied at December 31, 2022 to the various classes of the Company’s commercial loans and commercial real estate loans by origination year.</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Revolving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7"/>
              </w:rPr>
              <w:t>Converted to</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Term Loans by Origination Year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rPr>
              <w:t>Revolving</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Term</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0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3"/>
                <w:szCs w:val="13"/>
                <w:color w:val="auto"/>
              </w:rPr>
            </w:pPr>
          </w:p>
        </w:tc>
        <w:tc>
          <w:tcPr>
            <w:tcW w:w="800" w:type="dxa"/>
            <w:vAlign w:val="bottom"/>
          </w:tcPr>
          <w:p>
            <w:pPr>
              <w:jc w:val="right"/>
              <w:ind w:right="2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right"/>
              <w:ind w:right="186"/>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8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Commercial, financial, leasing, etc.:</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8,575,130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4,952,758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2,024,603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1,796,047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817,569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1,970,947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19,444,247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40,471</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39,621,772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247,626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222,861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190,368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116,881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71,485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246,846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768,497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17,026</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1,881,590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18,379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52,067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37,608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36,241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35,689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59,146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100,972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7,102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347,204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commercial,</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8,841,135</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5,227,686</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2,252,579</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1,949,169</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924,743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2,276,939</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20,313,716</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64,599</w:t>
            </w:r>
          </w:p>
        </w:tc>
        <w:tc>
          <w:tcPr>
            <w:tcW w:w="36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41,850,566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FF0FC"/>
          </w:tcPr>
          <w:p>
            <w:pPr>
              <w:ind w:left="100"/>
              <w:spacing w:after="0" w:line="86" w:lineRule="exact"/>
              <w:rPr>
                <w:sz w:val="20"/>
                <w:szCs w:val="20"/>
                <w:color w:val="auto"/>
              </w:rPr>
            </w:pPr>
            <w:r>
              <w:rPr>
                <w:rFonts w:ascii="Arial" w:cs="Arial" w:eastAsia="Arial" w:hAnsi="Arial"/>
                <w:sz w:val="9"/>
                <w:szCs w:val="9"/>
                <w:color w:val="auto"/>
              </w:rPr>
              <w:t>financial, leasing, etc.</w:t>
            </w:r>
          </w:p>
        </w:tc>
        <w:tc>
          <w:tcPr>
            <w:tcW w:w="220" w:type="dxa"/>
            <w:vAlign w:val="bottom"/>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6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Real estate:</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0"/>
              <w:spacing w:after="0"/>
              <w:rPr>
                <w:sz w:val="20"/>
                <w:szCs w:val="20"/>
                <w:color w:val="auto"/>
              </w:rPr>
            </w:pPr>
            <w:r>
              <w:rPr>
                <w:rFonts w:ascii="Arial" w:cs="Arial" w:eastAsia="Arial" w:hAnsi="Arial"/>
                <w:sz w:val="11"/>
                <w:szCs w:val="11"/>
                <w:color w:val="auto"/>
              </w:rPr>
              <w:t>Commercial:</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4,136,890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3,379,900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3,388,590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4,557,065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3,293,380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10,905,956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869,981</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30,531,762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324,652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463,484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467,557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688,239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937,421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1,890,297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48,099</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4,819,749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11,541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22,459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183,986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297,106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170,382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688,079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23,109</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1,396,662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commercial real</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4,473,083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3,865,843</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4,040,133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5,542,410</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4,401,183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13,484,332</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941,189</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36,748,173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estate</w:t>
            </w: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540" w:type="dxa"/>
            <w:vAlign w:val="bottom"/>
            <w:tcBorders>
              <w:bottom w:val="single" w:sz="8" w:color="CFF0FC"/>
            </w:tcBorders>
            <w:vMerge w:val="continue"/>
            <w:shd w:val="clear" w:color="auto" w:fill="CFF0FC"/>
          </w:tcPr>
          <w:p>
            <w:pPr>
              <w:spacing w:after="0"/>
              <w:rPr>
                <w:sz w:val="12"/>
                <w:szCs w:val="12"/>
                <w:color w:val="auto"/>
              </w:rPr>
            </w:pPr>
          </w:p>
        </w:tc>
        <w:tc>
          <w:tcPr>
            <w:tcW w:w="1000" w:type="dxa"/>
            <w:vAlign w:val="bottom"/>
            <w:tcBorders>
              <w:bottom w:val="single" w:sz="8" w:color="CFF0FC"/>
            </w:tcBorders>
            <w:gridSpan w:val="2"/>
            <w:vMerge w:val="continue"/>
            <w:shd w:val="clear" w:color="auto" w:fill="CFF0FC"/>
          </w:tcPr>
          <w:p>
            <w:pPr>
              <w:spacing w:after="0"/>
              <w:rPr>
                <w:sz w:val="12"/>
                <w:szCs w:val="12"/>
                <w:color w:val="auto"/>
              </w:rPr>
            </w:pPr>
          </w:p>
        </w:tc>
        <w:tc>
          <w:tcPr>
            <w:tcW w:w="1020" w:type="dxa"/>
            <w:vAlign w:val="bottom"/>
            <w:tcBorders>
              <w:bottom w:val="single" w:sz="8" w:color="CFF0FC"/>
            </w:tcBorders>
            <w:gridSpan w:val="2"/>
            <w:vMerge w:val="continue"/>
            <w:shd w:val="clear" w:color="auto" w:fill="CFF0FC"/>
          </w:tcPr>
          <w:p>
            <w:pPr>
              <w:spacing w:after="0"/>
              <w:rPr>
                <w:sz w:val="12"/>
                <w:szCs w:val="12"/>
                <w:color w:val="auto"/>
              </w:rPr>
            </w:pPr>
          </w:p>
        </w:tc>
        <w:tc>
          <w:tcPr>
            <w:tcW w:w="1000" w:type="dxa"/>
            <w:vAlign w:val="bottom"/>
            <w:tcBorders>
              <w:bottom w:val="single" w:sz="8" w:color="CFF0FC"/>
            </w:tcBorders>
            <w:gridSpan w:val="2"/>
            <w:vMerge w:val="continue"/>
            <w:shd w:val="clear" w:color="auto" w:fill="CFF0FC"/>
          </w:tcPr>
          <w:p>
            <w:pPr>
              <w:spacing w:after="0"/>
              <w:rPr>
                <w:sz w:val="12"/>
                <w:szCs w:val="12"/>
                <w:color w:val="auto"/>
              </w:rPr>
            </w:pPr>
          </w:p>
        </w:tc>
        <w:tc>
          <w:tcPr>
            <w:tcW w:w="1020" w:type="dxa"/>
            <w:vAlign w:val="bottom"/>
            <w:tcBorders>
              <w:bottom w:val="single" w:sz="8" w:color="CFF0FC"/>
            </w:tcBorders>
            <w:gridSpan w:val="2"/>
            <w:vMerge w:val="continue"/>
            <w:shd w:val="clear" w:color="auto" w:fill="CFF0FC"/>
          </w:tcPr>
          <w:p>
            <w:pPr>
              <w:spacing w:after="0"/>
              <w:rPr>
                <w:sz w:val="12"/>
                <w:szCs w:val="12"/>
                <w:color w:val="auto"/>
              </w:rPr>
            </w:pPr>
          </w:p>
        </w:tc>
        <w:tc>
          <w:tcPr>
            <w:tcW w:w="1000" w:type="dxa"/>
            <w:vAlign w:val="bottom"/>
            <w:tcBorders>
              <w:bottom w:val="single" w:sz="8" w:color="CFF0FC"/>
            </w:tcBorders>
            <w:gridSpan w:val="2"/>
            <w:vMerge w:val="continue"/>
            <w:shd w:val="clear" w:color="auto" w:fill="CFF0FC"/>
          </w:tcPr>
          <w:p>
            <w:pPr>
              <w:spacing w:after="0"/>
              <w:rPr>
                <w:sz w:val="12"/>
                <w:szCs w:val="12"/>
                <w:color w:val="auto"/>
              </w:rPr>
            </w:pPr>
          </w:p>
        </w:tc>
        <w:tc>
          <w:tcPr>
            <w:tcW w:w="1000" w:type="dxa"/>
            <w:vAlign w:val="bottom"/>
            <w:tcBorders>
              <w:bottom w:val="single" w:sz="8" w:color="CFF0FC"/>
            </w:tcBorders>
            <w:gridSpan w:val="2"/>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vMerge w:val="continue"/>
            <w:shd w:val="clear" w:color="auto" w:fill="CFF0FC"/>
          </w:tcPr>
          <w:p>
            <w:pPr>
              <w:spacing w:after="0"/>
              <w:rPr>
                <w:sz w:val="12"/>
                <w:szCs w:val="12"/>
                <w:color w:val="auto"/>
              </w:rPr>
            </w:pPr>
          </w:p>
        </w:tc>
        <w:tc>
          <w:tcPr>
            <w:tcW w:w="360" w:type="dxa"/>
            <w:vAlign w:val="bottom"/>
            <w:tcBorders>
              <w:bottom w:val="single" w:sz="8" w:color="CFF0FC"/>
            </w:tcBorders>
            <w:gridSpan w:val="2"/>
            <w:vMerge w:val="continue"/>
            <w:shd w:val="clear" w:color="auto" w:fill="CFF0FC"/>
          </w:tcPr>
          <w:p>
            <w:pPr>
              <w:spacing w:after="0"/>
              <w:rPr>
                <w:sz w:val="12"/>
                <w:szCs w:val="12"/>
                <w:color w:val="auto"/>
              </w:rPr>
            </w:pPr>
          </w:p>
        </w:tc>
        <w:tc>
          <w:tcPr>
            <w:tcW w:w="66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6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Residential builder and</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developer:</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00"/>
              <w:spacing w:after="0"/>
              <w:rPr>
                <w:sz w:val="20"/>
                <w:szCs w:val="20"/>
                <w:color w:val="auto"/>
              </w:rPr>
            </w:pPr>
            <w:r>
              <w:rPr>
                <w:rFonts w:ascii="Arial" w:cs="Arial" w:eastAsia="Arial" w:hAnsi="Arial"/>
                <w:sz w:val="11"/>
                <w:szCs w:val="11"/>
                <w:color w:val="auto"/>
              </w:rPr>
              <w:t>Loan grades: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2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680,705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230,079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11,280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22,111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12,812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9,865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150,404</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1,117,256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Criticized 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2,969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28,472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9,952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108,968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15,069</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30,815</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196,245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nonaccrual</w:t>
            </w:r>
          </w:p>
        </w:tc>
        <w:tc>
          <w:tcPr>
            <w:tcW w:w="220" w:type="dxa"/>
            <w:vAlign w:val="bottom"/>
            <w:shd w:val="clear" w:color="auto" w:fill="CFF0FC"/>
          </w:tcPr>
          <w:p>
            <w:pPr>
              <w:spacing w:after="0"/>
              <w:rPr>
                <w:sz w:val="13"/>
                <w:szCs w:val="1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654</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518</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10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residential builder</w:t>
            </w:r>
          </w:p>
        </w:tc>
        <w:tc>
          <w:tcPr>
            <w:tcW w:w="220" w:type="dxa"/>
            <w:vAlign w:val="bottom"/>
            <w:vMerge w:val="restart"/>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683,731</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259,205</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21,232</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131,597</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27,881</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9,865</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181,219</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1,314,730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and developer</w:t>
            </w:r>
          </w:p>
        </w:tc>
        <w:tc>
          <w:tcPr>
            <w:tcW w:w="2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0"/>
              <w:spacing w:after="0"/>
              <w:rPr>
                <w:sz w:val="20"/>
                <w:szCs w:val="20"/>
                <w:color w:val="auto"/>
              </w:rPr>
            </w:pPr>
            <w:r>
              <w:rPr>
                <w:rFonts w:ascii="Arial" w:cs="Arial" w:eastAsia="Arial" w:hAnsi="Arial"/>
                <w:sz w:val="11"/>
                <w:szCs w:val="11"/>
                <w:color w:val="auto"/>
              </w:rPr>
              <w:t>Other commercial construction:</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Loan grades:</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Pass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1,032,774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1,080,141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1,225,845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1,185,685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366,686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297,355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15,575</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5,204,061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FF0FC"/>
          </w:tcPr>
          <w:p>
            <w:pPr>
              <w:ind w:left="280"/>
              <w:spacing w:after="0"/>
              <w:rPr>
                <w:sz w:val="20"/>
                <w:szCs w:val="20"/>
                <w:color w:val="auto"/>
              </w:rPr>
            </w:pPr>
            <w:r>
              <w:rPr>
                <w:rFonts w:ascii="Arial" w:cs="Arial" w:eastAsia="Arial" w:hAnsi="Arial"/>
                <w:sz w:val="11"/>
                <w:szCs w:val="11"/>
                <w:color w:val="auto"/>
              </w:rPr>
              <w:t>Criticized accrual</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37,893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145,199</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320,463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1,025,371</w:t>
            </w: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299,350</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144,394</w:t>
            </w:r>
          </w:p>
        </w:tc>
        <w:tc>
          <w:tcPr>
            <w:tcW w:w="22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1,972,670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102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1020" w:type="dxa"/>
            <w:vAlign w:val="bottom"/>
            <w:gridSpan w:val="2"/>
            <w:vMerge w:val="continue"/>
            <w:shd w:val="clear" w:color="auto" w:fill="CFF0FC"/>
          </w:tcPr>
          <w:p>
            <w:pPr>
              <w:spacing w:after="0"/>
              <w:rPr>
                <w:sz w:val="8"/>
                <w:szCs w:val="8"/>
                <w:color w:val="auto"/>
              </w:rPr>
            </w:pPr>
          </w:p>
        </w:tc>
        <w:tc>
          <w:tcPr>
            <w:tcW w:w="100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6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80"/>
              <w:spacing w:after="0"/>
              <w:rPr>
                <w:sz w:val="20"/>
                <w:szCs w:val="20"/>
                <w:color w:val="auto"/>
              </w:rPr>
            </w:pPr>
            <w:r>
              <w:rPr>
                <w:rFonts w:ascii="Arial" w:cs="Arial" w:eastAsia="Arial" w:hAnsi="Arial"/>
                <w:sz w:val="11"/>
                <w:szCs w:val="11"/>
                <w:color w:val="auto"/>
              </w:rPr>
              <w:t>Criticized nonaccrual</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9,992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44,037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35,841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10,542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22,099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2,426</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124,937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other commercial</w:t>
            </w:r>
          </w:p>
        </w:tc>
        <w:tc>
          <w:tcPr>
            <w:tcW w:w="2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1,070,667</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1,235,332</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1,590,345</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2,246,897</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676,578</w:t>
            </w:r>
          </w:p>
        </w:tc>
        <w:tc>
          <w:tcPr>
            <w:tcW w:w="20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463,848</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18,001</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shd w:val="clear" w:color="auto" w:fill="CFF0FC"/>
          </w:tcPr>
          <w:p>
            <w:pPr>
              <w:spacing w:after="0"/>
              <w:rPr>
                <w:sz w:val="12"/>
                <w:szCs w:val="12"/>
                <w:color w:val="auto"/>
              </w:rPr>
            </w:pP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7,301,668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Borders>
              <w:bottom w:val="single" w:sz="8" w:color="CFF0FC"/>
            </w:tcBorders>
            <w:shd w:val="clear" w:color="auto" w:fill="CFF0FC"/>
          </w:tcPr>
          <w:p>
            <w:pPr>
              <w:ind w:left="100"/>
              <w:spacing w:after="0" w:line="86" w:lineRule="exact"/>
              <w:rPr>
                <w:sz w:val="20"/>
                <w:szCs w:val="20"/>
                <w:color w:val="auto"/>
              </w:rPr>
            </w:pPr>
            <w:r>
              <w:rPr>
                <w:rFonts w:ascii="Arial" w:cs="Arial" w:eastAsia="Arial" w:hAnsi="Arial"/>
                <w:sz w:val="9"/>
                <w:szCs w:val="9"/>
                <w:color w:val="auto"/>
              </w:rPr>
              <w:t>construction</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6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520" w:firstLine="696"/>
        <w:spacing w:after="0" w:line="275" w:lineRule="auto"/>
        <w:rPr>
          <w:sz w:val="20"/>
          <w:szCs w:val="20"/>
          <w:color w:val="auto"/>
        </w:rPr>
      </w:pPr>
      <w:r>
        <w:rPr>
          <w:rFonts w:ascii="Arial" w:cs="Arial" w:eastAsia="Arial" w:hAnsi="Arial"/>
          <w:sz w:val="18"/>
          <w:szCs w:val="18"/>
          <w:color w:val="auto"/>
        </w:rPr>
        <w:t>A summary of loans in accrual and nonaccrual status at December 31, 2022 for the various classes of the Company’s residential real estate loans and consumer loans by origination year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Revolving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7"/>
              </w:rPr>
              <w:t>Converted to</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Term Loans by Origination Year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rPr>
              <w:t>Revolving</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Term</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100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2020</w:t>
            </w:r>
          </w:p>
        </w:tc>
        <w:tc>
          <w:tcPr>
            <w:tcW w:w="100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1020" w:type="dxa"/>
            <w:vAlign w:val="bottom"/>
            <w:gridSpan w:val="2"/>
          </w:tcPr>
          <w:p>
            <w:pPr>
              <w:jc w:val="right"/>
              <w:ind w:right="226"/>
              <w:spacing w:after="0"/>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3"/>
                <w:szCs w:val="13"/>
                <w:color w:val="auto"/>
              </w:rPr>
            </w:pPr>
          </w:p>
        </w:tc>
        <w:tc>
          <w:tcPr>
            <w:tcW w:w="800" w:type="dxa"/>
            <w:vAlign w:val="bottom"/>
          </w:tcPr>
          <w:p>
            <w:pPr>
              <w:jc w:val="right"/>
              <w:ind w:right="2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right"/>
              <w:ind w:right="186"/>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60" w:type="dxa"/>
            <w:vAlign w:val="bottom"/>
          </w:tcPr>
          <w:p>
            <w:pPr>
              <w:ind w:left="20"/>
              <w:spacing w:after="0"/>
              <w:rPr>
                <w:sz w:val="20"/>
                <w:szCs w:val="20"/>
                <w:color w:val="auto"/>
              </w:rPr>
            </w:pPr>
            <w:r>
              <w:rPr>
                <w:rFonts w:ascii="Arial" w:cs="Arial" w:eastAsia="Arial" w:hAnsi="Arial"/>
                <w:sz w:val="11"/>
                <w:szCs w:val="11"/>
                <w:b w:val="1"/>
                <w:bCs w:val="1"/>
                <w:color w:val="auto"/>
              </w:rPr>
              <w:t>Residential:</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5,071,379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4,001,652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2,717,371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1,392,866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753,908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7,523,890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30,440</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21,491,506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59,477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51,308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40,337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21,849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23,126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399,301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499</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595,897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39,934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20,067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14,050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14,007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245,332</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345,402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5,686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10,865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2,583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9,860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231,093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7,353</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272,090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residential</w:t>
            </w: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5,148,554</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4,103,759</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2,780,358</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1,438,625</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795,691</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8,399,616</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38,292</w:t>
            </w:r>
          </w:p>
        </w:tc>
        <w:tc>
          <w:tcPr>
            <w:tcW w:w="1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22,704,895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4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20" w:type="dxa"/>
            <w:vAlign w:val="bottom"/>
            <w:gridSpan w:val="3"/>
            <w:shd w:val="clear" w:color="auto" w:fill="CFF0FC"/>
          </w:tcPr>
          <w:p>
            <w:pPr>
              <w:ind w:left="20"/>
              <w:spacing w:after="0"/>
              <w:rPr>
                <w:sz w:val="20"/>
                <w:szCs w:val="20"/>
                <w:color w:val="auto"/>
              </w:rPr>
            </w:pPr>
            <w:r>
              <w:rPr>
                <w:rFonts w:ascii="Arial" w:cs="Arial" w:eastAsia="Arial" w:hAnsi="Arial"/>
                <w:sz w:val="11"/>
                <w:szCs w:val="11"/>
                <w:b w:val="1"/>
                <w:bCs w:val="1"/>
                <w:color w:val="auto"/>
              </w:rPr>
              <w:t>Residential - limited documentation:</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950,782</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950,782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22,456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22,456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6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77,814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residential - limited</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1,051,052</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1,051,052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documentation</w:t>
            </w:r>
          </w:p>
        </w:tc>
        <w:tc>
          <w:tcPr>
            <w:tcW w:w="1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Arial" w:cs="Arial" w:eastAsia="Arial" w:hAnsi="Arial"/>
                <w:sz w:val="11"/>
                <w:szCs w:val="11"/>
                <w:b w:val="1"/>
                <w:bCs w:val="1"/>
                <w:color w:val="auto"/>
              </w:rPr>
              <w:t>Consumer:</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Home equity lines and</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loans:</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930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2,109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2,441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15,361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23,321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97,282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3,262,533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1,487,334</w:t>
            </w: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4,891,311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2,030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28,460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30,787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6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6,458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2,799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74,646</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84,788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rPr>
                <w:sz w:val="20"/>
                <w:szCs w:val="20"/>
                <w:color w:val="auto"/>
              </w:rPr>
            </w:pPr>
            <w:r>
              <w:rPr>
                <w:rFonts w:ascii="Arial" w:cs="Arial" w:eastAsia="Arial" w:hAnsi="Arial"/>
                <w:sz w:val="11"/>
                <w:szCs w:val="11"/>
                <w:color w:val="auto"/>
              </w:rPr>
              <w:t>Total home equity lines and</w:t>
            </w:r>
          </w:p>
        </w:tc>
        <w:tc>
          <w:tcPr>
            <w:tcW w:w="14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930</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2,124</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2,441</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16,068</w:t>
            </w:r>
          </w:p>
        </w:tc>
        <w:tc>
          <w:tcPr>
            <w:tcW w:w="1020" w:type="dxa"/>
            <w:vAlign w:val="bottom"/>
            <w:gridSpan w:val="2"/>
            <w:vMerge w:val="restart"/>
          </w:tcPr>
          <w:p>
            <w:pPr>
              <w:jc w:val="right"/>
              <w:spacing w:after="0"/>
              <w:rPr>
                <w:sz w:val="20"/>
                <w:szCs w:val="20"/>
                <w:color w:val="auto"/>
              </w:rPr>
            </w:pPr>
            <w:r>
              <w:rPr>
                <w:rFonts w:ascii="Arial" w:cs="Arial" w:eastAsia="Arial" w:hAnsi="Arial"/>
                <w:sz w:val="11"/>
                <w:szCs w:val="11"/>
                <w:color w:val="auto"/>
              </w:rPr>
              <w:t>23,781</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105,770</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3,265,332</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1,590,440</w:t>
            </w:r>
          </w:p>
        </w:tc>
        <w:tc>
          <w:tcPr>
            <w:tcW w:w="32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5,006,886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660" w:type="dxa"/>
            <w:vAlign w:val="bottom"/>
          </w:tcPr>
          <w:p>
            <w:pPr>
              <w:ind w:left="100"/>
              <w:spacing w:after="0" w:line="86" w:lineRule="exact"/>
              <w:rPr>
                <w:sz w:val="20"/>
                <w:szCs w:val="20"/>
                <w:color w:val="auto"/>
              </w:rPr>
            </w:pPr>
            <w:r>
              <w:rPr>
                <w:rFonts w:ascii="Arial" w:cs="Arial" w:eastAsia="Arial" w:hAnsi="Arial"/>
                <w:sz w:val="9"/>
                <w:szCs w:val="9"/>
                <w:color w:val="auto"/>
              </w:rPr>
              <w:t>loans</w:t>
            </w:r>
          </w:p>
        </w:tc>
        <w:tc>
          <w:tcPr>
            <w:tcW w:w="1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0"/>
              <w:spacing w:after="0"/>
              <w:rPr>
                <w:sz w:val="20"/>
                <w:szCs w:val="20"/>
                <w:color w:val="auto"/>
              </w:rPr>
            </w:pPr>
            <w:r>
              <w:rPr>
                <w:rFonts w:ascii="Arial" w:cs="Arial" w:eastAsia="Arial" w:hAnsi="Arial"/>
                <w:sz w:val="11"/>
                <w:szCs w:val="11"/>
                <w:color w:val="auto"/>
              </w:rPr>
              <w:t>Recreational finance: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2,842,091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2,280,627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1,587,629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963,907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486,964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812,953</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8,974,171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9,525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12,412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8,387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5,202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10,419</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54,593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3,533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7,440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9,427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7,625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5,344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11,261</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44,630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recreational finance</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2,854,272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2,297,592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1,609,468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979,919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497,510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834,633</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9,073,394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6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Automobile:</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1,491,076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1,557,676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702,711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378,962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167,438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95,343</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4,393,206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13,324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7,284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7,239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5,464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4,249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660" w:type="dxa"/>
            <w:vAlign w:val="bottom"/>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10,698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7,372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5,620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5,881</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39,584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Arial" w:cs="Arial" w:eastAsia="Arial" w:hAnsi="Arial"/>
                <w:sz w:val="11"/>
                <w:szCs w:val="11"/>
                <w:color w:val="auto"/>
              </w:rPr>
              <w:t>Total automobile</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1,500,495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1,581,698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717,367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393,721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178,522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105,473</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4,477,276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20"/>
              <w:spacing w:after="0"/>
              <w:rPr>
                <w:sz w:val="20"/>
                <w:szCs w:val="20"/>
                <w:color w:val="auto"/>
              </w:rPr>
            </w:pPr>
            <w:r>
              <w:rPr>
                <w:rFonts w:ascii="Arial" w:cs="Arial" w:eastAsia="Arial" w:hAnsi="Arial"/>
                <w:sz w:val="11"/>
                <w:szCs w:val="11"/>
                <w:color w:val="auto"/>
              </w:rPr>
              <w:t>Other:</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Current</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274,530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172,238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58,339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38,439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8,217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23,163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1,375,049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8,221</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1,958,196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30-89 days past due</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3,783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1,450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326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386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569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15,655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651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22,961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140"/>
              <w:spacing w:after="0"/>
              <w:rPr>
                <w:sz w:val="20"/>
                <w:szCs w:val="20"/>
                <w:color w:val="auto"/>
              </w:rPr>
            </w:pPr>
            <w:r>
              <w:rPr>
                <w:rFonts w:ascii="Arial" w:cs="Arial" w:eastAsia="Arial" w:hAnsi="Arial"/>
                <w:sz w:val="11"/>
                <w:szCs w:val="11"/>
                <w:color w:val="auto"/>
              </w:rPr>
              <w:t>Accruing loans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4,643</w:t>
            </w: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660" w:type="dxa"/>
            <w:vAlign w:val="bottom"/>
          </w:tcPr>
          <w:p>
            <w:pPr>
              <w:ind w:left="140"/>
              <w:spacing w:after="0"/>
              <w:rPr>
                <w:sz w:val="20"/>
                <w:szCs w:val="20"/>
                <w:color w:val="auto"/>
              </w:rPr>
            </w:pPr>
            <w:r>
              <w:rPr>
                <w:rFonts w:ascii="Arial" w:cs="Arial" w:eastAsia="Arial" w:hAnsi="Arial"/>
                <w:sz w:val="11"/>
                <w:szCs w:val="11"/>
                <w:color w:val="auto"/>
              </w:rPr>
              <w:t>Nonaccrual</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2,745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830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371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465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44,449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other</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281,058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174,518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58,997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39,196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8,478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24,423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1,439,796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9,057</w:t>
            </w:r>
          </w:p>
        </w:tc>
        <w:tc>
          <w:tcPr>
            <w:tcW w:w="32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2,035,523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6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and leases at</w:t>
            </w: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24,853,925</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18,747,757</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13,072,920</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12,737,602</w:t>
            </w:r>
          </w:p>
        </w:tc>
        <w:tc>
          <w:tcPr>
            <w:tcW w:w="22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7,534,367</w:t>
            </w:r>
          </w:p>
        </w:tc>
        <w:tc>
          <w:tcPr>
            <w:tcW w:w="200" w:type="dxa"/>
            <w:vAlign w:val="bottom"/>
            <w:vMerge w:val="restart"/>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26,755,951</w:t>
            </w:r>
          </w:p>
        </w:tc>
        <w:tc>
          <w:tcPr>
            <w:tcW w:w="2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26,197,545</w:t>
            </w:r>
          </w:p>
        </w:tc>
        <w:tc>
          <w:tcPr>
            <w:tcW w:w="180" w:type="dxa"/>
            <w:vAlign w:val="bottom"/>
            <w:vMerge w:val="restart"/>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1,664,096</w:t>
            </w:r>
          </w:p>
        </w:tc>
        <w:tc>
          <w:tcPr>
            <w:tcW w:w="180" w:type="dxa"/>
            <w:vAlign w:val="bottom"/>
            <w:vMerge w:val="restart"/>
            <w:shd w:val="clear" w:color="auto" w:fill="CFF0FC"/>
          </w:tcPr>
          <w:p>
            <w:pPr>
              <w:spacing w:after="0"/>
              <w:rPr>
                <w:sz w:val="12"/>
                <w:szCs w:val="12"/>
                <w:color w:val="auto"/>
              </w:rPr>
            </w:pP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131,564,163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60" w:type="dxa"/>
            <w:vAlign w:val="bottom"/>
            <w:tcBorders>
              <w:bottom w:val="single" w:sz="8" w:color="CFF0FC"/>
            </w:tcBorders>
            <w:shd w:val="clear" w:color="auto" w:fill="CFF0FC"/>
          </w:tcPr>
          <w:p>
            <w:pPr>
              <w:ind w:left="100"/>
              <w:spacing w:after="0" w:line="90" w:lineRule="exact"/>
              <w:rPr>
                <w:sz w:val="20"/>
                <w:szCs w:val="20"/>
                <w:color w:val="auto"/>
              </w:rPr>
            </w:pPr>
            <w:r>
              <w:rPr>
                <w:rFonts w:ascii="Arial" w:cs="Arial" w:eastAsia="Arial" w:hAnsi="Arial"/>
                <w:sz w:val="10"/>
                <w:szCs w:val="10"/>
                <w:b w:val="1"/>
                <w:bCs w:val="1"/>
                <w:color w:val="auto"/>
              </w:rPr>
              <w:t>December 31, 2022</w:t>
            </w: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0" w:name="page21"/>
    <w:bookmarkEnd w:id="20"/>
    <w:p>
      <w:pPr>
        <w:ind w:left="6"/>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ind w:left="6" w:right="4860" w:firstLine="6"/>
        <w:spacing w:after="0" w:line="367" w:lineRule="auto"/>
        <w:tabs>
          <w:tab w:leader="none" w:pos="20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Loans and leases and the allowance for credit losses, continued </w:t>
      </w:r>
      <w:r>
        <w:rPr>
          <w:rFonts w:ascii="Arial" w:cs="Arial" w:eastAsia="Arial" w:hAnsi="Arial"/>
          <w:sz w:val="18"/>
          <w:szCs w:val="18"/>
          <w:b w:val="1"/>
          <w:bCs w:val="1"/>
          <w:i w:val="1"/>
          <w:iCs w:val="1"/>
          <w:color w:val="auto"/>
        </w:rPr>
        <w:t>Allowance for credit losses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purposes of determining the level of the allowance for credit losses, the Company evaluates its loan and lease portfolio by type.</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color w:val="auto"/>
        </w:rPr>
        <w:t>Changes in the allowance for credit losses for the three months ended September 30, 2023 and 2022 were as follows:</w:t>
      </w:r>
    </w:p>
    <w:p>
      <w:pPr>
        <w:spacing w:after="0" w:line="121"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Commercial,</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Financial,</w:t>
            </w:r>
          </w:p>
        </w:tc>
        <w:tc>
          <w:tcPr>
            <w:tcW w:w="2360" w:type="dxa"/>
            <w:vAlign w:val="bottom"/>
            <w:gridSpan w:val="4"/>
          </w:tcPr>
          <w:p>
            <w:pPr>
              <w:jc w:val="right"/>
              <w:ind w:right="940"/>
              <w:spacing w:after="0"/>
              <w:rPr>
                <w:sz w:val="20"/>
                <w:szCs w:val="20"/>
                <w:color w:val="auto"/>
              </w:rPr>
            </w:pPr>
            <w:r>
              <w:rPr>
                <w:rFonts w:ascii="Arial" w:cs="Arial" w:eastAsia="Arial" w:hAnsi="Arial"/>
                <w:sz w:val="13"/>
                <w:szCs w:val="13"/>
                <w:b w:val="1"/>
                <w:bCs w:val="1"/>
                <w:color w:val="auto"/>
              </w:rPr>
              <w:t>Real Estate</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Leasing, etc.</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Commercial</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Residential</w:t>
            </w: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Consumer</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 thousands)</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 September 30, 2023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restart"/>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511,929</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765,676</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118,392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602,369</w:t>
            </w:r>
          </w:p>
        </w:tc>
        <w:tc>
          <w:tcPr>
            <w:tcW w:w="18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1,998,366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560" w:type="dxa"/>
            <w:vAlign w:val="bottom"/>
            <w:gridSpan w:val="3"/>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Provision for credit losses</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45,637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73,588</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(3,390)</w:t>
            </w:r>
          </w:p>
        </w:tc>
        <w:tc>
          <w:tcPr>
            <w:tcW w:w="1040" w:type="dxa"/>
            <w:vAlign w:val="bottom"/>
          </w:tcPr>
          <w:p>
            <w:pPr>
              <w:jc w:val="right"/>
              <w:spacing w:after="0"/>
              <w:rPr>
                <w:sz w:val="20"/>
                <w:szCs w:val="20"/>
                <w:color w:val="auto"/>
              </w:rPr>
            </w:pPr>
            <w:r>
              <w:rPr>
                <w:rFonts w:ascii="Arial" w:cs="Arial" w:eastAsia="Arial" w:hAnsi="Arial"/>
                <w:sz w:val="16"/>
                <w:szCs w:val="16"/>
                <w:color w:val="auto"/>
              </w:rPr>
              <w:t>34,165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160"/>
              <w:spacing w:after="0"/>
              <w:rPr>
                <w:sz w:val="20"/>
                <w:szCs w:val="20"/>
                <w:color w:val="auto"/>
              </w:rPr>
            </w:pPr>
            <w:r>
              <w:rPr>
                <w:rFonts w:ascii="Arial" w:cs="Arial" w:eastAsia="Arial" w:hAnsi="Arial"/>
                <w:sz w:val="16"/>
                <w:szCs w:val="16"/>
                <w:color w:val="auto"/>
              </w:rPr>
              <w:t>Charge-offs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(26,844 )</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(51,574 )</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(1,332)</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(42,378 )</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(122,128 )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5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Recoveries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6,976</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25,889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(19,868 )</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(47,284 )</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(508 )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(28,579 )</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(96,239 )</w:t>
            </w:r>
          </w:p>
        </w:tc>
        <w:tc>
          <w:tcPr>
            <w:tcW w:w="0" w:type="dxa"/>
            <w:vAlign w:val="bottom"/>
          </w:tcPr>
          <w:p>
            <w:pPr>
              <w:spacing w:after="0"/>
              <w:rPr>
                <w:sz w:val="1"/>
                <w:szCs w:val="1"/>
                <w:color w:val="auto"/>
              </w:rPr>
            </w:pPr>
          </w:p>
        </w:tc>
      </w:tr>
      <w:tr>
        <w:trPr>
          <w:trHeight w:val="245"/>
        </w:trPr>
        <w:tc>
          <w:tcPr>
            <w:tcW w:w="45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537,698</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791,980</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114,494</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607,955</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2,052,127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Three Months Ended September 30, 2022</w:t>
            </w: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2560" w:type="dxa"/>
            <w:vAlign w:val="bottom"/>
            <w:shd w:val="clear" w:color="auto" w:fill="000000"/>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414,473</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708,393</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124,326</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576,598</w:t>
            </w:r>
          </w:p>
        </w:tc>
        <w:tc>
          <w:tcPr>
            <w:tcW w:w="1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1,823,790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43,343</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26,949</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(11,169 )</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55,877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5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Charge-offs</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(37,396 )</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(35,213 )</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(2,572)</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(26,086 )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(101,267 )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tcPr>
          <w:p>
            <w:pPr>
              <w:ind w:left="160"/>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22,022</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2,234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13,411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(15,374 )</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(34,812 )</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(338 )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(12,675 )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(63,199 )</w:t>
            </w:r>
          </w:p>
        </w:tc>
        <w:tc>
          <w:tcPr>
            <w:tcW w:w="0" w:type="dxa"/>
            <w:vAlign w:val="bottom"/>
          </w:tcPr>
          <w:p>
            <w:pPr>
              <w:spacing w:after="0"/>
              <w:rPr>
                <w:sz w:val="1"/>
                <w:szCs w:val="1"/>
                <w:color w:val="auto"/>
              </w:rPr>
            </w:pPr>
          </w:p>
        </w:tc>
      </w:tr>
      <w:tr>
        <w:trPr>
          <w:trHeight w:val="203"/>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442,442</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700,530</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112,819</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619,800</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1,875,591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
        <w:spacing w:after="0"/>
        <w:rPr>
          <w:sz w:val="20"/>
          <w:szCs w:val="20"/>
          <w:color w:val="auto"/>
        </w:rPr>
      </w:pPr>
      <w:r>
        <w:rPr>
          <w:rFonts w:ascii="Arial" w:cs="Arial" w:eastAsia="Arial" w:hAnsi="Arial"/>
          <w:sz w:val="18"/>
          <w:szCs w:val="18"/>
          <w:color w:val="auto"/>
        </w:rPr>
        <w:t>Changes in the allowance for credit losses for the nine months ended September 30, 2023 and 2022 were as follows:</w:t>
      </w:r>
    </w:p>
    <w:p>
      <w:pPr>
        <w:spacing w:after="0" w:line="133" w:lineRule="exact"/>
        <w:rPr>
          <w:sz w:val="20"/>
          <w:szCs w:val="20"/>
          <w:color w:val="auto"/>
        </w:rPr>
      </w:pPr>
    </w:p>
    <w:tbl>
      <w:tblPr>
        <w:tblLayout w:type="fixed"/>
        <w:tblInd w:w="16"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9"/>
              </w:rPr>
              <w:t>Commercial,</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Financial,</w:t>
            </w:r>
          </w:p>
        </w:tc>
        <w:tc>
          <w:tcPr>
            <w:tcW w:w="2440" w:type="dxa"/>
            <w:vAlign w:val="bottom"/>
            <w:gridSpan w:val="6"/>
          </w:tcPr>
          <w:p>
            <w:pPr>
              <w:jc w:val="right"/>
              <w:ind w:right="96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Leasing, etc.</w:t>
            </w:r>
          </w:p>
        </w:tc>
        <w:tc>
          <w:tcPr>
            <w:tcW w:w="12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5"/>
                <w:szCs w:val="15"/>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Nine Months Ended September 30, 2023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520" w:type="dxa"/>
            <w:vAlign w:val="bottom"/>
            <w:tcBorders>
              <w:left w:val="single" w:sz="8" w:color="CFF0FC"/>
            </w:tcBorders>
            <w:shd w:val="clear" w:color="auto" w:fill="000000"/>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502,153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676,684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115,092</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631,402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1,925,331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69,801</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290,672</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(955 )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60,482</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Charge-offs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(67,104 )</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(183,548 )</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(4,105)</w:t>
            </w:r>
          </w:p>
        </w:tc>
        <w:tc>
          <w:tcPr>
            <w:tcW w:w="1240" w:type="dxa"/>
            <w:vAlign w:val="bottom"/>
            <w:gridSpan w:val="4"/>
            <w:shd w:val="clear" w:color="auto" w:fill="CFF0FC"/>
          </w:tcPr>
          <w:p>
            <w:pPr>
              <w:jc w:val="right"/>
              <w:ind w:right="140"/>
              <w:spacing w:after="0"/>
              <w:rPr>
                <w:sz w:val="20"/>
                <w:szCs w:val="20"/>
                <w:color w:val="auto"/>
              </w:rPr>
            </w:pPr>
            <w:r>
              <w:rPr>
                <w:rFonts w:ascii="Arial" w:cs="Arial" w:eastAsia="Arial" w:hAnsi="Arial"/>
                <w:sz w:val="16"/>
                <w:szCs w:val="16"/>
                <w:color w:val="auto"/>
              </w:rPr>
              <w:t>(124,534 )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(379,291 )</w:t>
            </w:r>
          </w:p>
        </w:tc>
        <w:tc>
          <w:tcPr>
            <w:tcW w:w="0" w:type="dxa"/>
            <w:vAlign w:val="bottom"/>
          </w:tcPr>
          <w:p>
            <w:pPr>
              <w:spacing w:after="0"/>
              <w:rPr>
                <w:sz w:val="1"/>
                <w:szCs w:val="1"/>
                <w:color w:val="auto"/>
              </w:rPr>
            </w:pPr>
          </w:p>
        </w:tc>
      </w:tr>
      <w:tr>
        <w:trPr>
          <w:trHeight w:val="202"/>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Recoveries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32,848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8,172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4,462</w:t>
            </w:r>
          </w:p>
        </w:tc>
        <w:tc>
          <w:tcPr>
            <w:tcW w:w="20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40,605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86,087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(charge-offs) recoveries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(34,256 )</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(175,376 )</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00" w:type="dxa"/>
            <w:vAlign w:val="bottom"/>
            <w:shd w:val="clear" w:color="auto" w:fill="CFF0FC"/>
          </w:tcPr>
          <w:p>
            <w:pPr>
              <w:spacing w:after="0"/>
              <w:rPr>
                <w:sz w:val="17"/>
                <w:szCs w:val="17"/>
                <w:color w:val="auto"/>
              </w:rPr>
            </w:pPr>
          </w:p>
        </w:tc>
        <w:tc>
          <w:tcPr>
            <w:tcW w:w="1240" w:type="dxa"/>
            <w:vAlign w:val="bottom"/>
            <w:gridSpan w:val="4"/>
            <w:shd w:val="clear" w:color="auto" w:fill="CFF0FC"/>
          </w:tcPr>
          <w:p>
            <w:pPr>
              <w:jc w:val="right"/>
              <w:ind w:right="140"/>
              <w:spacing w:after="0"/>
              <w:rPr>
                <w:sz w:val="20"/>
                <w:szCs w:val="20"/>
                <w:color w:val="auto"/>
              </w:rPr>
            </w:pPr>
            <w:r>
              <w:rPr>
                <w:rFonts w:ascii="Arial" w:cs="Arial" w:eastAsia="Arial" w:hAnsi="Arial"/>
                <w:sz w:val="16"/>
                <w:szCs w:val="16"/>
                <w:color w:val="auto"/>
              </w:rPr>
              <w:t>(83,929 )</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(293,204 )</w:t>
            </w:r>
          </w:p>
        </w:tc>
        <w:tc>
          <w:tcPr>
            <w:tcW w:w="0" w:type="dxa"/>
            <w:vAlign w:val="bottom"/>
          </w:tcPr>
          <w:p>
            <w:pPr>
              <w:spacing w:after="0"/>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537,698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791,980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114,494</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607,955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2,052,127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5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520" w:type="dxa"/>
            <w:vAlign w:val="bottom"/>
            <w:tcBorders>
              <w:left w:val="single" w:sz="8" w:color="CFF0FC"/>
            </w:tcBorders>
            <w:shd w:val="clear" w:color="auto" w:fill="000000"/>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283,899</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557,239</w:t>
            </w:r>
          </w:p>
        </w:tc>
        <w:tc>
          <w:tcPr>
            <w:tcW w:w="1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71,726</w:t>
            </w:r>
          </w:p>
        </w:tc>
        <w:tc>
          <w:tcPr>
            <w:tcW w:w="2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556,362</w:t>
            </w:r>
          </w:p>
        </w:tc>
        <w:tc>
          <w:tcPr>
            <w:tcW w:w="18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1,469,226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Allowance on acquired PCD loans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41,003</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55,812</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1,833</w:t>
            </w:r>
          </w:p>
        </w:tc>
        <w:tc>
          <w:tcPr>
            <w:tcW w:w="2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352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Provision for credit losses (a)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167,985</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116,288</w:t>
            </w:r>
          </w:p>
        </w:tc>
        <w:tc>
          <w:tcPr>
            <w:tcW w:w="1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40,719</w:t>
            </w:r>
          </w:p>
        </w:tc>
        <w:tc>
          <w:tcPr>
            <w:tcW w:w="2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102,008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ind w:left="180"/>
              <w:spacing w:after="0"/>
              <w:rPr>
                <w:sz w:val="20"/>
                <w:szCs w:val="20"/>
                <w:color w:val="auto"/>
              </w:rPr>
            </w:pPr>
            <w:r>
              <w:rPr>
                <w:rFonts w:ascii="Arial" w:cs="Arial" w:eastAsia="Arial" w:hAnsi="Arial"/>
                <w:sz w:val="16"/>
                <w:szCs w:val="16"/>
                <w:color w:val="auto"/>
              </w:rPr>
              <w:t>Charge-offs (b)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(94,555 )</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(45,809 )</w:t>
            </w: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(9,407)</w:t>
            </w:r>
          </w:p>
        </w:tc>
        <w:tc>
          <w:tcPr>
            <w:tcW w:w="1240" w:type="dxa"/>
            <w:vAlign w:val="bottom"/>
            <w:gridSpan w:val="4"/>
          </w:tcPr>
          <w:p>
            <w:pPr>
              <w:jc w:val="right"/>
              <w:ind w:right="120"/>
              <w:spacing w:after="0"/>
              <w:rPr>
                <w:sz w:val="20"/>
                <w:szCs w:val="20"/>
                <w:color w:val="auto"/>
              </w:rPr>
            </w:pPr>
            <w:r>
              <w:rPr>
                <w:rFonts w:ascii="Arial" w:cs="Arial" w:eastAsia="Arial" w:hAnsi="Arial"/>
                <w:sz w:val="16"/>
                <w:szCs w:val="16"/>
                <w:color w:val="auto"/>
              </w:rPr>
              <w:t>(78,148 )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(227,919 )</w:t>
            </w:r>
          </w:p>
        </w:tc>
        <w:tc>
          <w:tcPr>
            <w:tcW w:w="0" w:type="dxa"/>
            <w:vAlign w:val="bottom"/>
          </w:tcPr>
          <w:p>
            <w:pPr>
              <w:spacing w:after="0"/>
              <w:rPr>
                <w:sz w:val="1"/>
                <w:szCs w:val="1"/>
                <w:color w:val="auto"/>
              </w:rPr>
            </w:pPr>
          </w:p>
        </w:tc>
      </w:tr>
      <w:tr>
        <w:trPr>
          <w:trHeight w:val="205"/>
        </w:trPr>
        <w:tc>
          <w:tcPr>
            <w:tcW w:w="45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6"/>
                <w:szCs w:val="16"/>
                <w:color w:val="auto"/>
              </w:rPr>
              <w:t>Recoveries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44,110</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17,000</w:t>
            </w: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7,948</w:t>
            </w:r>
          </w:p>
        </w:tc>
        <w:tc>
          <w:tcPr>
            <w:tcW w:w="2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39,226</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(50,445 )</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(28,809 )</w:t>
            </w: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(1,459)</w:t>
            </w:r>
          </w:p>
        </w:tc>
        <w:tc>
          <w:tcPr>
            <w:tcW w:w="1240" w:type="dxa"/>
            <w:vAlign w:val="bottom"/>
            <w:gridSpan w:val="4"/>
          </w:tcPr>
          <w:p>
            <w:pPr>
              <w:jc w:val="right"/>
              <w:ind w:right="120"/>
              <w:spacing w:after="0"/>
              <w:rPr>
                <w:sz w:val="20"/>
                <w:szCs w:val="20"/>
                <w:color w:val="auto"/>
              </w:rPr>
            </w:pPr>
            <w:r>
              <w:rPr>
                <w:rFonts w:ascii="Arial" w:cs="Arial" w:eastAsia="Arial" w:hAnsi="Arial"/>
                <w:sz w:val="16"/>
                <w:szCs w:val="16"/>
                <w:color w:val="auto"/>
              </w:rPr>
              <w:t>(38,922 )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(119,635 )</w:t>
            </w:r>
          </w:p>
        </w:tc>
        <w:tc>
          <w:tcPr>
            <w:tcW w:w="0" w:type="dxa"/>
            <w:vAlign w:val="bottom"/>
          </w:tcPr>
          <w:p>
            <w:pPr>
              <w:spacing w:after="0"/>
              <w:rPr>
                <w:sz w:val="1"/>
                <w:szCs w:val="1"/>
                <w:color w:val="auto"/>
              </w:rPr>
            </w:pPr>
          </w:p>
        </w:tc>
      </w:tr>
      <w:tr>
        <w:trPr>
          <w:trHeight w:val="244"/>
        </w:trPr>
        <w:tc>
          <w:tcPr>
            <w:tcW w:w="4560" w:type="dxa"/>
            <w:vAlign w:val="bottom"/>
            <w:tcBorders>
              <w:left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442,442</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700,530</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112,819</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619,800</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1,875,591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
        <w:spacing w:after="0"/>
        <w:rPr>
          <w:sz w:val="20"/>
          <w:szCs w:val="20"/>
          <w:color w:val="auto"/>
        </w:rPr>
      </w:pPr>
      <w:r>
        <w:rPr>
          <w:rFonts w:ascii="Arial" w:cs="Arial" w:eastAsia="Arial" w:hAnsi="Arial"/>
          <w:sz w:val="5"/>
          <w:szCs w:val="5"/>
          <w:i w:val="1"/>
          <w:iCs w:val="1"/>
          <w:color w:val="auto"/>
        </w:rPr>
        <w:t>________________________________________________________________________________________________</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(a)Includes $242 million related to non-PCD acquired loans for the nine months ended September 30, 2022.</w:t>
      </w:r>
    </w:p>
    <w:p>
      <w:pPr>
        <w:spacing w:after="0" w:line="31" w:lineRule="exact"/>
        <w:rPr>
          <w:sz w:val="20"/>
          <w:szCs w:val="20"/>
          <w:color w:val="auto"/>
        </w:rPr>
      </w:pPr>
    </w:p>
    <w:p>
      <w:pPr>
        <w:ind w:left="306" w:hanging="306"/>
        <w:spacing w:after="0"/>
        <w:tabs>
          <w:tab w:leader="none" w:pos="306"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For the nine months ended September 30, 2022, net charge-offs do not reflect $33 million of charge offs related to PCD acquired loans.</w:t>
      </w:r>
    </w:p>
    <w:p>
      <w:pPr>
        <w:spacing w:after="0" w:line="204" w:lineRule="exact"/>
        <w:rPr>
          <w:rFonts w:ascii="Arial" w:cs="Arial" w:eastAsia="Arial" w:hAnsi="Arial"/>
          <w:sz w:val="13"/>
          <w:szCs w:val="13"/>
          <w:i w:val="1"/>
          <w:iCs w:val="1"/>
          <w:color w:val="auto"/>
        </w:rPr>
      </w:pPr>
    </w:p>
    <w:p>
      <w:pPr>
        <w:ind w:left="5206" w:hanging="93"/>
        <w:spacing w:after="0"/>
        <w:tabs>
          <w:tab w:leader="none" w:pos="5206" w:val="left"/>
        </w:tabs>
        <w:numPr>
          <w:ilvl w:val="1"/>
          <w:numId w:val="6"/>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562" w:right="680"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firstLine="468"/>
        <w:spacing w:after="0" w:line="251" w:lineRule="auto"/>
        <w:rPr>
          <w:sz w:val="20"/>
          <w:szCs w:val="20"/>
          <w:color w:val="auto"/>
        </w:rPr>
      </w:pPr>
      <w:r>
        <w:rPr>
          <w:rFonts w:ascii="Arial" w:cs="Arial" w:eastAsia="Arial" w:hAnsi="Arial"/>
          <w:sz w:val="18"/>
          <w:szCs w:val="18"/>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each of September 30, 2023 and December 31, 2022,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5"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For residential real estate loans, including home equity loans and lines of credit, the excess of the loan balance over the net realizable value of the property collateralizing the loan is charged- 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credit losses, the Company gives consideration to the required repayment of any first lien positions related to collateral property.</w:t>
      </w:r>
    </w:p>
    <w:p>
      <w:pPr>
        <w:spacing w:after="0" w:line="75"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reserve for off-balance sheet credit exposures was not material at September 30, 2023 and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jc w:val="both"/>
        <w:ind w:right="60" w:firstLine="468"/>
        <w:spacing w:after="0" w:line="263" w:lineRule="auto"/>
        <w:rPr>
          <w:sz w:val="20"/>
          <w:szCs w:val="20"/>
          <w:color w:val="auto"/>
        </w:rPr>
      </w:pPr>
      <w:r>
        <w:rPr>
          <w:rFonts w:ascii="Arial" w:cs="Arial" w:eastAsia="Arial" w:hAnsi="Arial"/>
          <w:sz w:val="18"/>
          <w:szCs w:val="18"/>
          <w:color w:val="auto"/>
        </w:rPr>
        <w:t>Information with respect to loans and leases that were considered nonaccrual at the beginning and end of the reporting period and the interest income recognized on such loans for the three-month and nine-month periods ended September 30, 2023 and 2022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Amortized Cost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34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Amortized Cost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without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34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with Allowance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Allowance</w:t>
            </w:r>
          </w:p>
        </w:tc>
        <w:tc>
          <w:tcPr>
            <w:tcW w:w="260" w:type="dxa"/>
            <w:vAlign w:val="bottom"/>
          </w:tcPr>
          <w:p>
            <w:pPr>
              <w:spacing w:after="0"/>
              <w:rPr>
                <w:sz w:val="13"/>
                <w:szCs w:val="13"/>
                <w:color w:val="auto"/>
              </w:rPr>
            </w:pPr>
          </w:p>
        </w:tc>
        <w:tc>
          <w:tcPr>
            <w:tcW w:w="680" w:type="dxa"/>
            <w:vAlign w:val="bottom"/>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4"/>
          </w:tcPr>
          <w:p>
            <w:pPr>
              <w:jc w:val="right"/>
              <w:ind w:right="468"/>
              <w:spacing w:after="0"/>
              <w:rPr>
                <w:sz w:val="20"/>
                <w:szCs w:val="20"/>
                <w:color w:val="auto"/>
              </w:rPr>
            </w:pPr>
            <w:r>
              <w:rPr>
                <w:rFonts w:ascii="Arial" w:cs="Arial" w:eastAsia="Arial" w:hAnsi="Arial"/>
                <w:sz w:val="11"/>
                <w:szCs w:val="11"/>
                <w:b w:val="1"/>
                <w:bCs w:val="1"/>
                <w:color w:val="auto"/>
              </w:rPr>
              <w:t>Amortized Cost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1"/>
                <w:szCs w:val="11"/>
                <w:b w:val="1"/>
                <w:bCs w:val="1"/>
                <w:color w:val="auto"/>
              </w:rPr>
              <w:t>Interest Income Recognized</w:t>
            </w:r>
          </w:p>
        </w:tc>
      </w:tr>
      <w:tr>
        <w:trPr>
          <w:trHeight w:val="138"/>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40"/>
              <w:spacing w:after="0"/>
              <w:rPr>
                <w:sz w:val="20"/>
                <w:szCs w:val="20"/>
                <w:color w:val="auto"/>
              </w:rPr>
            </w:pPr>
            <w:r>
              <w:rPr>
                <w:rFonts w:ascii="Arial" w:cs="Arial" w:eastAsia="Arial" w:hAnsi="Arial"/>
                <w:sz w:val="11"/>
                <w:szCs w:val="11"/>
                <w:b w:val="1"/>
                <w:bCs w:val="1"/>
                <w:color w:val="auto"/>
                <w:w w:val="96"/>
              </w:rPr>
              <w:t>Three Months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Nine</w:t>
            </w: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ind w:right="71"/>
              <w:spacing w:after="0"/>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1"/>
                <w:szCs w:val="11"/>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Months Ended</w:t>
            </w: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left="60"/>
              <w:spacing w:after="0"/>
              <w:rPr>
                <w:sz w:val="20"/>
                <w:szCs w:val="20"/>
                <w:color w:val="auto"/>
              </w:rPr>
            </w:pPr>
            <w:r>
              <w:rPr>
                <w:rFonts w:ascii="Arial" w:cs="Arial" w:eastAsia="Arial" w:hAnsi="Arial"/>
                <w:sz w:val="11"/>
                <w:szCs w:val="11"/>
                <w:b w:val="1"/>
                <w:bCs w:val="1"/>
                <w:color w:val="auto"/>
                <w:w w:val="95"/>
              </w:rPr>
              <w:t>September 30,</w:t>
            </w:r>
          </w:p>
        </w:tc>
        <w:tc>
          <w:tcPr>
            <w:tcW w:w="100" w:type="dxa"/>
            <w:vAlign w:val="bottom"/>
          </w:tcPr>
          <w:p>
            <w:pPr>
              <w:spacing w:after="0"/>
              <w:rPr>
                <w:sz w:val="11"/>
                <w:szCs w:val="11"/>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September 30,</w:t>
            </w:r>
          </w:p>
        </w:tc>
      </w:tr>
      <w:tr>
        <w:trPr>
          <w:trHeight w:val="150"/>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September 30, 2023</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June 30, 2023</w:t>
            </w:r>
          </w:p>
        </w:tc>
        <w:tc>
          <w:tcPr>
            <w:tcW w:w="1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w w:val="97"/>
              </w:rPr>
              <w:t>January 1, 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center"/>
              <w:ind w:right="71"/>
              <w:spacing w:after="0"/>
              <w:rPr>
                <w:sz w:val="20"/>
                <w:szCs w:val="20"/>
                <w:color w:val="auto"/>
              </w:rPr>
            </w:pPr>
            <w:r>
              <w:rPr>
                <w:rFonts w:ascii="Arial" w:cs="Arial" w:eastAsia="Arial" w:hAnsi="Arial"/>
                <w:sz w:val="11"/>
                <w:szCs w:val="11"/>
                <w:b w:val="1"/>
                <w:bCs w:val="1"/>
                <w:color w:val="auto"/>
                <w:w w:val="97"/>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center"/>
              <w:ind w:right="131"/>
              <w:spacing w:after="0"/>
              <w:rPr>
                <w:sz w:val="20"/>
                <w:szCs w:val="20"/>
                <w:color w:val="auto"/>
              </w:rPr>
            </w:pPr>
            <w:r>
              <w:rPr>
                <w:rFonts w:ascii="Arial" w:cs="Arial" w:eastAsia="Arial" w:hAnsi="Arial"/>
                <w:sz w:val="11"/>
                <w:szCs w:val="11"/>
                <w:b w:val="1"/>
                <w:bCs w:val="1"/>
                <w:color w:val="auto"/>
                <w:w w:val="97"/>
              </w:rPr>
              <w:t>2023</w:t>
            </w:r>
          </w:p>
        </w:tc>
        <w:tc>
          <w:tcPr>
            <w:tcW w:w="80" w:type="dxa"/>
            <w:vAlign w:val="bottom"/>
          </w:tcPr>
          <w:p>
            <w:pPr>
              <w:spacing w:after="0"/>
              <w:rPr>
                <w:sz w:val="13"/>
                <w:szCs w:val="13"/>
                <w:color w:val="auto"/>
              </w:rPr>
            </w:pPr>
          </w:p>
        </w:tc>
      </w:tr>
      <w:tr>
        <w:trPr>
          <w:trHeight w:val="152"/>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34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leasing, etc.</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324,774</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160,646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485,420</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416,022</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347,204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w:t>
            </w:r>
          </w:p>
        </w:tc>
        <w:tc>
          <w:tcPr>
            <w:tcW w:w="80" w:type="dxa"/>
            <w:vAlign w:val="bottom"/>
            <w:shd w:val="clear" w:color="auto" w:fill="CFF0FC"/>
          </w:tcPr>
          <w:p>
            <w:pPr>
              <w:spacing w:after="0"/>
              <w:rPr>
                <w:sz w:val="19"/>
                <w:szCs w:val="19"/>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458,720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777,367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1,236,087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1,383,190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1,396,662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12,446</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22,379</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Residential builder and developer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commercial construction</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131,924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136,004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146,024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1,974</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90,879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149,874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240,753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238,509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272,090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12,247</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Residential — limited documentation</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40,616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62,250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66,614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77,814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Consumer:</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Home equity lines and loans</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48,737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29,579</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78,316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77,090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84,788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5,172</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Recreational finance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Automobile</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15,959</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39,584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53,272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52,862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49,497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r>
      <w:tr>
        <w:trPr>
          <w:trHeight w:val="232"/>
        </w:trPr>
        <w:tc>
          <w:tcPr>
            <w:tcW w:w="3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1,038,213</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1,303,725</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2,341,938</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2,435,581</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2,438,435</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22,107</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51,644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01"/>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left="40"/>
              <w:spacing w:after="0"/>
              <w:rPr>
                <w:sz w:val="20"/>
                <w:szCs w:val="20"/>
                <w:color w:val="auto"/>
              </w:rPr>
            </w:pPr>
            <w:r>
              <w:rPr>
                <w:rFonts w:ascii="Arial" w:cs="Arial" w:eastAsia="Arial" w:hAnsi="Arial"/>
                <w:sz w:val="11"/>
                <w:szCs w:val="11"/>
                <w:b w:val="1"/>
                <w:bCs w:val="1"/>
                <w:color w:val="auto"/>
                <w:w w:val="96"/>
              </w:rPr>
              <w:t>Three Months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Nine</w:t>
            </w: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ind w:right="71"/>
              <w:spacing w:after="0"/>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1"/>
                <w:szCs w:val="11"/>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Months Ended</w:t>
            </w:r>
          </w:p>
        </w:tc>
      </w:tr>
      <w:tr>
        <w:trPr>
          <w:trHeight w:val="132"/>
        </w:trPr>
        <w:tc>
          <w:tcPr>
            <w:tcW w:w="3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left="60"/>
              <w:spacing w:after="0"/>
              <w:rPr>
                <w:sz w:val="20"/>
                <w:szCs w:val="20"/>
                <w:color w:val="auto"/>
              </w:rPr>
            </w:pPr>
            <w:r>
              <w:rPr>
                <w:rFonts w:ascii="Arial" w:cs="Arial" w:eastAsia="Arial" w:hAnsi="Arial"/>
                <w:sz w:val="11"/>
                <w:szCs w:val="11"/>
                <w:b w:val="1"/>
                <w:bCs w:val="1"/>
                <w:color w:val="auto"/>
                <w:w w:val="95"/>
              </w:rPr>
              <w:t>September 30,</w:t>
            </w:r>
          </w:p>
        </w:tc>
        <w:tc>
          <w:tcPr>
            <w:tcW w:w="100" w:type="dxa"/>
            <w:vAlign w:val="bottom"/>
          </w:tcPr>
          <w:p>
            <w:pPr>
              <w:spacing w:after="0"/>
              <w:rPr>
                <w:sz w:val="11"/>
                <w:szCs w:val="11"/>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September 30,</w:t>
            </w:r>
          </w:p>
        </w:tc>
      </w:tr>
      <w:tr>
        <w:trPr>
          <w:trHeight w:val="150"/>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September 30, 2022</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June 30, 2022</w:t>
            </w:r>
          </w:p>
        </w:tc>
        <w:tc>
          <w:tcPr>
            <w:tcW w:w="1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w w:val="97"/>
              </w:rPr>
              <w:t>January 1, 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center"/>
              <w:ind w:right="71"/>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center"/>
              <w:ind w:right="131"/>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Pr>
          <w:p>
            <w:pPr>
              <w:spacing w:after="0"/>
              <w:rPr>
                <w:sz w:val="13"/>
                <w:szCs w:val="13"/>
                <w:color w:val="auto"/>
              </w:rPr>
            </w:pPr>
          </w:p>
        </w:tc>
      </w:tr>
      <w:tr>
        <w:trPr>
          <w:trHeight w:val="152"/>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2"/>
        </w:trPr>
        <w:tc>
          <w:tcPr>
            <w:tcW w:w="34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leasing, etc.</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207,841</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160,325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368,166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442,496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221,022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20,423</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394,502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1,011,698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1,406,200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1,476,658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1,069,280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14,944</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Residential builder and developer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Other commercial construction</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25,235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40,952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66,187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73,046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3,398</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160,704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124,691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285,395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331,376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355,858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21,397</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Residential — limited documentation</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61,297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34,085</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95,382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112,608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122,888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180"/>
              <w:spacing w:after="0"/>
              <w:rPr>
                <w:sz w:val="20"/>
                <w:szCs w:val="20"/>
                <w:color w:val="auto"/>
              </w:rPr>
            </w:pPr>
            <w:r>
              <w:rPr>
                <w:rFonts w:ascii="Arial" w:cs="Arial" w:eastAsia="Arial" w:hAnsi="Arial"/>
                <w:sz w:val="14"/>
                <w:szCs w:val="14"/>
                <w:color w:val="auto"/>
              </w:rPr>
              <w:t>Consumer:</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Home equity lines and loans</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38,324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39,884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78,208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79,445</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70,488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3,291</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Recreational finance</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38,718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488</w:t>
            </w:r>
          </w:p>
        </w:tc>
        <w:tc>
          <w:tcPr>
            <w:tcW w:w="80" w:type="dxa"/>
            <w:vAlign w:val="bottom"/>
          </w:tcPr>
          <w:p>
            <w:pPr>
              <w:spacing w:after="0"/>
              <w:rPr>
                <w:sz w:val="16"/>
                <w:szCs w:val="16"/>
                <w:color w:val="auto"/>
              </w:rPr>
            </w:pPr>
          </w:p>
        </w:tc>
      </w:tr>
      <w:tr>
        <w:trPr>
          <w:trHeight w:val="195"/>
        </w:trPr>
        <w:tc>
          <w:tcPr>
            <w:tcW w:w="34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Automobile</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36,075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40,318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36,266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34,037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FF0FC"/>
          </w:tcPr>
          <w:p>
            <w:pPr>
              <w:spacing w:after="0"/>
              <w:rPr>
                <w:sz w:val="16"/>
                <w:szCs w:val="16"/>
                <w:color w:val="auto"/>
              </w:rPr>
            </w:pPr>
          </w:p>
        </w:tc>
      </w:tr>
      <w:tr>
        <w:trPr>
          <w:trHeight w:val="189"/>
        </w:trPr>
        <w:tc>
          <w:tcPr>
            <w:tcW w:w="3420" w:type="dxa"/>
            <w:vAlign w:val="bottom"/>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48,741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48,822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6"/>
                <w:szCs w:val="16"/>
                <w:color w:val="auto"/>
              </w:rPr>
            </w:pPr>
          </w:p>
        </w:tc>
      </w:tr>
      <w:tr>
        <w:trPr>
          <w:trHeight w:val="232"/>
        </w:trPr>
        <w:tc>
          <w:tcPr>
            <w:tcW w:w="3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1,005,944</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1,423,382</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2,429,326</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2,633,005</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2,060,083</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21,031</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66,462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normal course of business, the Company modifies loans to maximize recovery efforts from borrowers experiencing financial difficulty. Such loan modifications typically include payment deferrals and interest rate reductions but may also include other modified terms. Those modified loans may be considered nonaccrual if the Company does not expect to collect the contractual cash flows owed under the loan agreement. On January 1, 2023 the Company adopted amended guidance that eliminated the accounting guidance for troubled debt restructurings while expanding disclosure requirements for certain loan refinancings and restructurings by creditors when a borrower is experiencing financial difficulty. The amended guidance also requires disclosure of current period gross charge-offs by year of origination.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right="260" w:firstLine="468"/>
        <w:spacing w:after="0" w:line="275" w:lineRule="auto"/>
        <w:rPr>
          <w:sz w:val="20"/>
          <w:szCs w:val="20"/>
          <w:color w:val="auto"/>
        </w:rPr>
      </w:pPr>
      <w:r>
        <w:rPr>
          <w:rFonts w:ascii="Arial" w:cs="Arial" w:eastAsia="Arial" w:hAnsi="Arial"/>
          <w:sz w:val="18"/>
          <w:szCs w:val="18"/>
          <w:color w:val="auto"/>
        </w:rPr>
        <w:t>The table that follows summarizes the Company’s loan modification activities to borrowers experiencing financial difficulty for the three-month and nine-month periods ended September 30,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60" w:type="dxa"/>
            <w:vAlign w:val="bottom"/>
            <w:gridSpan w:val="7"/>
          </w:tcPr>
          <w:p>
            <w:pPr>
              <w:ind w:left="180"/>
              <w:spacing w:after="0"/>
              <w:rPr>
                <w:sz w:val="20"/>
                <w:szCs w:val="20"/>
                <w:color w:val="auto"/>
              </w:rPr>
            </w:pPr>
            <w:r>
              <w:rPr>
                <w:rFonts w:ascii="Arial" w:cs="Arial" w:eastAsia="Arial" w:hAnsi="Arial"/>
                <w:sz w:val="13"/>
                <w:szCs w:val="13"/>
                <w:b w:val="1"/>
                <w:bCs w:val="1"/>
                <w:color w:val="auto"/>
              </w:rPr>
              <w:t>Amortized cost at September 30, 2023</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Combination of</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Percent of 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63"/>
              <w:spacing w:after="0"/>
              <w:rPr>
                <w:sz w:val="20"/>
                <w:szCs w:val="20"/>
                <w:color w:val="auto"/>
              </w:rPr>
            </w:pPr>
            <w:r>
              <w:rPr>
                <w:rFonts w:ascii="Arial" w:cs="Arial" w:eastAsia="Arial" w:hAnsi="Arial"/>
                <w:sz w:val="13"/>
                <w:szCs w:val="13"/>
                <w:b w:val="1"/>
                <w:bCs w:val="1"/>
                <w:color w:val="auto"/>
              </w:rPr>
              <w:t>Payment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63"/>
              <w:spacing w:after="0"/>
              <w:rPr>
                <w:sz w:val="20"/>
                <w:szCs w:val="20"/>
                <w:color w:val="auto"/>
              </w:rPr>
            </w:pPr>
            <w:r>
              <w:rPr>
                <w:rFonts w:ascii="Arial" w:cs="Arial" w:eastAsia="Arial" w:hAnsi="Arial"/>
                <w:sz w:val="13"/>
                <w:szCs w:val="13"/>
                <w:b w:val="1"/>
                <w:bCs w:val="1"/>
                <w:color w:val="auto"/>
                <w:w w:val="98"/>
              </w:rPr>
              <w:t>Interest Rate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Modification</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Loan Class 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03"/>
              <w:spacing w:after="0"/>
              <w:rPr>
                <w:sz w:val="20"/>
                <w:szCs w:val="20"/>
                <w:color w:val="auto"/>
              </w:rPr>
            </w:pPr>
            <w:r>
              <w:rPr>
                <w:rFonts w:ascii="Arial" w:cs="Arial" w:eastAsia="Arial" w:hAnsi="Arial"/>
                <w:sz w:val="13"/>
                <w:szCs w:val="13"/>
                <w:b w:val="1"/>
                <w:bCs w:val="1"/>
                <w:color w:val="auto"/>
              </w:rPr>
              <w:t>Deferral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Arial" w:cs="Arial" w:eastAsia="Arial" w:hAnsi="Arial"/>
                <w:sz w:val="13"/>
                <w:szCs w:val="13"/>
                <w:b w:val="1"/>
                <w:bCs w:val="1"/>
                <w:color w:val="auto"/>
              </w:rPr>
              <w:t>Reduction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Types (a)</w:t>
            </w:r>
          </w:p>
        </w:tc>
        <w:tc>
          <w:tcPr>
            <w:tcW w:w="180" w:type="dxa"/>
            <w:vAlign w:val="bottom"/>
          </w:tcPr>
          <w:p>
            <w:pPr>
              <w:spacing w:after="0"/>
              <w:rPr>
                <w:sz w:val="15"/>
                <w:szCs w:val="15"/>
                <w:color w:val="auto"/>
              </w:rPr>
            </w:pPr>
          </w:p>
        </w:tc>
        <w:tc>
          <w:tcPr>
            <w:tcW w:w="820" w:type="dxa"/>
            <w:vAlign w:val="bottom"/>
          </w:tcPr>
          <w:p>
            <w:pPr>
              <w:jc w:val="right"/>
              <w:ind w:right="163"/>
              <w:spacing w:after="0"/>
              <w:rPr>
                <w:sz w:val="20"/>
                <w:szCs w:val="20"/>
                <w:color w:val="auto"/>
              </w:rPr>
            </w:pPr>
            <w:r>
              <w:rPr>
                <w:rFonts w:ascii="Arial" w:cs="Arial" w:eastAsia="Arial" w:hAnsi="Arial"/>
                <w:sz w:val="13"/>
                <w:szCs w:val="13"/>
                <w:b w:val="1"/>
                <w:bCs w:val="1"/>
                <w:color w:val="auto"/>
              </w:rPr>
              <w:t>Total (b)</w:t>
            </w:r>
          </w:p>
        </w:tc>
        <w:tc>
          <w:tcPr>
            <w:tcW w:w="20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Period End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60" w:lineRule="exact"/>
              <w:rPr>
                <w:sz w:val="20"/>
                <w:szCs w:val="20"/>
                <w:color w:val="auto"/>
              </w:rPr>
            </w:pPr>
            <w:r>
              <w:rPr>
                <w:rFonts w:ascii="Arial" w:cs="Arial" w:eastAsia="Arial" w:hAnsi="Arial"/>
                <w:sz w:val="16"/>
                <w:szCs w:val="16"/>
                <w:b w:val="1"/>
                <w:bCs w:val="1"/>
                <w:color w:val="auto"/>
                <w:w w:val="89"/>
              </w:rPr>
              <w:t>2023</w:t>
            </w:r>
          </w:p>
        </w:tc>
        <w:tc>
          <w:tcPr>
            <w:tcW w:w="2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Commercial, financial, leasing, etc.</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39,058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1,204</w:t>
            </w:r>
          </w:p>
        </w:tc>
        <w:tc>
          <w:tcPr>
            <w:tcW w:w="2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40,262</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Real estate: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273,201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279,454</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0.78 %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 builder and developer</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Other commercial construction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215,598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215,598</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54,685</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0.24 %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 — limited documentation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1,721</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0.18 %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Consumer:</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Home equity lines and loans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Recreational finance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306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Automobile</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583,043</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9,053</w:t>
            </w:r>
          </w:p>
        </w:tc>
        <w:tc>
          <w:tcPr>
            <w:tcW w:w="22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592,096</w:t>
            </w:r>
          </w:p>
        </w:tc>
        <w:tc>
          <w:tcPr>
            <w:tcW w:w="146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0.45 </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FF0FC"/>
          </w:tcPr>
          <w:p>
            <w:pPr>
              <w:spacing w:after="0"/>
              <w:rPr>
                <w:sz w:val="14"/>
                <w:szCs w:val="14"/>
                <w:color w:val="auto"/>
              </w:rPr>
            </w:pPr>
          </w:p>
        </w:tc>
        <w:tc>
          <w:tcPr>
            <w:tcW w:w="3060" w:type="dxa"/>
            <w:vAlign w:val="bottom"/>
            <w:gridSpan w:val="4"/>
            <w:shd w:val="clear" w:color="auto" w:fill="CFF0FC"/>
          </w:tcPr>
          <w:p>
            <w:pPr>
              <w:spacing w:after="0" w:line="168" w:lineRule="exact"/>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line="160" w:lineRule="exact"/>
              <w:rPr>
                <w:sz w:val="20"/>
                <w:szCs w:val="20"/>
                <w:color w:val="auto"/>
              </w:rPr>
            </w:pPr>
            <w:r>
              <w:rPr>
                <w:rFonts w:ascii="Arial" w:cs="Arial" w:eastAsia="Arial" w:hAnsi="Arial"/>
                <w:sz w:val="16"/>
                <w:szCs w:val="16"/>
                <w:b w:val="1"/>
                <w:bCs w:val="1"/>
                <w:color w:val="auto"/>
                <w:w w:val="89"/>
              </w:rPr>
              <w:t>2023</w:t>
            </w:r>
          </w:p>
        </w:tc>
        <w:tc>
          <w:tcPr>
            <w:tcW w:w="228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86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9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8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9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8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1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Commercial, financial, leasing, etc.</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93,583</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95,623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0.21 %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30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Real estate:</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440,195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454,445</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 builder and developer</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70,683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70,683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6.42 %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Other commercial construction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431,668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439,921</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120,632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125,157</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0.56 %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Residential — limited documentation</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9,971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10,670</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30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Consumer:</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Home equity lines and loans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306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Recreational finance</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gridSpan w:val="4"/>
          </w:tcPr>
          <w:p>
            <w:pPr>
              <w:ind w:left="160"/>
              <w:spacing w:after="0"/>
              <w:rPr>
                <w:sz w:val="20"/>
                <w:szCs w:val="20"/>
                <w:color w:val="auto"/>
              </w:rPr>
            </w:pPr>
            <w:r>
              <w:rPr>
                <w:rFonts w:ascii="Arial" w:cs="Arial" w:eastAsia="Arial" w:hAnsi="Arial"/>
                <w:sz w:val="16"/>
                <w:szCs w:val="16"/>
                <w:color w:val="auto"/>
              </w:rPr>
              <w:t>Automobile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306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1,167,728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515</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ind w:left="660"/>
              <w:spacing w:after="0"/>
              <w:rPr>
                <w:sz w:val="20"/>
                <w:szCs w:val="20"/>
                <w:color w:val="auto"/>
              </w:rPr>
            </w:pPr>
            <w:r>
              <w:rPr>
                <w:rFonts w:ascii="Arial" w:cs="Arial" w:eastAsia="Arial" w:hAnsi="Arial"/>
                <w:sz w:val="16"/>
                <w:szCs w:val="16"/>
                <w:color w:val="auto"/>
                <w:w w:val="87"/>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29,823</w:t>
            </w:r>
          </w:p>
        </w:tc>
        <w:tc>
          <w:tcPr>
            <w:tcW w:w="22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1,198,066</w:t>
            </w:r>
          </w:p>
        </w:tc>
        <w:tc>
          <w:tcPr>
            <w:tcW w:w="1460" w:type="dxa"/>
            <w:vAlign w:val="bottom"/>
            <w:gridSpan w:val="4"/>
          </w:tcPr>
          <w:p>
            <w:pPr>
              <w:jc w:val="right"/>
              <w:spacing w:after="0" w:line="204" w:lineRule="exact"/>
              <w:rPr>
                <w:sz w:val="20"/>
                <w:szCs w:val="20"/>
                <w:color w:val="auto"/>
              </w:rPr>
            </w:pPr>
            <w:r>
              <w:rPr>
                <w:rFonts w:ascii="Arial" w:cs="Arial" w:eastAsia="Arial" w:hAnsi="Arial"/>
                <w:sz w:val="13"/>
                <w:szCs w:val="13"/>
                <w:color w:val="auto"/>
              </w:rPr>
              <w:t xml:space="preserve">0.91 </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-3810635</wp:posOffset>
            </wp:positionV>
            <wp:extent cx="6707505" cy="129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-3551555</wp:posOffset>
            </wp:positionV>
            <wp:extent cx="6707505" cy="12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-3291840</wp:posOffset>
            </wp:positionV>
            <wp:extent cx="6707505" cy="129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-3032760</wp:posOffset>
            </wp:positionV>
            <wp:extent cx="6707505" cy="129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-2773680</wp:posOffset>
            </wp:positionV>
            <wp:extent cx="6707505" cy="129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-2255520</wp:posOffset>
            </wp:positionV>
            <wp:extent cx="6707505" cy="152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-1318260</wp:posOffset>
            </wp:positionV>
            <wp:extent cx="6707505" cy="129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-1058545</wp:posOffset>
            </wp:positionV>
            <wp:extent cx="6707505" cy="129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(a)Predominantly payment deferrals combined with interest rate reductions.</w:t>
      </w:r>
    </w:p>
    <w:p>
      <w:pPr>
        <w:spacing w:after="0" w:line="31" w:lineRule="exact"/>
        <w:rPr>
          <w:sz w:val="20"/>
          <w:szCs w:val="20"/>
          <w:color w:val="auto"/>
        </w:rPr>
      </w:pPr>
    </w:p>
    <w:p>
      <w:pPr>
        <w:ind w:right="260"/>
        <w:spacing w:after="0" w:line="285" w:lineRule="auto"/>
        <w:rPr>
          <w:sz w:val="20"/>
          <w:szCs w:val="20"/>
          <w:color w:val="auto"/>
        </w:rPr>
      </w:pPr>
      <w:r>
        <w:rPr>
          <w:rFonts w:ascii="Arial" w:cs="Arial" w:eastAsia="Arial" w:hAnsi="Arial"/>
          <w:sz w:val="13"/>
          <w:szCs w:val="13"/>
          <w:i w:val="1"/>
          <w:iCs w:val="1"/>
          <w:color w:val="auto"/>
        </w:rPr>
        <w:t>(b)Includes approximately $45 million and $ 92 million, respectively, of loans guaranteed by government-related entities (predominantly first lien residential mortgage loans) for the three-month and nine-month periods ended September 30, 2023.</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62" w:right="620" w:bottom="1440" w:gutter="0" w:footer="0" w:header="0"/>
        </w:sectPr>
      </w:pPr>
    </w:p>
    <w:bookmarkStart w:id="24" w:name="page25"/>
    <w:bookmarkEnd w:id="24"/>
    <w:p>
      <w:pPr>
        <w:ind w:left="6"/>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left="6" w:right="180" w:firstLine="468"/>
        <w:spacing w:after="0" w:line="259" w:lineRule="auto"/>
        <w:rPr>
          <w:sz w:val="20"/>
          <w:szCs w:val="20"/>
          <w:color w:val="auto"/>
        </w:rPr>
      </w:pPr>
      <w:r>
        <w:rPr>
          <w:rFonts w:ascii="Arial" w:cs="Arial" w:eastAsia="Arial" w:hAnsi="Arial"/>
          <w:sz w:val="18"/>
          <w:szCs w:val="18"/>
          <w:color w:val="auto"/>
        </w:rPr>
        <w:t>The financial effects of the modifications for the three-month and nine-month periods ended September 30, 2023 include an increase in the weighted- average remaining term for commercial loans of 1.1 years and 1.0 years, respectively, for commercial real estate loans, inclusive of residential builder and development loans and other commercial construction loans, of 1.3 years and 1.2 years, respectively, and for residential real estate loans, of 11.5 years and 10.1 years, respectively.</w:t>
      </w:r>
    </w:p>
    <w:p>
      <w:pPr>
        <w:spacing w:after="0" w:line="67" w:lineRule="exact"/>
        <w:rPr>
          <w:sz w:val="20"/>
          <w:szCs w:val="20"/>
          <w:color w:val="auto"/>
        </w:rPr>
      </w:pPr>
    </w:p>
    <w:p>
      <w:pPr>
        <w:ind w:left="6" w:right="280" w:firstLine="468"/>
        <w:spacing w:after="0" w:line="256" w:lineRule="auto"/>
        <w:rPr>
          <w:sz w:val="20"/>
          <w:szCs w:val="20"/>
          <w:color w:val="auto"/>
        </w:rPr>
      </w:pPr>
      <w:r>
        <w:rPr>
          <w:rFonts w:ascii="Arial" w:cs="Arial" w:eastAsia="Arial" w:hAnsi="Arial"/>
          <w:sz w:val="18"/>
          <w:szCs w:val="18"/>
          <w:color w:val="auto"/>
        </w:rPr>
        <w:t>Modified loans to borrowers experiencing financial difficulty are subject to the allowance for credit losses methodology described herein, including the use of models to inform credit loss estimates and, to the extent larger balance commercial and commercial real estate loans are in nonaccrual status, a loan-by-loan analysis of expected credit losses on those individual loans. The following table summarizes the payment status, at September 30, 2023, of loans that were modified for the nine-month period ended September 30, 2023:</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80" w:type="dxa"/>
            <w:vAlign w:val="bottom"/>
            <w:gridSpan w:val="9"/>
          </w:tcPr>
          <w:p>
            <w:pPr>
              <w:jc w:val="right"/>
              <w:ind w:right="40"/>
              <w:spacing w:after="0"/>
              <w:rPr>
                <w:sz w:val="20"/>
                <w:szCs w:val="20"/>
                <w:color w:val="auto"/>
              </w:rPr>
            </w:pPr>
            <w:r>
              <w:rPr>
                <w:rFonts w:ascii="Arial" w:cs="Arial" w:eastAsia="Arial" w:hAnsi="Arial"/>
                <w:sz w:val="13"/>
                <w:szCs w:val="13"/>
                <w:b w:val="1"/>
                <w:bCs w:val="1"/>
                <w:color w:val="auto"/>
              </w:rPr>
              <w:t>Payment status at September 30, 2023 (amortized cost)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4"/>
              <w:spacing w:after="0"/>
              <w:rPr>
                <w:sz w:val="20"/>
                <w:szCs w:val="20"/>
                <w:color w:val="auto"/>
              </w:rPr>
            </w:pPr>
            <w:r>
              <w:rPr>
                <w:rFonts w:ascii="Arial" w:cs="Arial" w:eastAsia="Arial" w:hAnsi="Arial"/>
                <w:sz w:val="13"/>
                <w:szCs w:val="13"/>
                <w:b w:val="1"/>
                <w:bCs w:val="1"/>
                <w:color w:val="auto"/>
              </w:rPr>
              <w:t>Past Due 90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5"/>
              <w:spacing w:after="0"/>
              <w:rPr>
                <w:sz w:val="20"/>
                <w:szCs w:val="20"/>
                <w:color w:val="auto"/>
              </w:rPr>
            </w:pPr>
            <w:r>
              <w:rPr>
                <w:rFonts w:ascii="Arial" w:cs="Arial" w:eastAsia="Arial" w:hAnsi="Arial"/>
                <w:sz w:val="13"/>
                <w:szCs w:val="13"/>
                <w:b w:val="1"/>
                <w:bCs w:val="1"/>
                <w:color w:val="auto"/>
              </w:rPr>
              <w:t>30-89 Days</w:t>
            </w:r>
          </w:p>
        </w:tc>
        <w:tc>
          <w:tcPr>
            <w:tcW w:w="34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Days or More</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Arial" w:cs="Arial" w:eastAsia="Arial" w:hAnsi="Arial"/>
                <w:sz w:val="13"/>
                <w:szCs w:val="13"/>
                <w:b w:val="1"/>
                <w:bCs w:val="1"/>
                <w:color w:val="auto"/>
              </w:rPr>
              <w:t>Current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45"/>
              <w:spacing w:after="0"/>
              <w:rPr>
                <w:sz w:val="20"/>
                <w:szCs w:val="20"/>
                <w:color w:val="auto"/>
              </w:rPr>
            </w:pPr>
            <w:r>
              <w:rPr>
                <w:rFonts w:ascii="Arial" w:cs="Arial" w:eastAsia="Arial" w:hAnsi="Arial"/>
                <w:sz w:val="13"/>
                <w:szCs w:val="13"/>
                <w:b w:val="1"/>
                <w:bCs w:val="1"/>
                <w:color w:val="auto"/>
              </w:rPr>
              <w:t>Past Due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rPr>
              <w:t>(a)</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r>
      <w:tr>
        <w:trPr>
          <w:trHeight w:val="147"/>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b w:val="1"/>
                <w:bCs w:val="1"/>
                <w:color w:val="auto"/>
              </w:rPr>
              <w:t>Nine Months Ended September 30, 2023</w:t>
            </w:r>
          </w:p>
        </w:tc>
        <w:tc>
          <w:tcPr>
            <w:tcW w:w="29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4"/>
          </w:tcPr>
          <w:p>
            <w:pPr>
              <w:jc w:val="right"/>
              <w:ind w:right="644"/>
              <w:spacing w:after="0" w:line="148"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423"/>
        </w:trPr>
        <w:tc>
          <w:tcPr>
            <w:tcW w:w="2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6"/>
                <w:szCs w:val="16"/>
                <w:color w:val="auto"/>
              </w:rPr>
              <w:t>Commercial, financial, leasing, etc.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81,558</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2,326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11,739</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95,623</w:t>
            </w:r>
          </w:p>
        </w:tc>
        <w:tc>
          <w:tcPr>
            <w:tcW w:w="80" w:type="dxa"/>
            <w:vAlign w:val="bottom"/>
          </w:tcPr>
          <w:p>
            <w:pPr>
              <w:spacing w:after="0"/>
              <w:rPr>
                <w:sz w:val="24"/>
                <w:szCs w:val="24"/>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Real estate:</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433,428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454,445</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builder and developer</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70,683</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70,683</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160"/>
              <w:spacing w:after="0"/>
              <w:rPr>
                <w:sz w:val="20"/>
                <w:szCs w:val="20"/>
                <w:color w:val="auto"/>
              </w:rPr>
            </w:pPr>
            <w:r>
              <w:rPr>
                <w:rFonts w:ascii="Arial" w:cs="Arial" w:eastAsia="Arial" w:hAnsi="Arial"/>
                <w:sz w:val="16"/>
                <w:szCs w:val="16"/>
                <w:color w:val="auto"/>
              </w:rPr>
              <w:t>Other commercial construction</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439,921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439,921</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(b)</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79,331</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33,344</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12,482</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125,157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160"/>
              <w:spacing w:after="0"/>
              <w:rPr>
                <w:sz w:val="20"/>
                <w:szCs w:val="20"/>
                <w:color w:val="auto"/>
              </w:rPr>
            </w:pPr>
            <w:r>
              <w:rPr>
                <w:rFonts w:ascii="Arial" w:cs="Arial" w:eastAsia="Arial" w:hAnsi="Arial"/>
                <w:sz w:val="16"/>
                <w:szCs w:val="16"/>
                <w:color w:val="auto"/>
              </w:rPr>
              <w:t>Residential — limited documentation</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7,943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10,670</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Consumer:</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160"/>
              <w:spacing w:after="0"/>
              <w:rPr>
                <w:sz w:val="20"/>
                <w:szCs w:val="20"/>
                <w:color w:val="auto"/>
              </w:rPr>
            </w:pPr>
            <w:r>
              <w:rPr>
                <w:rFonts w:ascii="Arial" w:cs="Arial" w:eastAsia="Arial" w:hAnsi="Arial"/>
                <w:sz w:val="16"/>
                <w:szCs w:val="16"/>
                <w:color w:val="auto"/>
              </w:rPr>
              <w:t>Home equity lines and loans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Recreational finance</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3"/>
          </w:tcPr>
          <w:p>
            <w:pPr>
              <w:ind w:left="160"/>
              <w:spacing w:after="0"/>
              <w:rPr>
                <w:sz w:val="20"/>
                <w:szCs w:val="20"/>
                <w:color w:val="auto"/>
              </w:rPr>
            </w:pPr>
            <w:r>
              <w:rPr>
                <w:rFonts w:ascii="Arial" w:cs="Arial" w:eastAsia="Arial" w:hAnsi="Arial"/>
                <w:sz w:val="16"/>
                <w:szCs w:val="16"/>
                <w:color w:val="auto"/>
              </w:rPr>
              <w:t>Automobile</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7"/>
                <w:szCs w:val="17"/>
                <w:color w:val="auto"/>
              </w:rPr>
            </w:pPr>
          </w:p>
        </w:tc>
      </w:tr>
      <w:tr>
        <w:trPr>
          <w:trHeight w:val="205"/>
        </w:trPr>
        <w:tc>
          <w:tcPr>
            <w:tcW w:w="20" w:type="dxa"/>
            <w:vAlign w:val="bottom"/>
            <w:shd w:val="clear" w:color="auto" w:fill="CFF0FC"/>
          </w:tcPr>
          <w:p>
            <w:pPr>
              <w:spacing w:after="0"/>
              <w:rPr>
                <w:sz w:val="17"/>
                <w:szCs w:val="17"/>
                <w:color w:val="auto"/>
              </w:rPr>
            </w:pPr>
          </w:p>
        </w:tc>
        <w:tc>
          <w:tcPr>
            <w:tcW w:w="54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3"/>
          </w:tcPr>
          <w:p>
            <w:pPr>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1,114,412</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55,643</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28,011</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1,198,066</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
        </w:trPr>
        <w:tc>
          <w:tcPr>
            <w:tcW w:w="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r>
    </w:tbl>
    <w:p>
      <w:pPr>
        <w:spacing w:after="0" w:line="11" w:lineRule="exact"/>
        <w:rPr>
          <w:sz w:val="20"/>
          <w:szCs w:val="20"/>
          <w:color w:val="auto"/>
        </w:rPr>
      </w:pPr>
    </w:p>
    <w:p>
      <w:pPr>
        <w:ind w:left="386" w:hanging="386"/>
        <w:spacing w:after="0"/>
        <w:tabs>
          <w:tab w:leader="none" w:pos="386"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Predominantly loan modifications with payment deferrals.</w:t>
      </w:r>
    </w:p>
    <w:p>
      <w:pPr>
        <w:spacing w:after="0" w:line="20" w:lineRule="exact"/>
        <w:rPr>
          <w:rFonts w:ascii="Arial" w:cs="Arial" w:eastAsia="Arial" w:hAnsi="Arial"/>
          <w:sz w:val="13"/>
          <w:szCs w:val="13"/>
          <w:i w:val="1"/>
          <w:iCs w:val="1"/>
          <w:color w:val="auto"/>
        </w:rPr>
      </w:pPr>
    </w:p>
    <w:p>
      <w:pPr>
        <w:ind w:left="386" w:hanging="386"/>
        <w:spacing w:after="0"/>
        <w:tabs>
          <w:tab w:leader="none" w:pos="386"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Includes loans guaranteed by government-related entities classified as 30-89 days past due of $28 million and as past due 90 days or more of $11 million.</w:t>
      </w:r>
    </w:p>
    <w:p>
      <w:pPr>
        <w:spacing w:after="0" w:line="95" w:lineRule="exact"/>
        <w:rPr>
          <w:sz w:val="20"/>
          <w:szCs w:val="20"/>
          <w:color w:val="auto"/>
        </w:rPr>
      </w:pPr>
    </w:p>
    <w:p>
      <w:pPr>
        <w:ind w:left="6" w:firstLine="468"/>
        <w:spacing w:after="0" w:line="255" w:lineRule="auto"/>
        <w:rPr>
          <w:sz w:val="20"/>
          <w:szCs w:val="20"/>
          <w:color w:val="auto"/>
        </w:rPr>
      </w:pPr>
      <w:r>
        <w:rPr>
          <w:rFonts w:ascii="Arial" w:cs="Arial" w:eastAsia="Arial" w:hAnsi="Arial"/>
          <w:sz w:val="18"/>
          <w:szCs w:val="18"/>
          <w:color w:val="auto"/>
        </w:rPr>
        <w:t>Prior to January 1, 2023, if the borrower was experiencing financial difficulty such that the Company did not expect to collect the contractual cash flows owed under the original loan agreement and a concession in loan terms was granted, the Company considered the loan modification as a troubled debt restructuring. The table that follows summarizes the Company’s loan modification activities that were considered troubled debt restructurings for the three-month and nine- month periods ended September 30, 2022. The table is not comparative to the preceding table. The Company no longer designates modified loans as a troubled debt restructuring in conjunction with the adoption of amended accounting guidance on January 1, 2023.</w:t>
      </w:r>
    </w:p>
    <w:p>
      <w:pPr>
        <w:spacing w:after="0" w:line="169" w:lineRule="exact"/>
        <w:rPr>
          <w:sz w:val="20"/>
          <w:szCs w:val="20"/>
          <w:color w:val="auto"/>
        </w:rPr>
      </w:pPr>
    </w:p>
    <w:p>
      <w:pPr>
        <w:jc w:val="center"/>
        <w:ind w:right="14"/>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6"/>
          </w:cols>
          <w:pgMar w:left="654" w:top="562" w:right="640"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4"/>
              </w:rPr>
              <w:t>Pre-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ind w:left="580"/>
              <w:spacing w:after="0"/>
              <w:rPr>
                <w:sz w:val="20"/>
                <w:szCs w:val="20"/>
                <w:color w:val="auto"/>
              </w:rPr>
            </w:pPr>
            <w:r>
              <w:rPr>
                <w:rFonts w:ascii="Arial" w:cs="Arial" w:eastAsia="Arial" w:hAnsi="Arial"/>
                <w:sz w:val="13"/>
                <w:szCs w:val="13"/>
                <w:b w:val="1"/>
                <w:bCs w:val="1"/>
                <w:color w:val="auto"/>
              </w:rPr>
              <w:t>Post-modification (a)</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modificat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54"/>
              <w:spacing w:after="0"/>
              <w:rPr>
                <w:sz w:val="20"/>
                <w:szCs w:val="20"/>
                <w:color w:val="auto"/>
              </w:rPr>
            </w:pPr>
            <w:r>
              <w:rPr>
                <w:rFonts w:ascii="Arial" w:cs="Arial" w:eastAsia="Arial" w:hAnsi="Arial"/>
                <w:sz w:val="13"/>
                <w:szCs w:val="13"/>
                <w:b w:val="1"/>
                <w:bCs w:val="1"/>
                <w:color w:val="auto"/>
              </w:rPr>
              <w:t>ion</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Recorde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Combinati</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54"/>
              <w:spacing w:after="0"/>
              <w:rPr>
                <w:sz w:val="20"/>
                <w:szCs w:val="20"/>
                <w:color w:val="auto"/>
              </w:rPr>
            </w:pPr>
            <w:r>
              <w:rPr>
                <w:rFonts w:ascii="Arial" w:cs="Arial" w:eastAsia="Arial" w:hAnsi="Arial"/>
                <w:sz w:val="13"/>
                <w:szCs w:val="13"/>
                <w:b w:val="1"/>
                <w:bCs w:val="1"/>
                <w:color w:val="auto"/>
              </w:rPr>
              <w:t>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b w:val="1"/>
                <w:bCs w:val="1"/>
                <w:color w:val="auto"/>
              </w:rPr>
              <w:t>Interest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b w:val="1"/>
                <w:bCs w:val="1"/>
                <w:color w:val="auto"/>
              </w:rPr>
              <w:t>on of</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Investme</w:t>
            </w:r>
          </w:p>
        </w:tc>
        <w:tc>
          <w:tcPr>
            <w:tcW w:w="2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Principal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54"/>
              <w:spacing w:after="0"/>
              <w:rPr>
                <w:sz w:val="20"/>
                <w:szCs w:val="20"/>
                <w:color w:val="auto"/>
              </w:rPr>
            </w:pPr>
            <w:r>
              <w:rPr>
                <w:rFonts w:ascii="Arial" w:cs="Arial" w:eastAsia="Arial" w:hAnsi="Arial"/>
                <w:sz w:val="13"/>
                <w:szCs w:val="13"/>
                <w:b w:val="1"/>
                <w:bCs w:val="1"/>
                <w:color w:val="auto"/>
                <w:w w:val="99"/>
              </w:rPr>
              <w:t>Rate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Concessio</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b w:val="1"/>
                <w:bCs w:val="1"/>
                <w:color w:val="auto"/>
              </w:rPr>
              <w:t>Number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54"/>
              <w:spacing w:after="0"/>
              <w:rPr>
                <w:sz w:val="20"/>
                <w:szCs w:val="20"/>
                <w:color w:val="auto"/>
              </w:rPr>
            </w:pPr>
            <w:r>
              <w:rPr>
                <w:rFonts w:ascii="Arial" w:cs="Arial" w:eastAsia="Arial" w:hAnsi="Arial"/>
                <w:sz w:val="13"/>
                <w:szCs w:val="13"/>
                <w:b w:val="1"/>
                <w:bCs w:val="1"/>
                <w:color w:val="auto"/>
                <w:w w:val="97"/>
              </w:rPr>
              <w:t>nt</w:t>
            </w:r>
          </w:p>
        </w:tc>
        <w:tc>
          <w:tcPr>
            <w:tcW w:w="2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Deferral</w:t>
            </w:r>
          </w:p>
        </w:tc>
        <w:tc>
          <w:tcPr>
            <w:tcW w:w="2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Reduction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b w:val="1"/>
                <w:bCs w:val="1"/>
                <w:color w:val="auto"/>
              </w:rPr>
              <w:t>n Types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60" w:type="dxa"/>
            <w:vAlign w:val="bottom"/>
            <w:tcBorders>
              <w:left w:val="single" w:sz="8" w:color="CFF0FC"/>
            </w:tcBorders>
            <w:gridSpan w:val="2"/>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Three Months Ended September 30, 2022</w:t>
            </w: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80" w:type="dxa"/>
            <w:vAlign w:val="bottom"/>
            <w:tcBorders>
              <w:left w:val="single" w:sz="8" w:color="CFF0FC"/>
              <w:right w:val="single" w:sz="8" w:color="auto"/>
            </w:tcBorders>
            <w:shd w:val="clear" w:color="auto" w:fill="000000"/>
          </w:tcPr>
          <w:p>
            <w:pPr>
              <w:spacing w:after="0"/>
              <w:rPr>
                <w:sz w:val="3"/>
                <w:szCs w:val="3"/>
                <w:color w:val="auto"/>
              </w:rPr>
            </w:pPr>
          </w:p>
        </w:tc>
        <w:tc>
          <w:tcPr>
            <w:tcW w:w="15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Arial" w:cs="Arial" w:eastAsia="Arial" w:hAnsi="Arial"/>
                <w:sz w:val="13"/>
                <w:szCs w:val="13"/>
                <w:color w:val="auto"/>
              </w:rPr>
              <w:t>Commercial, financial, leasing, etc.</w:t>
            </w:r>
          </w:p>
        </w:tc>
        <w:tc>
          <w:tcPr>
            <w:tcW w:w="680" w:type="dxa"/>
            <w:vAlign w:val="bottom"/>
          </w:tcPr>
          <w:p>
            <w:pPr>
              <w:jc w:val="right"/>
              <w:spacing w:after="0"/>
              <w:rPr>
                <w:sz w:val="20"/>
                <w:szCs w:val="20"/>
                <w:color w:val="auto"/>
              </w:rPr>
            </w:pPr>
            <w:r>
              <w:rPr>
                <w:rFonts w:ascii="Arial" w:cs="Arial" w:eastAsia="Arial" w:hAnsi="Arial"/>
                <w:sz w:val="13"/>
                <w:szCs w:val="13"/>
                <w:color w:val="auto"/>
              </w:rPr>
              <w:t>70</w:t>
            </w:r>
          </w:p>
        </w:tc>
        <w:tc>
          <w:tcPr>
            <w:tcW w:w="3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32,451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11,237</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446</w:t>
            </w:r>
          </w:p>
        </w:tc>
        <w:tc>
          <w:tcPr>
            <w:tcW w:w="4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229</w:t>
            </w:r>
          </w:p>
        </w:tc>
        <w:tc>
          <w:tcPr>
            <w:tcW w:w="2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21,519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33,431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Real estate:</w:t>
            </w: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Commercial</w:t>
            </w: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22,951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7,222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15,543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22,887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Residential</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14,380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3,470</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Residential — limited documentation</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Consumer:</w:t>
            </w: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Home equity lines and loans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1,504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Recreational finance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Automobile</w:t>
            </w:r>
          </w:p>
        </w:tc>
        <w:tc>
          <w:tcPr>
            <w:tcW w:w="680" w:type="dxa"/>
            <w:vAlign w:val="bottom"/>
          </w:tcPr>
          <w:p>
            <w:pPr>
              <w:jc w:val="right"/>
              <w:spacing w:after="0"/>
              <w:rPr>
                <w:sz w:val="20"/>
                <w:szCs w:val="20"/>
                <w:color w:val="auto"/>
              </w:rPr>
            </w:pPr>
            <w:r>
              <w:rPr>
                <w:rFonts w:ascii="Arial" w:cs="Arial" w:eastAsia="Arial" w:hAnsi="Arial"/>
                <w:sz w:val="13"/>
                <w:szCs w:val="13"/>
                <w:color w:val="auto"/>
              </w:rPr>
              <w:t>474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9,755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Other</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16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680" w:type="dxa"/>
            <w:vAlign w:val="bottom"/>
          </w:tcPr>
          <w:p>
            <w:pPr>
              <w:jc w:val="right"/>
              <w:spacing w:after="0"/>
              <w:rPr>
                <w:sz w:val="20"/>
                <w:szCs w:val="20"/>
                <w:color w:val="auto"/>
              </w:rPr>
            </w:pPr>
            <w:r>
              <w:rPr>
                <w:rFonts w:ascii="Arial" w:cs="Arial" w:eastAsia="Arial" w:hAnsi="Arial"/>
                <w:sz w:val="13"/>
                <w:szCs w:val="13"/>
                <w:color w:val="auto"/>
              </w:rPr>
              <w:t>839</w:t>
            </w:r>
          </w:p>
        </w:tc>
        <w:tc>
          <w:tcPr>
            <w:tcW w:w="3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88,700</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48,275</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446</w:t>
            </w:r>
          </w:p>
        </w:tc>
        <w:tc>
          <w:tcPr>
            <w:tcW w:w="4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351</w:t>
            </w:r>
          </w:p>
        </w:tc>
        <w:tc>
          <w:tcPr>
            <w:tcW w:w="2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40,728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89,800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580" w:type="dxa"/>
            <w:vAlign w:val="bottom"/>
            <w:tcBorders>
              <w:top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16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Commercial, financial, leasing, etc.</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79,437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49,671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w:t>
            </w:r>
          </w:p>
        </w:tc>
        <w:tc>
          <w:tcPr>
            <w:tcW w:w="42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30,262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81,371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Arial" w:cs="Arial" w:eastAsia="Arial" w:hAnsi="Arial"/>
                <w:sz w:val="13"/>
                <w:szCs w:val="13"/>
                <w:color w:val="auto"/>
              </w:rPr>
              <w:t>Real estate:</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Commercial</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33,349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13,052</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17,728</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Residential</w:t>
            </w:r>
          </w:p>
        </w:tc>
        <w:tc>
          <w:tcPr>
            <w:tcW w:w="680" w:type="dxa"/>
            <w:vAlign w:val="bottom"/>
          </w:tcPr>
          <w:p>
            <w:pPr>
              <w:jc w:val="right"/>
              <w:spacing w:after="0"/>
              <w:rPr>
                <w:sz w:val="20"/>
                <w:szCs w:val="20"/>
                <w:color w:val="auto"/>
              </w:rPr>
            </w:pPr>
            <w:r>
              <w:rPr>
                <w:rFonts w:ascii="Arial" w:cs="Arial" w:eastAsia="Arial" w:hAnsi="Arial"/>
                <w:sz w:val="13"/>
                <w:szCs w:val="13"/>
                <w:color w:val="auto"/>
              </w:rPr>
              <w:t>221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56,912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40,821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18,469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59,290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Residential — limited documentation</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rPr>
                <w:sz w:val="20"/>
                <w:szCs w:val="20"/>
                <w:color w:val="auto"/>
              </w:rPr>
            </w:pPr>
            <w:r>
              <w:rPr>
                <w:rFonts w:ascii="Arial" w:cs="Arial" w:eastAsia="Arial" w:hAnsi="Arial"/>
                <w:sz w:val="13"/>
                <w:szCs w:val="13"/>
                <w:color w:val="auto"/>
              </w:rPr>
              <w:t>Consumer:</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Home equity lines and loans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6,089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Recreational finance</w:t>
            </w:r>
          </w:p>
        </w:tc>
        <w:tc>
          <w:tcPr>
            <w:tcW w:w="680" w:type="dxa"/>
            <w:vAlign w:val="bottom"/>
          </w:tcPr>
          <w:p>
            <w:pPr>
              <w:jc w:val="right"/>
              <w:spacing w:after="0"/>
              <w:rPr>
                <w:sz w:val="20"/>
                <w:szCs w:val="20"/>
                <w:color w:val="auto"/>
              </w:rPr>
            </w:pPr>
            <w:r>
              <w:rPr>
                <w:rFonts w:ascii="Arial" w:cs="Arial" w:eastAsia="Arial" w:hAnsi="Arial"/>
                <w:sz w:val="13"/>
                <w:szCs w:val="13"/>
                <w:color w:val="auto"/>
              </w:rPr>
              <w:t>514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19,138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tcBorders>
              <w:left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Automobile</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rPr>
                <w:sz w:val="20"/>
                <w:szCs w:val="20"/>
                <w:color w:val="auto"/>
              </w:rPr>
            </w:pPr>
            <w:r>
              <w:rPr>
                <w:rFonts w:ascii="Arial" w:cs="Arial" w:eastAsia="Arial" w:hAnsi="Arial"/>
                <w:sz w:val="13"/>
                <w:szCs w:val="13"/>
                <w:color w:val="auto"/>
              </w:rPr>
              <w:t>Other</w:t>
            </w: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160" w:type="dxa"/>
            <w:vAlign w:val="bottom"/>
            <w:tcBorders>
              <w:left w:val="single" w:sz="8" w:color="CFF0FC"/>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2,691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227,509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160,742</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67,113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231,516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i w:val="1"/>
          <w:iCs w:val="1"/>
          <w:color w:val="auto"/>
        </w:rPr>
        <w:t>_____________________________________________</w:t>
      </w:r>
    </w:p>
    <w:p>
      <w:pPr>
        <w:spacing w:after="0" w:line="7"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i w:val="1"/>
          <w:iCs w:val="1"/>
          <w:color w:val="auto"/>
        </w:rPr>
        <w:t>(a)Financial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73" w:lineRule="exact"/>
        <w:rPr>
          <w:sz w:val="20"/>
          <w:szCs w:val="20"/>
          <w:color w:val="auto"/>
        </w:rPr>
      </w:pPr>
    </w:p>
    <w:p>
      <w:pPr>
        <w:ind w:right="220" w:firstLine="468"/>
        <w:spacing w:after="0" w:line="259" w:lineRule="auto"/>
        <w:rPr>
          <w:sz w:val="20"/>
          <w:szCs w:val="20"/>
          <w:color w:val="auto"/>
        </w:rPr>
      </w:pPr>
      <w:r>
        <w:rPr>
          <w:rFonts w:ascii="Arial" w:cs="Arial" w:eastAsia="Arial" w:hAnsi="Arial"/>
          <w:sz w:val="18"/>
          <w:szCs w:val="18"/>
          <w:color w:val="auto"/>
        </w:rPr>
        <w:t>The amount of foreclosed property held by the Company, predominantly consisting of residential real estate, was $37 million and $41 million at September 30, 2023 and December 31, 2022, respectively. There were $182 million and $201 million at September 30, 2023 and December 31, 2022, respectively, of loans secured by residential real estate that were in the process of foreclosure. Of all loans in the process of foreclosure at September 30, 2023, approximately 35% were government guaranteed.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15"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The Company pledged certain loans to secure outstanding borrowings and available lines of credit. At September 30, 2023, the Company pledged approximately $13.1 billion of commercial loans and leases, $16.3 billion of commercial real estate loans, $16.9 billion of one-to-four family residential real estate loans, $2.6 billion of home equity loans and lines of credit and $10.8 billion of other consumer loans. At December 31, 2022, the Company pledged approximately $10.5 billion of commercial loans and leases, $16.3 billion of commercial real estate loans, $19.5 billion of one-to-four family residential real estate loans, $2.4 billion of homes equity loans and lines of credit and $10.7 billion of other consumer loans.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w w:val="98"/>
              </w:rPr>
              <w:t>September 30,</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8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7"/>
                <w:szCs w:val="17"/>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7"/>
        </w:trPr>
        <w:tc>
          <w:tcPr>
            <w:tcW w:w="7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Short-term borrowings</w:t>
            </w:r>
          </w:p>
        </w:tc>
        <w:tc>
          <w:tcPr>
            <w:tcW w:w="160" w:type="dxa"/>
            <w:vAlign w:val="bottom"/>
          </w:tcPr>
          <w:p>
            <w:pPr>
              <w:spacing w:after="0"/>
              <w:rPr>
                <w:sz w:val="18"/>
                <w:szCs w:val="18"/>
                <w:color w:val="auto"/>
              </w:rPr>
            </w:pPr>
          </w:p>
        </w:tc>
        <w:tc>
          <w:tcPr>
            <w:tcW w:w="2140" w:type="dxa"/>
            <w:vAlign w:val="bottom"/>
            <w:gridSpan w:val="3"/>
          </w:tcPr>
          <w:p>
            <w:pPr>
              <w:ind w:left="900"/>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Federal funds purchased and repurchase agreements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530,663</w:t>
            </w:r>
          </w:p>
        </w:tc>
        <w:tc>
          <w:tcPr>
            <w:tcW w:w="8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354,670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00"/>
              <w:spacing w:after="0"/>
              <w:rPr>
                <w:sz w:val="20"/>
                <w:szCs w:val="20"/>
                <w:color w:val="auto"/>
              </w:rPr>
            </w:pPr>
            <w:r>
              <w:rPr>
                <w:rFonts w:ascii="Arial" w:cs="Arial" w:eastAsia="Arial" w:hAnsi="Arial"/>
                <w:sz w:val="16"/>
                <w:szCs w:val="16"/>
                <w:color w:val="auto"/>
              </w:rPr>
              <w:t>FHLB Advances</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6,200,000</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3,200,281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short-term borrowings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6,730,663</w:t>
            </w:r>
          </w:p>
        </w:tc>
        <w:tc>
          <w:tcPr>
            <w:tcW w:w="84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3,554,951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3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7300" w:type="dxa"/>
            <w:vAlign w:val="bottom"/>
          </w:tcPr>
          <w:p>
            <w:pPr>
              <w:ind w:left="100"/>
              <w:spacing w:after="0"/>
              <w:rPr>
                <w:sz w:val="20"/>
                <w:szCs w:val="20"/>
                <w:color w:val="auto"/>
              </w:rPr>
            </w:pPr>
            <w:r>
              <w:rPr>
                <w:rFonts w:ascii="Arial" w:cs="Arial" w:eastAsia="Arial" w:hAnsi="Arial"/>
                <w:sz w:val="16"/>
                <w:szCs w:val="16"/>
                <w:color w:val="auto"/>
              </w:rPr>
              <w:t>Asset-backed notes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516,668</w:t>
            </w:r>
          </w:p>
        </w:tc>
        <w:tc>
          <w:tcPr>
            <w:tcW w:w="8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FHLB Advances</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4,956</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00"/>
              <w:spacing w:after="0"/>
              <w:rPr>
                <w:sz w:val="20"/>
                <w:szCs w:val="20"/>
                <w:color w:val="auto"/>
              </w:rPr>
            </w:pPr>
            <w:r>
              <w:rPr>
                <w:rFonts w:ascii="Arial" w:cs="Arial" w:eastAsia="Arial" w:hAnsi="Arial"/>
                <w:sz w:val="16"/>
                <w:szCs w:val="16"/>
                <w:color w:val="auto"/>
              </w:rPr>
              <w:t>Senior notes - M&amp;T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1,377,985</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1,220,965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Senior notes - M&amp;T Bank</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3,741,161</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1,249,141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00"/>
              <w:spacing w:after="0"/>
              <w:rPr>
                <w:sz w:val="20"/>
                <w:szCs w:val="20"/>
                <w:color w:val="auto"/>
              </w:rPr>
            </w:pPr>
            <w:r>
              <w:rPr>
                <w:rFonts w:ascii="Arial" w:cs="Arial" w:eastAsia="Arial" w:hAnsi="Arial"/>
                <w:sz w:val="16"/>
                <w:szCs w:val="16"/>
                <w:color w:val="auto"/>
              </w:rPr>
              <w:t>Subordinated notes - M&amp;T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76,339</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Subordinated notes - M&amp;T Bank</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857,876</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866,296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00"/>
              <w:spacing w:after="0"/>
              <w:rPr>
                <w:sz w:val="20"/>
                <w:szCs w:val="20"/>
                <w:color w:val="auto"/>
              </w:rPr>
            </w:pPr>
            <w:r>
              <w:rPr>
                <w:rFonts w:ascii="Arial" w:cs="Arial" w:eastAsia="Arial" w:hAnsi="Arial"/>
                <w:sz w:val="16"/>
                <w:szCs w:val="16"/>
                <w:color w:val="auto"/>
              </w:rPr>
              <w:t>Junior subordinated debentures - M&amp;T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538,932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536,080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9,509</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80"/>
              <w:spacing w:after="0"/>
              <w:rPr>
                <w:sz w:val="20"/>
                <w:szCs w:val="20"/>
                <w:color w:val="auto"/>
              </w:rPr>
            </w:pPr>
            <w:r>
              <w:rPr>
                <w:rFonts w:ascii="Arial" w:cs="Arial" w:eastAsia="Arial" w:hAnsi="Arial"/>
                <w:sz w:val="16"/>
                <w:szCs w:val="16"/>
                <w:color w:val="auto"/>
              </w:rPr>
              <w:t>Total long-term borrowings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7,123,426</w:t>
            </w:r>
          </w:p>
        </w:tc>
        <w:tc>
          <w:tcPr>
            <w:tcW w:w="8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3,964,537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2023, a subsidiary of M&amp;T Bank issued asset- backed notes secured by equipment finance loans and leases. A total of $550 million of such notes, representing the senior-most notes in the securitization, were purchased by third parties. Those asset-backed notes had a weighted average estimated life of approximately two years and a weighted average interest rate of 5.84% at the time of securitization. Further information about this financing transaction is provided in note 11 of Notes to Financial Statements herein.</w:t>
      </w:r>
    </w:p>
    <w:p>
      <w:pPr>
        <w:spacing w:after="0" w:line="72"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In January 2023, M&amp;T issued $1.0 billion of senior notes that mature in January 2034 and pay a 5.05% fixed rate semi-annually until January 2033 after which SOFR plus 1.85% will be paid quarterly until maturity. Additionally, in January 2023 M&amp;T Bank issued $1.3 billion of senior notes that mature in January 2026 and pay a fixed rate of 4.65% semi -annually until maturity and $1.2 billion of senior notes that mature in January 2028 and pay a fixed rate of 4.70% semi- annually until maturity. In October 2023, M&amp;T issued $750 million of senior notes that mature in October 2029 and pay a fixed rate of 7.41% semi-annually until October 2028 after which SOFR plus 2.80% will be paid quarterly until maturity.</w:t>
      </w:r>
    </w:p>
    <w:p>
      <w:pPr>
        <w:spacing w:after="0" w:line="73" w:lineRule="exact"/>
        <w:rPr>
          <w:sz w:val="20"/>
          <w:szCs w:val="20"/>
          <w:color w:val="auto"/>
        </w:rPr>
      </w:pPr>
    </w:p>
    <w:p>
      <w:pPr>
        <w:ind w:right="520" w:firstLine="468"/>
        <w:spacing w:after="0" w:line="259" w:lineRule="auto"/>
        <w:rPr>
          <w:sz w:val="20"/>
          <w:szCs w:val="20"/>
          <w:color w:val="auto"/>
        </w:rPr>
      </w:pPr>
      <w:r>
        <w:rPr>
          <w:rFonts w:ascii="Arial" w:cs="Arial" w:eastAsia="Arial" w:hAnsi="Arial"/>
          <w:sz w:val="18"/>
          <w:szCs w:val="18"/>
          <w:color w:val="auto"/>
        </w:rPr>
        <w:t>M&amp;T Bank had secured borrowing facilities available with the FHLB of New York and the FRB of New York totaling approximately $14.3 billion and $15.8 billion, respectively, at September 30, 2023. M&amp;T Bank is required to pledge loans and investment securities as collateral for these borrowing facilities and could increase the availability under such facilities, or other available programs including the Bank Term Funding Program of the FRB of New York, by pledging additional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2023 and December 31, 2022, the Company had $61 million and $74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September 30, 2023 and December 31, 2022, the Company had deferred revenue of $51 million and $48 million, respectively, related to the sources in the accompanying tables recorded in accrued interest and other liabilities in the Consolidated Balance Sheet.</w:t>
      </w:r>
    </w:p>
    <w:p>
      <w:pPr>
        <w:spacing w:after="0" w:line="77" w:lineRule="exact"/>
        <w:rPr>
          <w:sz w:val="20"/>
          <w:szCs w:val="20"/>
          <w:color w:val="auto"/>
        </w:rPr>
      </w:pPr>
    </w:p>
    <w:p>
      <w:pPr>
        <w:ind w:right="60" w:firstLine="468"/>
        <w:spacing w:after="0" w:line="275" w:lineRule="auto"/>
        <w:rPr>
          <w:sz w:val="20"/>
          <w:szCs w:val="20"/>
          <w:color w:val="auto"/>
        </w:rPr>
      </w:pPr>
      <w:r>
        <w:rPr>
          <w:rFonts w:ascii="Arial" w:cs="Arial" w:eastAsia="Arial" w:hAnsi="Arial"/>
          <w:sz w:val="18"/>
          <w:szCs w:val="18"/>
          <w:color w:val="auto"/>
        </w:rPr>
        <w:t>The following tables summarize sources of the Company’s noninterest income during the three-month and nine-month periods ended September 30, 2023 and 2022 that are subject to the revenue recognition accounting guidance.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Commercia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6"/>
              </w:rPr>
              <w:t>Residential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7"/>
              </w:rPr>
              <w:t>Business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Commercial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9"/>
              </w:rPr>
              <w:t>l Real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Discretiona</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Mortgage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Banking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Estate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ry Portfolio</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7"/>
              </w:rPr>
              <w:t>Banking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Banking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All Other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gridSpan w:val="4"/>
          </w:tcPr>
          <w:p>
            <w:pPr>
              <w:ind w:left="20"/>
              <w:spacing w:after="0"/>
              <w:rPr>
                <w:sz w:val="20"/>
                <w:szCs w:val="20"/>
                <w:color w:val="auto"/>
              </w:rPr>
            </w:pPr>
            <w:r>
              <w:rPr>
                <w:rFonts w:ascii="Arial" w:cs="Arial" w:eastAsia="Arial" w:hAnsi="Arial"/>
                <w:sz w:val="12"/>
                <w:szCs w:val="12"/>
                <w:b w:val="1"/>
                <w:bCs w:val="1"/>
                <w:color w:val="auto"/>
              </w:rPr>
              <w:t>Three Months Ended September 30, 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Service charges on deposit accounts</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21,749</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31,237</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4,551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62,011</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1,812</w:t>
            </w:r>
          </w:p>
        </w:tc>
        <w:tc>
          <w:tcPr>
            <w:tcW w:w="2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121,360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155,069</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155,092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26,988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26,988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3"/>
          </w:tcPr>
          <w:p>
            <w:pPr>
              <w:ind w:left="8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17,021</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19,494</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1,171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4,795</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360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42,841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9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5,839</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942</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13</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125</w:t>
            </w: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2"/>
                <w:szCs w:val="12"/>
                <w:color w:val="auto"/>
              </w:rPr>
              <w:t>7,605</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765</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15,289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38,793</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56,570</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6,664</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13</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125</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74,411</w:t>
            </w:r>
          </w:p>
        </w:tc>
        <w:tc>
          <w:tcPr>
            <w:tcW w:w="900" w:type="dxa"/>
            <w:vAlign w:val="bottom"/>
            <w:gridSpan w:val="4"/>
          </w:tcPr>
          <w:p>
            <w:pPr>
              <w:jc w:val="right"/>
              <w:ind w:right="20"/>
              <w:spacing w:after="0"/>
              <w:rPr>
                <w:sz w:val="20"/>
                <w:szCs w:val="20"/>
                <w:color w:val="auto"/>
              </w:rPr>
            </w:pPr>
            <w:r>
              <w:rPr>
                <w:rFonts w:ascii="Arial" w:cs="Arial" w:eastAsia="Arial" w:hAnsi="Arial"/>
                <w:sz w:val="12"/>
                <w:szCs w:val="12"/>
                <w:color w:val="auto"/>
              </w:rPr>
              <w:t>184,994</w:t>
            </w: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361,570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Three Months Ended September 30, 2022</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0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Service charges on deposit accounts</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19,277</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30,406</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3,683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61,223</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624</w:t>
            </w:r>
          </w:p>
        </w:tc>
        <w:tc>
          <w:tcPr>
            <w:tcW w:w="2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115,213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186,577</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186,577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21,086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21,086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3"/>
          </w:tcPr>
          <w:p>
            <w:pPr>
              <w:ind w:left="8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16,234</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17,731</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1,104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6,874</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561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42,504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980" w:type="dxa"/>
            <w:vAlign w:val="bottom"/>
            <w:gridSpan w:val="3"/>
            <w:shd w:val="clear" w:color="auto" w:fill="CFF0FC"/>
          </w:tcPr>
          <w:p>
            <w:pPr>
              <w:ind w:left="8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9,878</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1,961</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2"/>
                <w:szCs w:val="12"/>
                <w:color w:val="auto"/>
              </w:rPr>
              <w:t>904</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558</w:t>
            </w: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2"/>
                <w:szCs w:val="12"/>
                <w:color w:val="auto"/>
              </w:rPr>
              <w:t>3,980</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8,767</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26,048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35,511</w:t>
            </w:r>
          </w:p>
        </w:tc>
        <w:tc>
          <w:tcPr>
            <w:tcW w:w="1000" w:type="dxa"/>
            <w:vAlign w:val="bottom"/>
            <w:gridSpan w:val="4"/>
          </w:tcPr>
          <w:p>
            <w:pPr>
              <w:jc w:val="right"/>
              <w:ind w:right="20"/>
              <w:spacing w:after="0"/>
              <w:rPr>
                <w:sz w:val="20"/>
                <w:szCs w:val="20"/>
                <w:color w:val="auto"/>
              </w:rPr>
            </w:pPr>
            <w:r>
              <w:rPr>
                <w:rFonts w:ascii="Arial" w:cs="Arial" w:eastAsia="Arial" w:hAnsi="Arial"/>
                <w:sz w:val="12"/>
                <w:szCs w:val="12"/>
                <w:color w:val="auto"/>
              </w:rPr>
              <w:t>58,015</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6,748</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904</w:t>
            </w: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558</w:t>
            </w:r>
          </w:p>
        </w:tc>
        <w:tc>
          <w:tcPr>
            <w:tcW w:w="1020" w:type="dxa"/>
            <w:vAlign w:val="bottom"/>
            <w:gridSpan w:val="5"/>
          </w:tcPr>
          <w:p>
            <w:pPr>
              <w:jc w:val="right"/>
              <w:spacing w:after="0"/>
              <w:rPr>
                <w:sz w:val="20"/>
                <w:szCs w:val="20"/>
                <w:color w:val="auto"/>
              </w:rPr>
            </w:pPr>
            <w:r>
              <w:rPr>
                <w:rFonts w:ascii="Arial" w:cs="Arial" w:eastAsia="Arial" w:hAnsi="Arial"/>
                <w:sz w:val="12"/>
                <w:szCs w:val="12"/>
                <w:color w:val="auto"/>
              </w:rPr>
              <w:t>72,077</w:t>
            </w:r>
          </w:p>
        </w:tc>
        <w:tc>
          <w:tcPr>
            <w:tcW w:w="900" w:type="dxa"/>
            <w:vAlign w:val="bottom"/>
            <w:gridSpan w:val="4"/>
          </w:tcPr>
          <w:p>
            <w:pPr>
              <w:jc w:val="right"/>
              <w:ind w:right="20"/>
              <w:spacing w:after="0"/>
              <w:rPr>
                <w:sz w:val="20"/>
                <w:szCs w:val="20"/>
                <w:color w:val="auto"/>
              </w:rPr>
            </w:pPr>
            <w:r>
              <w:rPr>
                <w:rFonts w:ascii="Arial" w:cs="Arial" w:eastAsia="Arial" w:hAnsi="Arial"/>
                <w:sz w:val="12"/>
                <w:szCs w:val="12"/>
                <w:color w:val="auto"/>
              </w:rPr>
              <w:t>217,615</w:t>
            </w: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391,428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Residential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Business</w:t>
            </w:r>
          </w:p>
        </w:tc>
        <w:tc>
          <w:tcPr>
            <w:tcW w:w="140" w:type="dxa"/>
            <w:vAlign w:val="bottom"/>
          </w:tcPr>
          <w:p>
            <w:pPr>
              <w:spacing w:after="0"/>
              <w:rPr>
                <w:sz w:val="13"/>
                <w:szCs w:val="1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Commercial</w:t>
            </w:r>
          </w:p>
        </w:tc>
        <w:tc>
          <w:tcPr>
            <w:tcW w:w="12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8"/>
              </w:rPr>
              <w:t>Commercial</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Discretiona</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Mortgage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Retail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Banking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Real Estate</w:t>
            </w:r>
          </w:p>
        </w:tc>
        <w:tc>
          <w:tcPr>
            <w:tcW w:w="1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ry Portfolio</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Banking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Banking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8"/>
              </w:rPr>
              <w:t>All Other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gridSpan w:val="4"/>
          </w:tcPr>
          <w:p>
            <w:pPr>
              <w:ind w:left="20"/>
              <w:spacing w:after="0"/>
              <w:rPr>
                <w:sz w:val="20"/>
                <w:szCs w:val="20"/>
                <w:color w:val="auto"/>
              </w:rPr>
            </w:pPr>
            <w:r>
              <w:rPr>
                <w:rFonts w:ascii="Arial" w:cs="Arial" w:eastAsia="Arial" w:hAnsi="Arial"/>
                <w:sz w:val="12"/>
                <w:szCs w:val="12"/>
                <w:b w:val="1"/>
                <w:bCs w:val="1"/>
                <w:color w:val="auto"/>
              </w:rPr>
              <w:t>Nine Months Ended September 30, 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Service charges on deposit accounts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62,097</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89,940</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13,163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183,141</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5,262</w:t>
            </w:r>
          </w:p>
        </w:tc>
        <w:tc>
          <w:tcPr>
            <w:tcW w:w="2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353,603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521,305</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521,357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76,155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3"/>
          </w:tcPr>
          <w:p>
            <w:pPr>
              <w:ind w:left="10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48,206</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53,056</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3,406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16,345</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992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16,441</w:t>
            </w:r>
          </w:p>
        </w:tc>
        <w:tc>
          <w:tcPr>
            <w:tcW w:w="8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3,460</w:t>
            </w:r>
          </w:p>
        </w:tc>
        <w:tc>
          <w:tcPr>
            <w:tcW w:w="8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8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676</w:t>
            </w: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22,679</w:t>
            </w:r>
          </w:p>
        </w:tc>
        <w:tc>
          <w:tcPr>
            <w:tcW w:w="8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2,922</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46,229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110,355</w:t>
            </w:r>
          </w:p>
        </w:tc>
        <w:tc>
          <w:tcPr>
            <w:tcW w:w="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159,437</w:t>
            </w: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20,029</w:t>
            </w:r>
          </w:p>
        </w:tc>
        <w:tc>
          <w:tcPr>
            <w:tcW w:w="8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676</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222,165</w:t>
            </w: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606,636</w:t>
            </w:r>
          </w:p>
        </w:tc>
        <w:tc>
          <w:tcPr>
            <w:tcW w:w="2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1,119,349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Nine Months Ended September 30, 2022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b w:val="1"/>
                <w:bCs w:val="1"/>
                <w:color w:val="auto"/>
              </w:rPr>
              <w:t>Classification in Consolidated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b w:val="1"/>
                <w:bCs w:val="1"/>
                <w:color w:val="auto"/>
              </w:rPr>
              <w:t>Statement of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Service charges on deposit accounts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53,581</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85,806</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10,903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185,990</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4,610</w:t>
            </w:r>
          </w:p>
        </w:tc>
        <w:tc>
          <w:tcPr>
            <w:tcW w:w="2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340,890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Trust income</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545,874</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545,874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00" w:type="dxa"/>
            <w:vAlign w:val="bottom"/>
            <w:gridSpan w:val="4"/>
          </w:tcPr>
          <w:p>
            <w:pPr>
              <w:ind w:left="20"/>
              <w:spacing w:after="0"/>
              <w:rPr>
                <w:sz w:val="20"/>
                <w:szCs w:val="20"/>
                <w:color w:val="auto"/>
              </w:rPr>
            </w:pPr>
            <w:r>
              <w:rPr>
                <w:rFonts w:ascii="Arial" w:cs="Arial" w:eastAsia="Arial" w:hAnsi="Arial"/>
                <w:sz w:val="12"/>
                <w:szCs w:val="12"/>
                <w:color w:val="auto"/>
              </w:rPr>
              <w:t>Brokerage services income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65,414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65,414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gridSpan w:val="4"/>
            <w:shd w:val="clear" w:color="auto" w:fill="CFF0FC"/>
          </w:tcPr>
          <w:p>
            <w:pPr>
              <w:ind w:left="20"/>
              <w:spacing w:after="0"/>
              <w:rPr>
                <w:sz w:val="20"/>
                <w:szCs w:val="20"/>
                <w:color w:val="auto"/>
              </w:rPr>
            </w:pPr>
            <w:r>
              <w:rPr>
                <w:rFonts w:ascii="Arial" w:cs="Arial" w:eastAsia="Arial" w:hAnsi="Arial"/>
                <w:sz w:val="12"/>
                <w:szCs w:val="12"/>
                <w:color w:val="auto"/>
              </w:rPr>
              <w:t>Other revenues from operations:</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3"/>
          </w:tcPr>
          <w:p>
            <w:pPr>
              <w:ind w:left="100"/>
              <w:spacing w:after="0"/>
              <w:rPr>
                <w:sz w:val="20"/>
                <w:szCs w:val="20"/>
                <w:color w:val="auto"/>
              </w:rPr>
            </w:pPr>
            <w:r>
              <w:rPr>
                <w:rFonts w:ascii="Arial" w:cs="Arial" w:eastAsia="Arial" w:hAnsi="Arial"/>
                <w:sz w:val="12"/>
                <w:szCs w:val="12"/>
                <w:color w:val="auto"/>
              </w:rPr>
              <w:t>Merchant discount and credit card fees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45,874</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48,044</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2,836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19,408</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946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117,108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2980" w:type="dxa"/>
            <w:vAlign w:val="bottom"/>
            <w:gridSpan w:val="3"/>
            <w:shd w:val="clear" w:color="auto" w:fill="CFF0FC"/>
          </w:tcPr>
          <w:p>
            <w:pPr>
              <w:ind w:left="10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13,040</w:t>
            </w:r>
          </w:p>
        </w:tc>
        <w:tc>
          <w:tcPr>
            <w:tcW w:w="8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8,228</w:t>
            </w:r>
          </w:p>
        </w:tc>
        <w:tc>
          <w:tcPr>
            <w:tcW w:w="8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2,468</w:t>
            </w:r>
          </w:p>
        </w:tc>
        <w:tc>
          <w:tcPr>
            <w:tcW w:w="8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3,413</w:t>
            </w: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16,752</w:t>
            </w:r>
          </w:p>
        </w:tc>
        <w:tc>
          <w:tcPr>
            <w:tcW w:w="8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33,416</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77,317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99,455</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146,890</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21,967</w:t>
            </w: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2,468</w:t>
            </w:r>
          </w:p>
        </w:tc>
        <w:tc>
          <w:tcPr>
            <w:tcW w:w="8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3,413</w:t>
            </w:r>
          </w:p>
        </w:tc>
        <w:tc>
          <w:tcPr>
            <w:tcW w:w="940" w:type="dxa"/>
            <w:vAlign w:val="bottom"/>
            <w:gridSpan w:val="4"/>
          </w:tcPr>
          <w:p>
            <w:pPr>
              <w:jc w:val="right"/>
              <w:spacing w:after="0"/>
              <w:rPr>
                <w:sz w:val="20"/>
                <w:szCs w:val="20"/>
                <w:color w:val="auto"/>
              </w:rPr>
            </w:pPr>
            <w:r>
              <w:rPr>
                <w:rFonts w:ascii="Arial" w:cs="Arial" w:eastAsia="Arial" w:hAnsi="Arial"/>
                <w:sz w:val="12"/>
                <w:szCs w:val="12"/>
                <w:color w:val="auto"/>
              </w:rPr>
              <w:t>222,150</w:t>
            </w: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650,260</w:t>
            </w:r>
          </w:p>
        </w:tc>
        <w:tc>
          <w:tcPr>
            <w:tcW w:w="2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1,146,603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562" w:right="68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qualified retired employees. Net periodic cost (benefit) for defined benefit plans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left="248"/>
              <w:spacing w:after="0"/>
              <w:rPr>
                <w:sz w:val="20"/>
                <w:szCs w:val="20"/>
                <w:color w:val="auto"/>
              </w:rPr>
            </w:pPr>
            <w:r>
              <w:rPr>
                <w:rFonts w:ascii="Arial" w:cs="Arial" w:eastAsia="Arial" w:hAnsi="Arial"/>
                <w:sz w:val="13"/>
                <w:szCs w:val="13"/>
                <w:b w:val="1"/>
                <w:bCs w:val="1"/>
                <w:color w:val="auto"/>
              </w:rPr>
              <w:t>Other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5"/>
          </w:tcPr>
          <w:p>
            <w:pPr>
              <w:jc w:val="right"/>
              <w:ind w:right="174"/>
              <w:spacing w:after="0"/>
              <w:rPr>
                <w:sz w:val="20"/>
                <w:szCs w:val="20"/>
                <w:color w:val="auto"/>
              </w:rPr>
            </w:pPr>
            <w:r>
              <w:rPr>
                <w:rFonts w:ascii="Arial" w:cs="Arial" w:eastAsia="Arial" w:hAnsi="Arial"/>
                <w:sz w:val="13"/>
                <w:szCs w:val="13"/>
                <w:b w:val="1"/>
                <w:bCs w:val="1"/>
                <w:color w:val="auto"/>
              </w:rPr>
              <w:t>Pension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left="228"/>
              <w:spacing w:after="0"/>
              <w:rPr>
                <w:sz w:val="20"/>
                <w:szCs w:val="20"/>
                <w:color w:val="auto"/>
              </w:rPr>
            </w:pPr>
            <w:r>
              <w:rPr>
                <w:rFonts w:ascii="Arial" w:cs="Arial" w:eastAsia="Arial" w:hAnsi="Arial"/>
                <w:sz w:val="13"/>
                <w:szCs w:val="13"/>
                <w:b w:val="1"/>
                <w:bCs w:val="1"/>
                <w:color w:val="auto"/>
              </w:rPr>
              <w:t>Postretirement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5"/>
          </w:tcPr>
          <w:p>
            <w:pPr>
              <w:jc w:val="right"/>
              <w:ind w:right="154"/>
              <w:spacing w:after="0"/>
              <w:rPr>
                <w:sz w:val="20"/>
                <w:szCs w:val="20"/>
                <w:color w:val="auto"/>
              </w:rPr>
            </w:pPr>
            <w:r>
              <w:rPr>
                <w:rFonts w:ascii="Arial" w:cs="Arial" w:eastAsia="Arial" w:hAnsi="Arial"/>
                <w:sz w:val="13"/>
                <w:szCs w:val="13"/>
                <w:b w:val="1"/>
                <w:bCs w:val="1"/>
                <w:color w:val="auto"/>
              </w:rPr>
              <w:t>Benefits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left="248"/>
              <w:spacing w:after="0"/>
              <w:rPr>
                <w:sz w:val="20"/>
                <w:szCs w:val="20"/>
                <w:color w:val="auto"/>
              </w:rPr>
            </w:pPr>
            <w:r>
              <w:rPr>
                <w:rFonts w:ascii="Arial" w:cs="Arial" w:eastAsia="Arial" w:hAnsi="Arial"/>
                <w:sz w:val="13"/>
                <w:szCs w:val="13"/>
                <w:b w:val="1"/>
                <w:bCs w:val="1"/>
                <w:color w:val="auto"/>
              </w:rPr>
              <w:t>Benefits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8"/>
          </w:tcPr>
          <w:p>
            <w:pPr>
              <w:jc w:val="right"/>
              <w:ind w:right="36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2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2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48"/>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4"/>
          </w:tcPr>
          <w:p>
            <w:pPr>
              <w:ind w:left="340"/>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center"/>
              <w:ind w:right="194"/>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ind w:left="340"/>
              <w:spacing w:after="0"/>
              <w:rPr>
                <w:sz w:val="20"/>
                <w:szCs w:val="20"/>
                <w:color w:val="auto"/>
              </w:rPr>
            </w:pPr>
            <w:r>
              <w:rPr>
                <w:rFonts w:ascii="Arial" w:cs="Arial" w:eastAsia="Arial" w:hAnsi="Arial"/>
                <w:sz w:val="16"/>
                <w:szCs w:val="16"/>
                <w:color w:val="auto"/>
                <w:w w:val="94"/>
              </w:rPr>
              <w:t>4,423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w:t>
            </w:r>
          </w:p>
        </w:tc>
        <w:tc>
          <w:tcPr>
            <w:tcW w:w="80" w:type="dxa"/>
            <w:vAlign w:val="bottom"/>
            <w:shd w:val="clear" w:color="auto" w:fill="CFF0FC"/>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6"/>
                <w:szCs w:val="16"/>
                <w:color w:val="auto"/>
              </w:rPr>
              <w:t>Interest cost on projected benefit obligation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22,060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581</w:t>
            </w:r>
          </w:p>
        </w:tc>
        <w:tc>
          <w:tcPr>
            <w:tcW w:w="80" w:type="dxa"/>
            <w:vAlign w:val="bottom"/>
          </w:tcPr>
          <w:p>
            <w:pPr>
              <w:spacing w:after="0"/>
              <w:rPr>
                <w:sz w:val="17"/>
                <w:szCs w:val="17"/>
                <w:color w:val="auto"/>
              </w:rPr>
            </w:pPr>
          </w:p>
        </w:tc>
      </w:tr>
      <w:tr>
        <w:trPr>
          <w:trHeight w:val="205"/>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(50,315 )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(50,188 )</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(515 )</w:t>
            </w: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(693 )</w:t>
            </w:r>
          </w:p>
        </w:tc>
      </w:tr>
      <w:tr>
        <w:trPr>
          <w:trHeight w:val="205"/>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actuarial loss (gain)</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(537 )</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ind w:left="340"/>
              <w:spacing w:after="0"/>
              <w:rPr>
                <w:sz w:val="20"/>
                <w:szCs w:val="20"/>
                <w:color w:val="auto"/>
              </w:rPr>
            </w:pPr>
            <w:r>
              <w:rPr>
                <w:rFonts w:ascii="Arial" w:cs="Arial" w:eastAsia="Arial" w:hAnsi="Arial"/>
                <w:sz w:val="16"/>
                <w:szCs w:val="16"/>
                <w:color w:val="auto"/>
                <w:w w:val="94"/>
              </w:rPr>
              <w:t>4,974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(692 )</w:t>
            </w:r>
          </w:p>
        </w:tc>
        <w:tc>
          <w:tcPr>
            <w:tcW w:w="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(370 )</w:t>
            </w:r>
          </w:p>
        </w:tc>
      </w:tr>
      <w:tr>
        <w:trPr>
          <w:trHeight w:val="204"/>
        </w:trPr>
        <w:tc>
          <w:tcPr>
            <w:tcW w:w="5520" w:type="dxa"/>
            <w:vAlign w:val="bottom"/>
          </w:tcPr>
          <w:p>
            <w:pPr>
              <w:ind w:left="20"/>
              <w:spacing w:after="0"/>
              <w:rPr>
                <w:sz w:val="20"/>
                <w:szCs w:val="20"/>
                <w:color w:val="auto"/>
              </w:rPr>
            </w:pPr>
            <w:r>
              <w:rPr>
                <w:rFonts w:ascii="Arial" w:cs="Arial" w:eastAsia="Arial" w:hAnsi="Arial"/>
                <w:sz w:val="16"/>
                <w:szCs w:val="16"/>
                <w:color w:val="auto"/>
              </w:rPr>
              <w:t>Net periodic cost (benefit)</w:t>
            </w:r>
          </w:p>
        </w:tc>
        <w:tc>
          <w:tcPr>
            <w:tcW w:w="300" w:type="dxa"/>
            <w:vAlign w:val="bottom"/>
            <w:gridSpan w:val="2"/>
          </w:tcPr>
          <w:p>
            <w:pPr>
              <w:jc w:val="right"/>
              <w:ind w:right="128"/>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line="204" w:lineRule="exact"/>
              <w:rPr>
                <w:sz w:val="20"/>
                <w:szCs w:val="20"/>
                <w:color w:val="auto"/>
              </w:rPr>
            </w:pPr>
            <w:r>
              <w:rPr>
                <w:rFonts w:ascii="Arial" w:cs="Arial" w:eastAsia="Arial" w:hAnsi="Arial"/>
                <w:sz w:val="13"/>
                <w:szCs w:val="13"/>
                <w:color w:val="auto"/>
              </w:rPr>
              <w:t xml:space="preserve">(19,101 </w:t>
            </w:r>
            <w:r>
              <w:rPr>
                <w:rFonts w:ascii="Arial" w:cs="Arial" w:eastAsia="Arial" w:hAnsi="Arial"/>
                <w:sz w:val="23"/>
                <w:szCs w:val="23"/>
                <w:color w:val="auto"/>
                <w:vertAlign w:val="subscript"/>
              </w:rPr>
              <w:t>)</w:t>
            </w:r>
          </w:p>
        </w:tc>
        <w:tc>
          <w:tcPr>
            <w:tcW w:w="140" w:type="dxa"/>
            <w:vAlign w:val="bottom"/>
          </w:tcPr>
          <w:p>
            <w:pPr>
              <w:spacing w:after="0"/>
              <w:rPr>
                <w:sz w:val="17"/>
                <w:szCs w:val="17"/>
                <w:color w:val="auto"/>
              </w:rPr>
            </w:pPr>
          </w:p>
        </w:tc>
        <w:tc>
          <w:tcPr>
            <w:tcW w:w="360" w:type="dxa"/>
            <w:vAlign w:val="bottom"/>
            <w:gridSpan w:val="2"/>
          </w:tcPr>
          <w:p>
            <w:pPr>
              <w:jc w:val="center"/>
              <w:ind w:right="194"/>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line="204" w:lineRule="exact"/>
              <w:rPr>
                <w:sz w:val="20"/>
                <w:szCs w:val="20"/>
                <w:color w:val="auto"/>
              </w:rPr>
            </w:pPr>
            <w:r>
              <w:rPr>
                <w:rFonts w:ascii="Arial" w:cs="Arial" w:eastAsia="Arial" w:hAnsi="Arial"/>
                <w:sz w:val="13"/>
                <w:szCs w:val="13"/>
                <w:color w:val="auto"/>
              </w:rPr>
              <w:t xml:space="preserve">(18,602 </w:t>
            </w:r>
            <w:r>
              <w:rPr>
                <w:rFonts w:ascii="Arial" w:cs="Arial" w:eastAsia="Arial" w:hAnsi="Arial"/>
                <w:sz w:val="23"/>
                <w:szCs w:val="23"/>
                <w:color w:val="auto"/>
                <w:vertAlign w:val="subscript"/>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line="204" w:lineRule="exact"/>
              <w:rPr>
                <w:sz w:val="20"/>
                <w:szCs w:val="20"/>
                <w:color w:val="auto"/>
              </w:rPr>
            </w:pPr>
            <w:r>
              <w:rPr>
                <w:rFonts w:ascii="Arial" w:cs="Arial" w:eastAsia="Arial" w:hAnsi="Arial"/>
                <w:sz w:val="13"/>
                <w:szCs w:val="13"/>
                <w:color w:val="auto"/>
              </w:rPr>
              <w:t xml:space="preserve">(104 </w:t>
            </w:r>
            <w:r>
              <w:rPr>
                <w:rFonts w:ascii="Arial" w:cs="Arial" w:eastAsia="Arial" w:hAnsi="Arial"/>
                <w:sz w:val="23"/>
                <w:szCs w:val="23"/>
                <w:color w:val="auto"/>
                <w:vertAlign w:val="subscript"/>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3"/>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left="448"/>
              <w:spacing w:after="0"/>
              <w:rPr>
                <w:sz w:val="20"/>
                <w:szCs w:val="20"/>
                <w:color w:val="auto"/>
              </w:rPr>
            </w:pPr>
            <w:r>
              <w:rPr>
                <w:rFonts w:ascii="Arial" w:cs="Arial" w:eastAsia="Arial" w:hAnsi="Arial"/>
                <w:sz w:val="13"/>
                <w:szCs w:val="13"/>
                <w:b w:val="1"/>
                <w:bCs w:val="1"/>
                <w:color w:val="auto"/>
              </w:rPr>
              <w:t>Other</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5"/>
          </w:tcPr>
          <w:p>
            <w:pPr>
              <w:jc w:val="right"/>
              <w:ind w:right="14"/>
              <w:spacing w:after="0"/>
              <w:rPr>
                <w:sz w:val="20"/>
                <w:szCs w:val="20"/>
                <w:color w:val="auto"/>
              </w:rPr>
            </w:pPr>
            <w:r>
              <w:rPr>
                <w:rFonts w:ascii="Arial" w:cs="Arial" w:eastAsia="Arial" w:hAnsi="Arial"/>
                <w:sz w:val="13"/>
                <w:szCs w:val="13"/>
                <w:b w:val="1"/>
                <w:bCs w:val="1"/>
                <w:color w:val="auto"/>
              </w:rPr>
              <w:t>Pension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Postretirement</w:t>
            </w: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4"/>
          </w:tcPr>
          <w:p>
            <w:pPr>
              <w:jc w:val="center"/>
              <w:spacing w:after="0"/>
              <w:rPr>
                <w:sz w:val="20"/>
                <w:szCs w:val="20"/>
                <w:color w:val="auto"/>
              </w:rPr>
            </w:pPr>
            <w:r>
              <w:rPr>
                <w:rFonts w:ascii="Arial" w:cs="Arial" w:eastAsia="Arial" w:hAnsi="Arial"/>
                <w:sz w:val="13"/>
                <w:szCs w:val="13"/>
                <w:b w:val="1"/>
                <w:bCs w:val="1"/>
                <w:color w:val="auto"/>
              </w:rPr>
              <w:t>Benefits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left="448"/>
              <w:spacing w:after="0"/>
              <w:rPr>
                <w:sz w:val="20"/>
                <w:szCs w:val="20"/>
                <w:color w:val="auto"/>
              </w:rPr>
            </w:pPr>
            <w:r>
              <w:rPr>
                <w:rFonts w:ascii="Arial" w:cs="Arial" w:eastAsia="Arial" w:hAnsi="Arial"/>
                <w:sz w:val="13"/>
                <w:szCs w:val="13"/>
                <w:b w:val="1"/>
                <w:bCs w:val="1"/>
                <w:color w:val="auto"/>
              </w:rPr>
              <w:t>Benefits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7"/>
          </w:tcPr>
          <w:p>
            <w:pPr>
              <w:jc w:val="right"/>
              <w:ind w:right="360"/>
              <w:spacing w:after="0"/>
              <w:rPr>
                <w:sz w:val="20"/>
                <w:szCs w:val="20"/>
                <w:color w:val="auto"/>
              </w:rPr>
            </w:pPr>
            <w:r>
              <w:rPr>
                <w:rFonts w:ascii="Arial" w:cs="Arial" w:eastAsia="Arial" w:hAnsi="Arial"/>
                <w:sz w:val="13"/>
                <w:szCs w:val="13"/>
                <w:b w:val="1"/>
                <w:bCs w:val="1"/>
                <w:color w:val="auto"/>
              </w:rPr>
              <w:t>Nine Months Ended September 30</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4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8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28"/>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4"/>
          </w:tcPr>
          <w:p>
            <w:pPr>
              <w:ind w:left="380"/>
              <w:spacing w:after="0"/>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83"/>
        </w:trPr>
        <w:tc>
          <w:tcPr>
            <w:tcW w:w="55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8,512</w:t>
            </w:r>
          </w:p>
        </w:tc>
        <w:tc>
          <w:tcPr>
            <w:tcW w:w="140" w:type="dxa"/>
            <w:vAlign w:val="bottom"/>
          </w:tcPr>
          <w:p>
            <w:pPr>
              <w:spacing w:after="0"/>
              <w:rPr>
                <w:sz w:val="24"/>
                <w:szCs w:val="24"/>
                <w:color w:val="auto"/>
              </w:rPr>
            </w:pPr>
          </w:p>
        </w:tc>
        <w:tc>
          <w:tcPr>
            <w:tcW w:w="360" w:type="dxa"/>
            <w:vAlign w:val="bottom"/>
            <w:gridSpan w:val="2"/>
          </w:tcPr>
          <w:p>
            <w:pPr>
              <w:jc w:val="right"/>
              <w:ind w:right="114"/>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13,237</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1,200</w:t>
            </w:r>
          </w:p>
        </w:tc>
        <w:tc>
          <w:tcPr>
            <w:tcW w:w="180" w:type="dxa"/>
            <w:vAlign w:val="bottom"/>
          </w:tcPr>
          <w:p>
            <w:pPr>
              <w:spacing w:after="0"/>
              <w:rPr>
                <w:sz w:val="24"/>
                <w:szCs w:val="24"/>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1,914</w:t>
            </w:r>
          </w:p>
        </w:tc>
        <w:tc>
          <w:tcPr>
            <w:tcW w:w="80" w:type="dxa"/>
            <w:vAlign w:val="bottom"/>
          </w:tcPr>
          <w:p>
            <w:pPr>
              <w:spacing w:after="0"/>
              <w:rPr>
                <w:sz w:val="24"/>
                <w:szCs w:val="24"/>
                <w:color w:val="auto"/>
              </w:rPr>
            </w:pPr>
          </w:p>
        </w:tc>
      </w:tr>
      <w:tr>
        <w:trPr>
          <w:trHeight w:val="205"/>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cost on projected benefit obligation</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86,585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60,407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2,109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80" w:type="dxa"/>
            <w:vAlign w:val="bottom"/>
            <w:shd w:val="clear" w:color="auto" w:fill="CFF0FC"/>
          </w:tcPr>
          <w:p>
            <w:pPr>
              <w:spacing w:after="0"/>
              <w:rPr>
                <w:sz w:val="17"/>
                <w:szCs w:val="17"/>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(150,945 )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3"/>
          </w:tcPr>
          <w:p>
            <w:pPr>
              <w:jc w:val="right"/>
              <w:ind w:right="82"/>
              <w:spacing w:after="0"/>
              <w:rPr>
                <w:sz w:val="20"/>
                <w:szCs w:val="20"/>
                <w:color w:val="auto"/>
              </w:rPr>
            </w:pPr>
            <w:r>
              <w:rPr>
                <w:rFonts w:ascii="Arial" w:cs="Arial" w:eastAsia="Arial" w:hAnsi="Arial"/>
                <w:sz w:val="16"/>
                <w:szCs w:val="16"/>
                <w:color w:val="auto"/>
              </w:rPr>
              <w:t>(137,421 )</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(1,545)</w:t>
            </w:r>
          </w:p>
        </w:tc>
        <w:tc>
          <w:tcPr>
            <w:tcW w:w="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(2,079)</w:t>
            </w:r>
          </w:p>
        </w:tc>
      </w:tr>
      <w:tr>
        <w:trPr>
          <w:trHeight w:val="203"/>
        </w:trPr>
        <w:tc>
          <w:tcPr>
            <w:tcW w:w="5520" w:type="dxa"/>
            <w:vAlign w:val="bottom"/>
          </w:tcPr>
          <w:p>
            <w:pPr>
              <w:ind w:left="20"/>
              <w:spacing w:after="0"/>
              <w:rPr>
                <w:sz w:val="20"/>
                <w:szCs w:val="20"/>
                <w:color w:val="auto"/>
              </w:rPr>
            </w:pPr>
            <w:r>
              <w:rPr>
                <w:rFonts w:ascii="Arial" w:cs="Arial" w:eastAsia="Arial" w:hAnsi="Arial"/>
                <w:sz w:val="16"/>
                <w:szCs w:val="16"/>
                <w:color w:val="auto"/>
              </w:rPr>
              <w:t>Amortization of net actuarial loss (gain)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(1,610)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14,921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(2,076)</w:t>
            </w:r>
          </w:p>
        </w:tc>
        <w:tc>
          <w:tcPr>
            <w:tcW w:w="34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(1,111)</w:t>
            </w:r>
          </w:p>
        </w:tc>
      </w:tr>
      <w:tr>
        <w:trPr>
          <w:trHeight w:val="225"/>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periodic cost (benefit)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FF0FC"/>
          </w:tcPr>
          <w:p>
            <w:pPr>
              <w:jc w:val="right"/>
              <w:ind w:right="80"/>
              <w:spacing w:after="0" w:line="205" w:lineRule="exact"/>
              <w:rPr>
                <w:sz w:val="20"/>
                <w:szCs w:val="20"/>
                <w:color w:val="auto"/>
              </w:rPr>
            </w:pPr>
            <w:r>
              <w:rPr>
                <w:rFonts w:ascii="Arial" w:cs="Arial" w:eastAsia="Arial" w:hAnsi="Arial"/>
                <w:sz w:val="13"/>
                <w:szCs w:val="13"/>
                <w:color w:val="auto"/>
              </w:rPr>
              <w:t xml:space="preserve">(57,303 </w:t>
            </w:r>
            <w:r>
              <w:rPr>
                <w:rFonts w:ascii="Arial" w:cs="Arial" w:eastAsia="Arial" w:hAnsi="Arial"/>
                <w:sz w:val="23"/>
                <w:szCs w:val="23"/>
                <w:color w:val="auto"/>
                <w:vertAlign w:val="subscript"/>
              </w:rPr>
              <w:t>)</w:t>
            </w:r>
          </w:p>
        </w:tc>
        <w:tc>
          <w:tcPr>
            <w:tcW w:w="360" w:type="dxa"/>
            <w:vAlign w:val="bottom"/>
            <w:gridSpan w:val="2"/>
            <w:shd w:val="clear" w:color="auto" w:fill="CFF0FC"/>
          </w:tcPr>
          <w:p>
            <w:pPr>
              <w:jc w:val="right"/>
              <w:ind w:right="114"/>
              <w:spacing w:after="0"/>
              <w:rPr>
                <w:sz w:val="20"/>
                <w:szCs w:val="20"/>
                <w:color w:val="auto"/>
              </w:rPr>
            </w:pPr>
            <w:r>
              <w:rPr>
                <w:rFonts w:ascii="Arial" w:cs="Arial" w:eastAsia="Arial" w:hAnsi="Arial"/>
                <w:sz w:val="16"/>
                <w:szCs w:val="16"/>
                <w:color w:val="auto"/>
              </w:rPr>
              <w:t>$</w:t>
            </w:r>
          </w:p>
        </w:tc>
        <w:tc>
          <w:tcPr>
            <w:tcW w:w="1320" w:type="dxa"/>
            <w:vAlign w:val="bottom"/>
            <w:gridSpan w:val="4"/>
            <w:shd w:val="clear" w:color="auto" w:fill="CFF0FC"/>
          </w:tcPr>
          <w:p>
            <w:pPr>
              <w:jc w:val="right"/>
              <w:ind w:right="40"/>
              <w:spacing w:after="0" w:line="205" w:lineRule="exact"/>
              <w:rPr>
                <w:sz w:val="20"/>
                <w:szCs w:val="20"/>
                <w:color w:val="auto"/>
              </w:rPr>
            </w:pPr>
            <w:r>
              <w:rPr>
                <w:rFonts w:ascii="Arial" w:cs="Arial" w:eastAsia="Arial" w:hAnsi="Arial"/>
                <w:sz w:val="13"/>
                <w:szCs w:val="13"/>
                <w:color w:val="auto"/>
              </w:rPr>
              <w:t xml:space="preserve">(48,469 </w:t>
            </w:r>
            <w:r>
              <w:rPr>
                <w:rFonts w:ascii="Arial" w:cs="Arial" w:eastAsia="Arial" w:hAnsi="Arial"/>
                <w:sz w:val="23"/>
                <w:szCs w:val="23"/>
                <w:color w:val="auto"/>
                <w:vertAlign w:val="subscript"/>
              </w:rPr>
              <w:t>)</w:t>
            </w:r>
            <w:r>
              <w:rPr>
                <w:rFonts w:ascii="Arial" w:cs="Arial" w:eastAsia="Arial" w:hAnsi="Arial"/>
                <w:sz w:val="13"/>
                <w:szCs w:val="13"/>
                <w:color w:val="auto"/>
              </w:rPr>
              <w:t xml:space="preserve">  $</w:t>
            </w:r>
          </w:p>
        </w:tc>
        <w:tc>
          <w:tcPr>
            <w:tcW w:w="940" w:type="dxa"/>
            <w:vAlign w:val="bottom"/>
            <w:gridSpan w:val="2"/>
            <w:shd w:val="clear" w:color="auto" w:fill="CFF0FC"/>
          </w:tcPr>
          <w:p>
            <w:pPr>
              <w:jc w:val="right"/>
              <w:ind w:right="120"/>
              <w:spacing w:after="0" w:line="205" w:lineRule="exact"/>
              <w:rPr>
                <w:sz w:val="20"/>
                <w:szCs w:val="20"/>
                <w:color w:val="auto"/>
              </w:rPr>
            </w:pPr>
            <w:r>
              <w:rPr>
                <w:rFonts w:ascii="Arial" w:cs="Arial" w:eastAsia="Arial" w:hAnsi="Arial"/>
                <w:sz w:val="13"/>
                <w:szCs w:val="13"/>
                <w:color w:val="auto"/>
              </w:rPr>
              <w:t xml:space="preserve">(312 </w:t>
            </w:r>
            <w:r>
              <w:rPr>
                <w:rFonts w:ascii="Arial" w:cs="Arial" w:eastAsia="Arial" w:hAnsi="Arial"/>
                <w:sz w:val="23"/>
                <w:szCs w:val="23"/>
                <w:color w:val="auto"/>
                <w:vertAlign w:val="subscript"/>
              </w:rPr>
              <w:t>)</w:t>
            </w:r>
          </w:p>
        </w:tc>
        <w:tc>
          <w:tcPr>
            <w:tcW w:w="34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FF0FC"/>
          </w:tcPr>
          <w:p>
            <w:pPr>
              <w:spacing w:after="0"/>
              <w:rPr>
                <w:sz w:val="19"/>
                <w:szCs w:val="19"/>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9" w:lineRule="exact"/>
        <w:rPr>
          <w:sz w:val="20"/>
          <w:szCs w:val="20"/>
          <w:color w:val="auto"/>
        </w:rPr>
      </w:pPr>
    </w:p>
    <w:p>
      <w:pPr>
        <w:ind w:right="40" w:firstLine="468"/>
        <w:spacing w:after="0" w:line="256" w:lineRule="auto"/>
        <w:rPr>
          <w:sz w:val="20"/>
          <w:szCs w:val="20"/>
          <w:color w:val="auto"/>
        </w:rPr>
      </w:pPr>
      <w:r>
        <w:rPr>
          <w:rFonts w:ascii="Arial" w:cs="Arial" w:eastAsia="Arial" w:hAnsi="Arial"/>
          <w:sz w:val="18"/>
          <w:szCs w:val="18"/>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$37 million and $32 million for the three months ended September 30, 2023 and 2022, respectively, and $118 million and $98 million for the nine months ended September 30, 2023 and 2022, respectively, and are included in salaries and employee benefits expense.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9" w:name="page30"/>
    <w:bookmarkEnd w:id="29"/>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33" w:lineRule="exact"/>
        <w:rPr>
          <w:sz w:val="20"/>
          <w:szCs w:val="20"/>
          <w:color w:val="auto"/>
        </w:rPr>
      </w:pPr>
    </w:p>
    <w:p>
      <w:pPr>
        <w:jc w:val="right"/>
        <w:ind w:right="200"/>
        <w:spacing w:after="0"/>
        <w:tabs>
          <w:tab w:leader="none" w:pos="2120" w:val="left"/>
        </w:tabs>
        <w:rPr>
          <w:sz w:val="20"/>
          <w:szCs w:val="20"/>
          <w:color w:val="auto"/>
        </w:rPr>
      </w:pPr>
      <w:r>
        <w:rPr>
          <w:rFonts w:ascii="Arial" w:cs="Arial" w:eastAsia="Arial" w:hAnsi="Arial"/>
          <w:sz w:val="13"/>
          <w:szCs w:val="13"/>
          <w:b w:val="1"/>
          <w:bCs w:val="1"/>
          <w:color w:val="auto"/>
        </w:rPr>
        <w:t>Three Months Ended September 30</w:t>
      </w:r>
      <w:r>
        <w:rPr>
          <w:sz w:val="20"/>
          <w:szCs w:val="20"/>
          <w:color w:val="auto"/>
        </w:rPr>
        <w:tab/>
      </w:r>
      <w:r>
        <w:rPr>
          <w:rFonts w:ascii="Arial" w:cs="Arial" w:eastAsia="Arial" w:hAnsi="Arial"/>
          <w:sz w:val="13"/>
          <w:szCs w:val="13"/>
          <w:b w:val="1"/>
          <w:bCs w:val="1"/>
          <w:color w:val="auto"/>
        </w:rPr>
        <w:t>Nine Months Ended September 30</w:t>
      </w:r>
    </w:p>
    <w:p>
      <w:pPr>
        <w:spacing w:after="0" w:line="34" w:lineRule="exact"/>
        <w:rPr>
          <w:sz w:val="20"/>
          <w:szCs w:val="20"/>
          <w:color w:val="auto"/>
        </w:rPr>
      </w:pPr>
    </w:p>
    <w:p>
      <w:pPr>
        <w:ind w:left="5760"/>
        <w:spacing w:after="0"/>
        <w:tabs>
          <w:tab w:leader="none" w:pos="7120" w:val="left"/>
          <w:tab w:leader="none" w:pos="8480" w:val="left"/>
          <w:tab w:leader="none" w:pos="982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31"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auto"/>
        </w:rPr>
        <w:t>(In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19685</wp:posOffset>
            </wp:positionV>
            <wp:extent cx="6707505" cy="129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available to common shareholders:</w:t>
      </w:r>
    </w:p>
    <w:p>
      <w:pPr>
        <w:spacing w:after="0" w:line="20" w:lineRule="exact"/>
        <w:rPr>
          <w:sz w:val="20"/>
          <w:szCs w:val="20"/>
          <w:color w:val="auto"/>
        </w:rPr>
      </w:pPr>
    </w:p>
    <w:p>
      <w:pPr>
        <w:ind w:left="200"/>
        <w:spacing w:after="0"/>
        <w:tabs>
          <w:tab w:leader="none" w:pos="538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9525</wp:posOffset>
            </wp:positionV>
            <wp:extent cx="6707505"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Less: Preferred stock dividends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available to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9525</wp:posOffset>
            </wp:positionV>
            <wp:extent cx="6707505" cy="243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Less: Income attributable to unvested stock-based</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compensation awards</w:t>
      </w:r>
    </w:p>
    <w:p>
      <w:pPr>
        <w:spacing w:after="0" w:line="10" w:lineRule="exact"/>
        <w:rPr>
          <w:sz w:val="20"/>
          <w:szCs w:val="20"/>
          <w:color w:val="auto"/>
        </w:rPr>
      </w:pPr>
    </w:p>
    <w:p>
      <w:pPr>
        <w:ind w:left="40"/>
        <w:spacing w:after="0"/>
        <w:tabs>
          <w:tab w:leader="none" w:pos="5380" w:val="left"/>
        </w:tabs>
        <w:rPr>
          <w:sz w:val="20"/>
          <w:szCs w:val="20"/>
          <w:color w:val="auto"/>
        </w:rPr>
      </w:pPr>
      <w:r>
        <w:rPr>
          <w:rFonts w:ascii="Arial" w:cs="Arial" w:eastAsia="Arial" w:hAnsi="Arial"/>
          <w:sz w:val="16"/>
          <w:szCs w:val="16"/>
          <w:color w:val="auto"/>
        </w:rPr>
        <w:t>Net income available to common shareholders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9525</wp:posOffset>
            </wp:positionV>
            <wp:extent cx="6707505" cy="129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Weighted-average shares outstanding:</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outstanding (including common stock</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issuable) and unvested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wp:posOffset>
            </wp:positionV>
            <wp:extent cx="6707505" cy="129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ind w:left="40" w:right="1840" w:firstLine="156"/>
        <w:spacing w:after="0" w:line="283" w:lineRule="auto"/>
        <w:rPr>
          <w:sz w:val="20"/>
          <w:szCs w:val="20"/>
          <w:color w:val="auto"/>
        </w:rPr>
      </w:pPr>
      <w:r>
        <w:rPr>
          <w:rFonts w:ascii="Arial" w:cs="Arial" w:eastAsia="Arial" w:hAnsi="Arial"/>
          <w:sz w:val="16"/>
          <w:szCs w:val="16"/>
          <w:color w:val="auto"/>
        </w:rPr>
        <w:t>Less: Unvested stock-based compensation awards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109855</wp:posOffset>
            </wp:positionV>
            <wp:extent cx="6707505"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58" w:lineRule="exact"/>
        <w:rPr>
          <w:sz w:val="20"/>
          <w:szCs w:val="20"/>
          <w:color w:val="auto"/>
        </w:rPr>
      </w:pPr>
    </w:p>
    <w:p>
      <w:pPr>
        <w:ind w:left="40"/>
        <w:spacing w:after="0"/>
        <w:tabs>
          <w:tab w:leader="none" w:pos="5380" w:val="left"/>
        </w:tabs>
        <w:rPr>
          <w:sz w:val="20"/>
          <w:szCs w:val="20"/>
          <w:color w:val="auto"/>
        </w:rPr>
      </w:pPr>
      <w:r>
        <w:rPr>
          <w:rFonts w:ascii="Arial" w:cs="Arial" w:eastAsia="Arial" w:hAnsi="Arial"/>
          <w:sz w:val="16"/>
          <w:szCs w:val="16"/>
          <w:color w:val="auto"/>
        </w:rPr>
        <w:t>Basic earnings per common share</w:t>
      </w:r>
      <w:r>
        <w:rPr>
          <w:sz w:val="20"/>
          <w:szCs w:val="20"/>
          <w:color w:val="auto"/>
        </w:rPr>
        <w:tab/>
      </w:r>
      <w:r>
        <w:rPr>
          <w:rFonts w:ascii="Arial" w:cs="Arial" w:eastAsia="Arial" w:hAnsi="Arial"/>
          <w:sz w:val="14"/>
          <w:szCs w:val="14"/>
          <w:color w:val="auto"/>
        </w:rPr>
        <w:t>$</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computations of diluted earnings per common share follow:</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Pr>
          <w:p>
            <w:pPr>
              <w:jc w:val="right"/>
              <w:ind w:right="122"/>
              <w:spacing w:after="0"/>
              <w:rPr>
                <w:sz w:val="20"/>
                <w:szCs w:val="20"/>
                <w:color w:val="auto"/>
              </w:rPr>
            </w:pPr>
            <w:r>
              <w:rPr>
                <w:rFonts w:ascii="Arial" w:cs="Arial" w:eastAsia="Arial" w:hAnsi="Arial"/>
                <w:sz w:val="16"/>
                <w:szCs w:val="16"/>
                <w:color w:val="auto"/>
                <w:w w:val="96"/>
              </w:rPr>
              <w:t>689,941</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646,596</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2,258,599</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1,226,292</w:t>
            </w:r>
          </w:p>
        </w:tc>
      </w:tr>
      <w:tr>
        <w:trPr>
          <w:trHeight w:val="204"/>
        </w:trPr>
        <w:tc>
          <w:tcPr>
            <w:tcW w:w="780" w:type="dxa"/>
            <w:vAlign w:val="bottom"/>
          </w:tcPr>
          <w:p>
            <w:pPr>
              <w:jc w:val="right"/>
              <w:ind w:right="62"/>
              <w:spacing w:after="0"/>
              <w:rPr>
                <w:sz w:val="20"/>
                <w:szCs w:val="20"/>
                <w:color w:val="auto"/>
              </w:rPr>
            </w:pPr>
            <w:r>
              <w:rPr>
                <w:rFonts w:ascii="Arial" w:cs="Arial" w:eastAsia="Arial" w:hAnsi="Arial"/>
                <w:sz w:val="16"/>
                <w:szCs w:val="16"/>
                <w:color w:val="auto"/>
                <w:w w:val="96"/>
              </w:rPr>
              <w:t>(24,941 )</w:t>
            </w:r>
          </w:p>
        </w:tc>
        <w:tc>
          <w:tcPr>
            <w:tcW w:w="42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(24,941 )</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(74,822 )</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(71,647 )</w:t>
            </w:r>
          </w:p>
        </w:tc>
      </w:tr>
      <w:tr>
        <w:trPr>
          <w:trHeight w:val="204"/>
        </w:trPr>
        <w:tc>
          <w:tcPr>
            <w:tcW w:w="780" w:type="dxa"/>
            <w:vAlign w:val="bottom"/>
          </w:tcPr>
          <w:p>
            <w:pPr>
              <w:jc w:val="right"/>
              <w:ind w:right="122"/>
              <w:spacing w:after="0"/>
              <w:rPr>
                <w:sz w:val="20"/>
                <w:szCs w:val="20"/>
                <w:color w:val="auto"/>
              </w:rPr>
            </w:pPr>
            <w:r>
              <w:rPr>
                <w:rFonts w:ascii="Arial" w:cs="Arial" w:eastAsia="Arial" w:hAnsi="Arial"/>
                <w:sz w:val="16"/>
                <w:szCs w:val="16"/>
                <w:color w:val="auto"/>
                <w:w w:val="96"/>
              </w:rPr>
              <w:t>665,000</w:t>
            </w:r>
          </w:p>
        </w:tc>
        <w:tc>
          <w:tcPr>
            <w:tcW w:w="42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621,655</w:t>
            </w:r>
          </w:p>
        </w:tc>
        <w:tc>
          <w:tcPr>
            <w:tcW w:w="34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2,183,777</w:t>
            </w:r>
          </w:p>
        </w:tc>
        <w:tc>
          <w:tcPr>
            <w:tcW w:w="3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1,154,645</w:t>
            </w:r>
          </w:p>
        </w:tc>
      </w:tr>
      <w:tr>
        <w:trPr>
          <w:trHeight w:val="384"/>
        </w:trPr>
        <w:tc>
          <w:tcPr>
            <w:tcW w:w="780" w:type="dxa"/>
            <w:vAlign w:val="bottom"/>
          </w:tcPr>
          <w:p>
            <w:pPr>
              <w:jc w:val="right"/>
              <w:ind w:right="62"/>
              <w:spacing w:after="0"/>
              <w:rPr>
                <w:sz w:val="20"/>
                <w:szCs w:val="20"/>
                <w:color w:val="auto"/>
              </w:rPr>
            </w:pPr>
            <w:r>
              <w:rPr>
                <w:rFonts w:ascii="Arial" w:cs="Arial" w:eastAsia="Arial" w:hAnsi="Arial"/>
                <w:sz w:val="16"/>
                <w:szCs w:val="16"/>
                <w:color w:val="auto"/>
              </w:rPr>
              <w:t>(1,237)</w:t>
            </w:r>
          </w:p>
        </w:tc>
        <w:tc>
          <w:tcPr>
            <w:tcW w:w="420" w:type="dxa"/>
            <w:vAlign w:val="bottom"/>
          </w:tcPr>
          <w:p>
            <w:pPr>
              <w:spacing w:after="0"/>
              <w:rPr>
                <w:sz w:val="24"/>
                <w:szCs w:val="24"/>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(1,106)</w:t>
            </w:r>
          </w:p>
        </w:tc>
        <w:tc>
          <w:tcPr>
            <w:tcW w:w="34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(3,975)</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04"/>
        </w:trPr>
        <w:tc>
          <w:tcPr>
            <w:tcW w:w="780" w:type="dxa"/>
            <w:vAlign w:val="bottom"/>
          </w:tcPr>
          <w:p>
            <w:pPr>
              <w:jc w:val="right"/>
              <w:ind w:right="122"/>
              <w:spacing w:after="0"/>
              <w:rPr>
                <w:sz w:val="20"/>
                <w:szCs w:val="20"/>
                <w:color w:val="auto"/>
              </w:rPr>
            </w:pPr>
            <w:r>
              <w:rPr>
                <w:rFonts w:ascii="Arial" w:cs="Arial" w:eastAsia="Arial" w:hAnsi="Arial"/>
                <w:sz w:val="16"/>
                <w:szCs w:val="16"/>
                <w:color w:val="auto"/>
                <w:w w:val="96"/>
              </w:rPr>
              <w:t>663,763</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620,549</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2,179,802</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1,152,400</w:t>
            </w:r>
          </w:p>
        </w:tc>
      </w:tr>
      <w:tr>
        <w:trPr>
          <w:trHeight w:val="588"/>
        </w:trPr>
        <w:tc>
          <w:tcPr>
            <w:tcW w:w="780" w:type="dxa"/>
            <w:vAlign w:val="bottom"/>
          </w:tcPr>
          <w:p>
            <w:pPr>
              <w:jc w:val="right"/>
              <w:ind w:right="122"/>
              <w:spacing w:after="0"/>
              <w:rPr>
                <w:sz w:val="20"/>
                <w:szCs w:val="20"/>
                <w:color w:val="auto"/>
              </w:rPr>
            </w:pPr>
            <w:r>
              <w:rPr>
                <w:rFonts w:ascii="Arial" w:cs="Arial" w:eastAsia="Arial" w:hAnsi="Arial"/>
                <w:sz w:val="16"/>
                <w:szCs w:val="16"/>
                <w:color w:val="auto"/>
                <w:w w:val="96"/>
              </w:rPr>
              <w:t>166,217</w:t>
            </w:r>
          </w:p>
        </w:tc>
        <w:tc>
          <w:tcPr>
            <w:tcW w:w="420" w:type="dxa"/>
            <w:vAlign w:val="bottom"/>
          </w:tcPr>
          <w:p>
            <w:pPr>
              <w:spacing w:after="0"/>
              <w:rPr>
                <w:sz w:val="24"/>
                <w:szCs w:val="24"/>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174,921</w:t>
            </w:r>
          </w:p>
        </w:tc>
        <w:tc>
          <w:tcPr>
            <w:tcW w:w="340" w:type="dxa"/>
            <w:vAlign w:val="bottom"/>
          </w:tcPr>
          <w:p>
            <w:pPr>
              <w:spacing w:after="0"/>
              <w:rPr>
                <w:sz w:val="24"/>
                <w:szCs w:val="24"/>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166,787</w:t>
            </w:r>
          </w:p>
        </w:tc>
        <w:tc>
          <w:tcPr>
            <w:tcW w:w="32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160,793</w:t>
            </w:r>
          </w:p>
        </w:tc>
      </w:tr>
      <w:tr>
        <w:trPr>
          <w:trHeight w:val="204"/>
        </w:trPr>
        <w:tc>
          <w:tcPr>
            <w:tcW w:w="780" w:type="dxa"/>
            <w:vAlign w:val="bottom"/>
          </w:tcPr>
          <w:p>
            <w:pPr>
              <w:jc w:val="right"/>
              <w:ind w:right="62"/>
              <w:spacing w:after="0"/>
              <w:rPr>
                <w:sz w:val="20"/>
                <w:szCs w:val="20"/>
                <w:color w:val="auto"/>
              </w:rPr>
            </w:pPr>
            <w:r>
              <w:rPr>
                <w:rFonts w:ascii="Arial" w:cs="Arial" w:eastAsia="Arial" w:hAnsi="Arial"/>
                <w:sz w:val="16"/>
                <w:szCs w:val="16"/>
                <w:color w:val="auto"/>
              </w:rPr>
              <w:t>(308 )</w:t>
            </w:r>
          </w:p>
        </w:tc>
        <w:tc>
          <w:tcPr>
            <w:tcW w:w="42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(312 )</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(299 )</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(319 )</w:t>
            </w:r>
          </w:p>
        </w:tc>
      </w:tr>
      <w:tr>
        <w:trPr>
          <w:trHeight w:val="204"/>
        </w:trPr>
        <w:tc>
          <w:tcPr>
            <w:tcW w:w="780" w:type="dxa"/>
            <w:vAlign w:val="bottom"/>
          </w:tcPr>
          <w:p>
            <w:pPr>
              <w:jc w:val="right"/>
              <w:ind w:right="122"/>
              <w:spacing w:after="0"/>
              <w:rPr>
                <w:sz w:val="20"/>
                <w:szCs w:val="20"/>
                <w:color w:val="auto"/>
              </w:rPr>
            </w:pPr>
            <w:r>
              <w:rPr>
                <w:rFonts w:ascii="Arial" w:cs="Arial" w:eastAsia="Arial" w:hAnsi="Arial"/>
                <w:sz w:val="16"/>
                <w:szCs w:val="16"/>
                <w:color w:val="auto"/>
                <w:w w:val="96"/>
              </w:rPr>
              <w:t>165,909</w:t>
            </w:r>
          </w:p>
        </w:tc>
        <w:tc>
          <w:tcPr>
            <w:tcW w:w="420" w:type="dxa"/>
            <w:vAlign w:val="bottom"/>
          </w:tcPr>
          <w:p>
            <w:pPr>
              <w:spacing w:after="0"/>
              <w:rPr>
                <w:sz w:val="17"/>
                <w:szCs w:val="17"/>
                <w:color w:val="auto"/>
              </w:rPr>
            </w:pP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174,609</w:t>
            </w:r>
          </w:p>
        </w:tc>
        <w:tc>
          <w:tcPr>
            <w:tcW w:w="34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166,488</w:t>
            </w:r>
          </w:p>
        </w:tc>
        <w:tc>
          <w:tcPr>
            <w:tcW w:w="3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160,474</w:t>
            </w:r>
          </w:p>
        </w:tc>
      </w:tr>
      <w:tr>
        <w:trPr>
          <w:trHeight w:val="408"/>
        </w:trPr>
        <w:tc>
          <w:tcPr>
            <w:tcW w:w="780" w:type="dxa"/>
            <w:vAlign w:val="bottom"/>
          </w:tcPr>
          <w:p>
            <w:pPr>
              <w:jc w:val="right"/>
              <w:ind w:right="122"/>
              <w:spacing w:after="0"/>
              <w:rPr>
                <w:sz w:val="20"/>
                <w:szCs w:val="20"/>
                <w:color w:val="auto"/>
              </w:rPr>
            </w:pPr>
            <w:r>
              <w:rPr>
                <w:rFonts w:ascii="Arial" w:cs="Arial" w:eastAsia="Arial" w:hAnsi="Arial"/>
                <w:sz w:val="16"/>
                <w:szCs w:val="16"/>
                <w:color w:val="auto"/>
              </w:rPr>
              <w:t>4.00</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3.55</w:t>
            </w:r>
          </w:p>
        </w:tc>
        <w:tc>
          <w:tcPr>
            <w:tcW w:w="3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13.09</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7.18</w:t>
            </w:r>
          </w:p>
        </w:tc>
      </w:tr>
    </w:tbl>
    <w:p>
      <w:pPr>
        <w:spacing w:after="0" w:line="454" w:lineRule="exact"/>
        <w:rPr>
          <w:sz w:val="20"/>
          <w:szCs w:val="20"/>
          <w:color w:val="auto"/>
        </w:rPr>
      </w:pPr>
    </w:p>
    <w:p>
      <w:pPr>
        <w:sectPr>
          <w:pgSz w:w="11900" w:h="16840" w:orient="portrait"/>
          <w:cols w:equalWidth="0" w:num="2">
            <w:col w:w="5560" w:space="280"/>
            <w:col w:w="4740"/>
          </w:cols>
          <w:pgMar w:left="640" w:top="562" w:right="680" w:bottom="1440" w:gutter="0" w:footer="0" w:header="0"/>
          <w:type w:val="continuous"/>
        </w:sectPr>
      </w:pPr>
    </w:p>
    <w:tbl>
      <w:tblPr>
        <w:tblLayout w:type="fixed"/>
        <w:tblInd w:w="2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20" w:type="dxa"/>
            <w:vAlign w:val="bottom"/>
            <w:gridSpan w:val="3"/>
          </w:tcPr>
          <w:p>
            <w:pPr>
              <w:jc w:val="right"/>
              <w:ind w:right="224"/>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5"/>
                <w:szCs w:val="15"/>
                <w:color w:val="auto"/>
              </w:rPr>
            </w:pPr>
          </w:p>
        </w:tc>
        <w:tc>
          <w:tcPr>
            <w:tcW w:w="2340" w:type="dxa"/>
            <w:vAlign w:val="bottom"/>
            <w:gridSpan w:val="3"/>
          </w:tcPr>
          <w:p>
            <w:pPr>
              <w:jc w:val="right"/>
              <w:ind w:right="123"/>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484"/>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1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15"/>
                <w:szCs w:val="15"/>
                <w:color w:val="auto"/>
              </w:rPr>
            </w:pPr>
          </w:p>
        </w:tc>
        <w:tc>
          <w:tcPr>
            <w:tcW w:w="900" w:type="dxa"/>
            <w:vAlign w:val="bottom"/>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3"/>
          </w:tcPr>
          <w:p>
            <w:pPr>
              <w:jc w:val="right"/>
              <w:ind w:right="324"/>
              <w:spacing w:after="0"/>
              <w:rPr>
                <w:sz w:val="20"/>
                <w:szCs w:val="20"/>
                <w:color w:val="auto"/>
              </w:rPr>
            </w:pPr>
            <w:r>
              <w:rPr>
                <w:rFonts w:ascii="Arial" w:cs="Arial" w:eastAsia="Arial" w:hAnsi="Arial"/>
                <w:sz w:val="13"/>
                <w:szCs w:val="13"/>
                <w:b w:val="1"/>
                <w:bCs w:val="1"/>
                <w:color w:val="auto"/>
              </w:rPr>
              <w:t>(In thousands, except per share)</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equity</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665,000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621,655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2,183,777</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1,154,645</w:t>
            </w:r>
          </w:p>
        </w:tc>
        <w:tc>
          <w:tcPr>
            <w:tcW w:w="0" w:type="dxa"/>
            <w:vAlign w:val="bottom"/>
          </w:tcPr>
          <w:p>
            <w:pPr>
              <w:spacing w:after="0"/>
              <w:rPr>
                <w:sz w:val="1"/>
                <w:szCs w:val="1"/>
                <w:color w:val="auto"/>
              </w:rPr>
            </w:pPr>
          </w:p>
        </w:tc>
      </w:tr>
      <w:tr>
        <w:trPr>
          <w:trHeight w:val="185"/>
        </w:trPr>
        <w:tc>
          <w:tcPr>
            <w:tcW w:w="4860" w:type="dxa"/>
            <w:vAlign w:val="bottom"/>
          </w:tcPr>
          <w:p>
            <w:pPr>
              <w:ind w:left="180"/>
              <w:spacing w:after="0"/>
              <w:rPr>
                <w:sz w:val="20"/>
                <w:szCs w:val="20"/>
                <w:color w:val="auto"/>
              </w:rPr>
            </w:pPr>
            <w:r>
              <w:rPr>
                <w:rFonts w:ascii="Arial" w:cs="Arial" w:eastAsia="Arial" w:hAnsi="Arial"/>
                <w:sz w:val="16"/>
                <w:szCs w:val="16"/>
                <w:color w:val="auto"/>
              </w:rPr>
              <w:t>Less: Income attributable to unvested stock-based</w:t>
            </w:r>
          </w:p>
        </w:tc>
        <w:tc>
          <w:tcPr>
            <w:tcW w:w="600" w:type="dxa"/>
            <w:vAlign w:val="bottom"/>
          </w:tcPr>
          <w:p>
            <w:pPr>
              <w:spacing w:after="0"/>
              <w:rPr>
                <w:sz w:val="16"/>
                <w:szCs w:val="16"/>
                <w:color w:val="auto"/>
              </w:rPr>
            </w:pPr>
          </w:p>
        </w:tc>
        <w:tc>
          <w:tcPr>
            <w:tcW w:w="1140" w:type="dxa"/>
            <w:vAlign w:val="bottom"/>
            <w:vMerge w:val="restart"/>
          </w:tcPr>
          <w:p>
            <w:pPr>
              <w:jc w:val="right"/>
              <w:ind w:right="64"/>
              <w:spacing w:after="0"/>
              <w:rPr>
                <w:sz w:val="20"/>
                <w:szCs w:val="20"/>
                <w:color w:val="auto"/>
              </w:rPr>
            </w:pPr>
            <w:r>
              <w:rPr>
                <w:rFonts w:ascii="Arial" w:cs="Arial" w:eastAsia="Arial" w:hAnsi="Arial"/>
                <w:sz w:val="16"/>
                <w:szCs w:val="16"/>
                <w:color w:val="auto"/>
              </w:rPr>
              <w:t xml:space="preserve">(1,234 </w:t>
            </w:r>
            <w:r>
              <w:rPr>
                <w:rFonts w:ascii="Arial" w:cs="Arial" w:eastAsia="Arial" w:hAnsi="Arial"/>
                <w:sz w:val="31"/>
                <w:szCs w:val="31"/>
                <w:color w:val="auto"/>
                <w:vertAlign w:val="superscript"/>
              </w:rPr>
              <w:t>)</w:t>
            </w:r>
          </w:p>
        </w:tc>
        <w:tc>
          <w:tcPr>
            <w:tcW w:w="280" w:type="dxa"/>
            <w:vAlign w:val="bottom"/>
          </w:tcPr>
          <w:p>
            <w:pPr>
              <w:spacing w:after="0"/>
              <w:rPr>
                <w:sz w:val="16"/>
                <w:szCs w:val="16"/>
                <w:color w:val="auto"/>
              </w:rPr>
            </w:pPr>
          </w:p>
        </w:tc>
        <w:tc>
          <w:tcPr>
            <w:tcW w:w="1100" w:type="dxa"/>
            <w:vAlign w:val="bottom"/>
            <w:vMerge w:val="restart"/>
          </w:tcPr>
          <w:p>
            <w:pPr>
              <w:jc w:val="right"/>
              <w:ind w:right="64"/>
              <w:spacing w:after="0"/>
              <w:rPr>
                <w:sz w:val="20"/>
                <w:szCs w:val="20"/>
                <w:color w:val="auto"/>
              </w:rPr>
            </w:pPr>
            <w:r>
              <w:rPr>
                <w:rFonts w:ascii="Arial" w:cs="Arial" w:eastAsia="Arial" w:hAnsi="Arial"/>
                <w:sz w:val="16"/>
                <w:szCs w:val="16"/>
                <w:color w:val="auto"/>
              </w:rPr>
              <w:t xml:space="preserve">(1,101 </w:t>
            </w:r>
            <w:r>
              <w:rPr>
                <w:rFonts w:ascii="Arial" w:cs="Arial" w:eastAsia="Arial" w:hAnsi="Arial"/>
                <w:sz w:val="31"/>
                <w:szCs w:val="31"/>
                <w:color w:val="auto"/>
                <w:vertAlign w:val="superscript"/>
              </w:rPr>
              <w:t>)</w:t>
            </w:r>
          </w:p>
        </w:tc>
        <w:tc>
          <w:tcPr>
            <w:tcW w:w="240" w:type="dxa"/>
            <w:vAlign w:val="bottom"/>
          </w:tcPr>
          <w:p>
            <w:pPr>
              <w:spacing w:after="0"/>
              <w:rPr>
                <w:sz w:val="16"/>
                <w:szCs w:val="16"/>
                <w:color w:val="auto"/>
              </w:rPr>
            </w:pPr>
          </w:p>
        </w:tc>
        <w:tc>
          <w:tcPr>
            <w:tcW w:w="1120" w:type="dxa"/>
            <w:vAlign w:val="bottom"/>
            <w:vMerge w:val="restart"/>
          </w:tcPr>
          <w:p>
            <w:pPr>
              <w:jc w:val="right"/>
              <w:ind w:right="64"/>
              <w:spacing w:after="0"/>
              <w:rPr>
                <w:sz w:val="20"/>
                <w:szCs w:val="20"/>
                <w:color w:val="auto"/>
              </w:rPr>
            </w:pPr>
            <w:r>
              <w:rPr>
                <w:rFonts w:ascii="Arial" w:cs="Arial" w:eastAsia="Arial" w:hAnsi="Arial"/>
                <w:sz w:val="16"/>
                <w:szCs w:val="16"/>
                <w:color w:val="auto"/>
              </w:rPr>
              <w:t xml:space="preserve">(3,965 </w:t>
            </w:r>
            <w:r>
              <w:rPr>
                <w:rFonts w:ascii="Arial" w:cs="Arial" w:eastAsia="Arial" w:hAnsi="Arial"/>
                <w:sz w:val="31"/>
                <w:szCs w:val="31"/>
                <w:color w:val="auto"/>
                <w:vertAlign w:val="superscript"/>
              </w:rPr>
              <w:t>)</w:t>
            </w:r>
          </w:p>
        </w:tc>
        <w:tc>
          <w:tcPr>
            <w:tcW w:w="3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xml:space="preserve">(2,239 </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199"/>
        </w:trPr>
        <w:tc>
          <w:tcPr>
            <w:tcW w:w="4860" w:type="dxa"/>
            <w:vAlign w:val="bottom"/>
          </w:tcPr>
          <w:p>
            <w:pPr>
              <w:ind w:left="300"/>
              <w:spacing w:after="0"/>
              <w:rPr>
                <w:sz w:val="20"/>
                <w:szCs w:val="20"/>
                <w:color w:val="auto"/>
              </w:rPr>
            </w:pPr>
            <w:r>
              <w:rPr>
                <w:rFonts w:ascii="Arial" w:cs="Arial" w:eastAsia="Arial" w:hAnsi="Arial"/>
                <w:sz w:val="16"/>
                <w:szCs w:val="16"/>
                <w:color w:val="auto"/>
              </w:rPr>
              <w:t>compensation awards</w:t>
            </w:r>
          </w:p>
        </w:tc>
        <w:tc>
          <w:tcPr>
            <w:tcW w:w="6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663,766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620,554</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2,179,812</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1,152,406</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rPr>
                <w:sz w:val="20"/>
                <w:szCs w:val="20"/>
                <w:color w:val="auto"/>
              </w:rPr>
            </w:pPr>
            <w:r>
              <w:rPr>
                <w:rFonts w:ascii="Arial" w:cs="Arial" w:eastAsia="Arial" w:hAnsi="Arial"/>
                <w:sz w:val="16"/>
                <w:szCs w:val="16"/>
                <w:color w:val="auto"/>
              </w:rPr>
              <w:t>Adjusted weighted-average shares outstanding:</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shares outstanding (including common stock</w:t>
            </w: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issuable) and unvested stock-based compensation awards</w:t>
            </w: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166,217</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174,921</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166,787</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160,793</w:t>
            </w: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rPr>
                <w:sz w:val="20"/>
                <w:szCs w:val="20"/>
                <w:color w:val="auto"/>
              </w:rPr>
            </w:pPr>
            <w:r>
              <w:rPr>
                <w:rFonts w:ascii="Arial" w:cs="Arial" w:eastAsia="Arial" w:hAnsi="Arial"/>
                <w:sz w:val="16"/>
                <w:szCs w:val="16"/>
                <w:color w:val="auto"/>
              </w:rPr>
              <w:t>Less: Unvested stock-based compensation awards</w:t>
            </w:r>
          </w:p>
        </w:tc>
        <w:tc>
          <w:tcPr>
            <w:tcW w:w="60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(308 )</w:t>
            </w:r>
          </w:p>
        </w:tc>
        <w:tc>
          <w:tcPr>
            <w:tcW w:w="280" w:type="dxa"/>
            <w:vAlign w:val="bottom"/>
          </w:tcPr>
          <w:p>
            <w:pPr>
              <w:spacing w:after="0"/>
              <w:rPr>
                <w:sz w:val="17"/>
                <w:szCs w:val="17"/>
                <w:color w:val="auto"/>
              </w:rPr>
            </w:pPr>
          </w:p>
        </w:tc>
        <w:tc>
          <w:tcPr>
            <w:tcW w:w="1100" w:type="dxa"/>
            <w:vAlign w:val="bottom"/>
          </w:tcPr>
          <w:p>
            <w:pPr>
              <w:jc w:val="right"/>
              <w:ind w:right="64"/>
              <w:spacing w:after="0"/>
              <w:rPr>
                <w:sz w:val="20"/>
                <w:szCs w:val="20"/>
                <w:color w:val="auto"/>
              </w:rPr>
            </w:pPr>
            <w:r>
              <w:rPr>
                <w:rFonts w:ascii="Arial" w:cs="Arial" w:eastAsia="Arial" w:hAnsi="Arial"/>
                <w:sz w:val="16"/>
                <w:szCs w:val="16"/>
                <w:color w:val="auto"/>
              </w:rPr>
              <w:t>(312 )</w:t>
            </w:r>
          </w:p>
        </w:tc>
        <w:tc>
          <w:tcPr>
            <w:tcW w:w="240" w:type="dxa"/>
            <w:vAlign w:val="bottom"/>
          </w:tcPr>
          <w:p>
            <w:pPr>
              <w:spacing w:after="0"/>
              <w:rPr>
                <w:sz w:val="17"/>
                <w:szCs w:val="17"/>
                <w:color w:val="auto"/>
              </w:rPr>
            </w:pPr>
          </w:p>
        </w:tc>
        <w:tc>
          <w:tcPr>
            <w:tcW w:w="1120" w:type="dxa"/>
            <w:vAlign w:val="bottom"/>
          </w:tcPr>
          <w:p>
            <w:pPr>
              <w:jc w:val="right"/>
              <w:ind w:right="64"/>
              <w:spacing w:after="0"/>
              <w:rPr>
                <w:sz w:val="20"/>
                <w:szCs w:val="20"/>
                <w:color w:val="auto"/>
              </w:rPr>
            </w:pPr>
            <w:r>
              <w:rPr>
                <w:rFonts w:ascii="Arial" w:cs="Arial" w:eastAsia="Arial" w:hAnsi="Arial"/>
                <w:sz w:val="16"/>
                <w:szCs w:val="16"/>
                <w:color w:val="auto"/>
              </w:rPr>
              <w:t>(299 )</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r>
        <w:trPr>
          <w:trHeight w:val="186"/>
        </w:trPr>
        <w:tc>
          <w:tcPr>
            <w:tcW w:w="4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Plus: Incremental shares from assumed conversion</w:t>
            </w: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of stock-based compensation awards</w:t>
            </w: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661</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1,073</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rPr>
              <w:t>605</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Arial" w:cs="Arial" w:eastAsia="Arial" w:hAnsi="Arial"/>
                <w:sz w:val="16"/>
                <w:szCs w:val="16"/>
                <w:color w:val="auto"/>
              </w:rPr>
              <w:t>Adjusted weighted-average shares outstanding</w:t>
            </w:r>
          </w:p>
        </w:tc>
        <w:tc>
          <w:tcPr>
            <w:tcW w:w="600" w:type="dxa"/>
            <w:vAlign w:val="bottom"/>
          </w:tcPr>
          <w:p>
            <w:pPr>
              <w:spacing w:after="0"/>
              <w:rPr>
                <w:sz w:val="17"/>
                <w:szCs w:val="17"/>
                <w:color w:val="auto"/>
              </w:rPr>
            </w:pP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166,570</w:t>
            </w:r>
          </w:p>
        </w:tc>
        <w:tc>
          <w:tcPr>
            <w:tcW w:w="280" w:type="dxa"/>
            <w:vAlign w:val="bottom"/>
          </w:tcPr>
          <w:p>
            <w:pPr>
              <w:spacing w:after="0"/>
              <w:rPr>
                <w:sz w:val="17"/>
                <w:szCs w:val="17"/>
                <w:color w:val="auto"/>
              </w:rPr>
            </w:pPr>
          </w:p>
        </w:tc>
        <w:tc>
          <w:tcPr>
            <w:tcW w:w="1100" w:type="dxa"/>
            <w:vAlign w:val="bottom"/>
          </w:tcPr>
          <w:p>
            <w:pPr>
              <w:jc w:val="right"/>
              <w:ind w:right="124"/>
              <w:spacing w:after="0"/>
              <w:rPr>
                <w:sz w:val="20"/>
                <w:szCs w:val="20"/>
                <w:color w:val="auto"/>
              </w:rPr>
            </w:pPr>
            <w:r>
              <w:rPr>
                <w:rFonts w:ascii="Arial" w:cs="Arial" w:eastAsia="Arial" w:hAnsi="Arial"/>
                <w:sz w:val="16"/>
                <w:szCs w:val="16"/>
                <w:color w:val="auto"/>
              </w:rPr>
              <w:t>175,682</w:t>
            </w:r>
          </w:p>
        </w:tc>
        <w:tc>
          <w:tcPr>
            <w:tcW w:w="240" w:type="dxa"/>
            <w:vAlign w:val="bottom"/>
          </w:tcPr>
          <w:p>
            <w:pPr>
              <w:spacing w:after="0"/>
              <w:rPr>
                <w:sz w:val="17"/>
                <w:szCs w:val="17"/>
                <w:color w:val="auto"/>
              </w:rPr>
            </w:pPr>
          </w:p>
        </w:tc>
        <w:tc>
          <w:tcPr>
            <w:tcW w:w="1120" w:type="dxa"/>
            <w:vAlign w:val="bottom"/>
          </w:tcPr>
          <w:p>
            <w:pPr>
              <w:jc w:val="right"/>
              <w:ind w:right="144"/>
              <w:spacing w:after="0"/>
              <w:rPr>
                <w:sz w:val="20"/>
                <w:szCs w:val="20"/>
                <w:color w:val="auto"/>
              </w:rPr>
            </w:pPr>
            <w:r>
              <w:rPr>
                <w:rFonts w:ascii="Arial" w:cs="Arial" w:eastAsia="Arial" w:hAnsi="Arial"/>
                <w:sz w:val="16"/>
                <w:szCs w:val="16"/>
                <w:color w:val="auto"/>
              </w:rPr>
              <w:t>167,093</w:t>
            </w:r>
          </w:p>
        </w:tc>
        <w:tc>
          <w:tcPr>
            <w:tcW w:w="32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161,295</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 earnings per common share</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3.98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3.53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13.05</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0" w:right="240" w:firstLine="468"/>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67" w:lineRule="exact"/>
        <w:rPr>
          <w:sz w:val="20"/>
          <w:szCs w:val="20"/>
          <w:color w:val="auto"/>
        </w:rPr>
      </w:pPr>
    </w:p>
    <w:p>
      <w:pPr>
        <w:ind w:left="20" w:right="40" w:firstLine="468"/>
        <w:spacing w:after="0" w:line="278" w:lineRule="auto"/>
        <w:rPr>
          <w:sz w:val="20"/>
          <w:szCs w:val="20"/>
          <w:color w:val="auto"/>
        </w:rPr>
      </w:pPr>
      <w:r>
        <w:rPr>
          <w:rFonts w:ascii="Arial" w:cs="Arial" w:eastAsia="Arial" w:hAnsi="Arial"/>
          <w:sz w:val="17"/>
          <w:szCs w:val="17"/>
          <w:color w:val="auto"/>
        </w:rPr>
        <w:t>Stock-based compensation awards to purchase common stock of M&amp;T representing 1,745,348 common shares and 1,800,385 common shares during the three-month and nine-month periods ended September 30, 2023, respectively, and 252,793 and 314,155 common shares during the three-month and nine-month periods ended September 30, 2022, respectively, were not included in the computations of diluted earnings per common share because the effect on those periods would have been antidilutive.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15" w:lineRule="exact"/>
        <w:rPr>
          <w:sz w:val="20"/>
          <w:szCs w:val="20"/>
          <w:color w:val="auto"/>
        </w:rPr>
      </w:pPr>
    </w:p>
    <w:p>
      <w:pPr>
        <w:ind w:left="20"/>
        <w:spacing w:after="0" w:line="275"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Defined</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468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Investment</w:t>
            </w: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Benefit</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68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Plans</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Before Tax</w:t>
            </w:r>
          </w:p>
        </w:tc>
        <w:tc>
          <w:tcPr>
            <w:tcW w:w="3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Tax</w:t>
            </w:r>
          </w:p>
        </w:tc>
        <w:tc>
          <w:tcPr>
            <w:tcW w:w="14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Net</w:t>
            </w:r>
          </w:p>
        </w:tc>
      </w:tr>
      <w:tr>
        <w:trPr>
          <w:trHeight w:val="182"/>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left="75"/>
              <w:spacing w:after="0"/>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January 1, 2023</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(444,192 )</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(272,856 )</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(349,129 )</w:t>
            </w:r>
          </w:p>
        </w:tc>
        <w:tc>
          <w:tcPr>
            <w:tcW w:w="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(1,066,177 )</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276,147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(790,030 )</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Other comprehensive income (loss) before reclassifications:</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Unrealized holding losses, net</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(2,366 )</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(2,366 )</w:t>
            </w: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(1,778 )</w:t>
            </w: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(18 )</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5"/>
                <w:szCs w:val="15"/>
                <w:color w:val="auto"/>
              </w:rPr>
            </w:pP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Unrealized losses on cash flow hedges</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(365,739 )</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(365,739 )</w:t>
            </w: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90,679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(275,060 )</w:t>
            </w:r>
          </w:p>
        </w:tc>
      </w:tr>
      <w:tr>
        <w:trPr>
          <w:trHeight w:val="161"/>
        </w:trPr>
        <w:tc>
          <w:tcPr>
            <w:tcW w:w="4680" w:type="dxa"/>
            <w:vAlign w:val="bottom"/>
          </w:tcPr>
          <w:p>
            <w:pPr>
              <w:ind w:left="20"/>
              <w:spacing w:after="0"/>
              <w:rPr>
                <w:sz w:val="20"/>
                <w:szCs w:val="20"/>
                <w:color w:val="auto"/>
              </w:rPr>
            </w:pPr>
            <w:r>
              <w:rPr>
                <w:rFonts w:ascii="Arial" w:cs="Arial" w:eastAsia="Arial" w:hAnsi="Arial"/>
                <w:sz w:val="13"/>
                <w:szCs w:val="13"/>
                <w:color w:val="auto"/>
              </w:rPr>
              <w:t>Total other comprehensive income (loss) before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4680" w:type="dxa"/>
            <w:vAlign w:val="bottom"/>
          </w:tcPr>
          <w:p>
            <w:pPr>
              <w:ind w:left="120"/>
              <w:spacing w:after="0"/>
              <w:rPr>
                <w:sz w:val="20"/>
                <w:szCs w:val="20"/>
                <w:color w:val="auto"/>
              </w:rPr>
            </w:pPr>
            <w:r>
              <w:rPr>
                <w:rFonts w:ascii="Arial" w:cs="Arial" w:eastAsia="Arial" w:hAnsi="Arial"/>
                <w:sz w:val="13"/>
                <w:szCs w:val="13"/>
                <w:color w:val="auto"/>
              </w:rPr>
              <w:t>reclassifications</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(2,366 )</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(365,668 )</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(368,034 )</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91,249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(276,785 )</w:t>
            </w: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Amounts reclassified from accumulated other comprehensive</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income (loss) that (increase) decrease net income:</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Accretion of net gain on terminated cash flow hedges</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(91 )</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(91 )</w:t>
            </w:r>
          </w:p>
        </w:tc>
        <w:tc>
          <w:tcPr>
            <w:tcW w:w="320" w:type="dxa"/>
            <w:vAlign w:val="bottom"/>
          </w:tcPr>
          <w:p>
            <w:pPr>
              <w:ind w:left="40"/>
              <w:spacing w:after="0"/>
              <w:rPr>
                <w:sz w:val="20"/>
                <w:szCs w:val="20"/>
                <w:color w:val="auto"/>
              </w:rPr>
            </w:pPr>
            <w:r>
              <w:rPr>
                <w:rFonts w:ascii="Arial" w:cs="Arial" w:eastAsia="Arial" w:hAnsi="Arial"/>
                <w:sz w:val="13"/>
                <w:szCs w:val="13"/>
                <w:color w:val="auto"/>
              </w:rPr>
              <w:t>(b)</w:t>
            </w:r>
          </w:p>
        </w:tc>
        <w:tc>
          <w:tcPr>
            <w:tcW w:w="780" w:type="dxa"/>
            <w:vAlign w:val="bottom"/>
          </w:tcPr>
          <w:p>
            <w:pPr>
              <w:jc w:val="right"/>
              <w:spacing w:after="0"/>
              <w:rPr>
                <w:sz w:val="20"/>
                <w:szCs w:val="20"/>
                <w:color w:val="auto"/>
              </w:rPr>
            </w:pPr>
            <w:r>
              <w:rPr>
                <w:rFonts w:ascii="Arial" w:cs="Arial" w:eastAsia="Arial" w:hAnsi="Arial"/>
                <w:sz w:val="13"/>
                <w:szCs w:val="13"/>
                <w:color w:val="auto"/>
              </w:rPr>
              <w:t>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(68 )</w:t>
            </w:r>
          </w:p>
        </w:tc>
      </w:tr>
      <w:tr>
        <w:trPr>
          <w:trHeight w:val="166"/>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yield adjustment from cash flow hedges</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6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currently in effect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173,051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173,051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(43,535 )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129,516</w:t>
            </w:r>
          </w:p>
        </w:tc>
        <w:tc>
          <w:tcPr>
            <w:tcW w:w="80" w:type="dxa"/>
            <w:vAlign w:val="bottom"/>
            <w:shd w:val="clear" w:color="auto" w:fill="CFF0FC"/>
          </w:tcPr>
          <w:p>
            <w:pPr>
              <w:spacing w:after="0"/>
              <w:rPr>
                <w:sz w:val="15"/>
                <w:szCs w:val="15"/>
                <w:color w:val="auto"/>
              </w:rPr>
            </w:pPr>
          </w:p>
        </w:tc>
      </w:tr>
      <w:tr>
        <w:trPr>
          <w:trHeight w:val="149"/>
        </w:trPr>
        <w:tc>
          <w:tcPr>
            <w:tcW w:w="4680" w:type="dxa"/>
            <w:vAlign w:val="bottom"/>
          </w:tcPr>
          <w:p>
            <w:pPr>
              <w:ind w:left="180"/>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(1,390</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(1,235</w:t>
            </w:r>
          </w:p>
        </w:tc>
        <w:tc>
          <w:tcPr>
            <w:tcW w:w="80" w:type="dxa"/>
            <w:vAlign w:val="bottom"/>
          </w:tcPr>
          <w:p>
            <w:pPr>
              <w:spacing w:after="0"/>
              <w:rPr>
                <w:sz w:val="12"/>
                <w:szCs w:val="12"/>
                <w:color w:val="auto"/>
              </w:rPr>
            </w:pPr>
          </w:p>
        </w:tc>
      </w:tr>
      <w:tr>
        <w:trPr>
          <w:trHeight w:val="171"/>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20" w:type="dxa"/>
            <w:vAlign w:val="bottom"/>
          </w:tcPr>
          <w:p>
            <w:pPr>
              <w:ind w:left="40"/>
              <w:spacing w:after="0"/>
              <w:rPr>
                <w:sz w:val="20"/>
                <w:szCs w:val="20"/>
                <w:color w:val="auto"/>
              </w:rPr>
            </w:pPr>
            <w:r>
              <w:rPr>
                <w:rFonts w:ascii="Arial" w:cs="Arial" w:eastAsia="Arial" w:hAnsi="Arial"/>
                <w:sz w:val="13"/>
                <w:szCs w:val="13"/>
                <w:color w:val="auto"/>
              </w:rPr>
              <w:t>(c)</w:t>
            </w: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actuarial gains</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(3,686 )</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(3,686 )</w:t>
            </w:r>
          </w:p>
        </w:tc>
        <w:tc>
          <w:tcPr>
            <w:tcW w:w="320" w:type="dxa"/>
            <w:vAlign w:val="bottom"/>
            <w:shd w:val="clear" w:color="auto" w:fill="CFF0FC"/>
          </w:tcPr>
          <w:p>
            <w:pPr>
              <w:ind w:left="40"/>
              <w:spacing w:after="0"/>
              <w:rPr>
                <w:sz w:val="20"/>
                <w:szCs w:val="20"/>
                <w:color w:val="auto"/>
              </w:rPr>
            </w:pPr>
            <w:r>
              <w:rPr>
                <w:rFonts w:ascii="Arial" w:cs="Arial" w:eastAsia="Arial" w:hAnsi="Arial"/>
                <w:sz w:val="13"/>
                <w:szCs w:val="13"/>
                <w:color w:val="auto"/>
              </w:rPr>
              <w:t>(c)</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(3,276 )</w:t>
            </w: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Total other comprehensive income (loss)</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(2,366 )</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(5,076 )</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(192,708 )</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(200,150 )</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48,302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(151,848 )</w:t>
            </w:r>
          </w:p>
        </w:tc>
      </w:tr>
      <w:tr>
        <w:trPr>
          <w:trHeight w:val="22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September 30, 2023</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(446,558 </w:t>
            </w:r>
            <w:r>
              <w:rPr>
                <w:rFonts w:ascii="Arial" w:cs="Arial" w:eastAsia="Arial" w:hAnsi="Arial"/>
                <w:sz w:val="21"/>
                <w:szCs w:val="21"/>
                <w:color w:val="auto"/>
                <w:vertAlign w:val="subscript"/>
              </w:rPr>
              <w:t>)</w:t>
            </w:r>
          </w:p>
        </w:tc>
        <w:tc>
          <w:tcPr>
            <w:tcW w:w="94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(277,932 </w:t>
            </w:r>
            <w:r>
              <w:rPr>
                <w:rFonts w:ascii="Arial" w:cs="Arial" w:eastAsia="Arial" w:hAnsi="Arial"/>
                <w:sz w:val="21"/>
                <w:szCs w:val="21"/>
                <w:color w:val="auto"/>
                <w:vertAlign w:val="subscript"/>
              </w:rPr>
              <w:t>)</w:t>
            </w:r>
          </w:p>
        </w:tc>
        <w:tc>
          <w:tcPr>
            <w:tcW w:w="100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(541,837 </w:t>
            </w:r>
            <w:r>
              <w:rPr>
                <w:rFonts w:ascii="Arial" w:cs="Arial" w:eastAsia="Arial" w:hAnsi="Arial"/>
                <w:sz w:val="21"/>
                <w:szCs w:val="21"/>
                <w:color w:val="auto"/>
                <w:vertAlign w:val="subscript"/>
              </w:rPr>
              <w:t>)</w:t>
            </w:r>
          </w:p>
        </w:tc>
        <w:tc>
          <w:tcPr>
            <w:tcW w:w="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60"/>
              <w:spacing w:after="0" w:line="185" w:lineRule="exact"/>
              <w:rPr>
                <w:sz w:val="20"/>
                <w:szCs w:val="20"/>
                <w:color w:val="auto"/>
              </w:rPr>
            </w:pPr>
            <w:r>
              <w:rPr>
                <w:rFonts w:ascii="Arial" w:cs="Arial" w:eastAsia="Arial" w:hAnsi="Arial"/>
                <w:sz w:val="11"/>
                <w:szCs w:val="11"/>
                <w:color w:val="auto"/>
              </w:rPr>
              <w:t xml:space="preserve">(1,266,327 </w:t>
            </w:r>
            <w:r>
              <w:rPr>
                <w:rFonts w:ascii="Arial" w:cs="Arial" w:eastAsia="Arial" w:hAnsi="Arial"/>
                <w:sz w:val="21"/>
                <w:szCs w:val="21"/>
                <w:color w:val="auto"/>
                <w:vertAlign w:val="subscript"/>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324,449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40"/>
              <w:spacing w:after="0" w:line="185" w:lineRule="exact"/>
              <w:rPr>
                <w:sz w:val="20"/>
                <w:szCs w:val="20"/>
                <w:color w:val="auto"/>
              </w:rPr>
            </w:pPr>
            <w:r>
              <w:rPr>
                <w:rFonts w:ascii="Arial" w:cs="Arial" w:eastAsia="Arial" w:hAnsi="Arial"/>
                <w:sz w:val="11"/>
                <w:szCs w:val="11"/>
                <w:color w:val="auto"/>
              </w:rPr>
              <w:t xml:space="preserve">(941,878 </w:t>
            </w:r>
            <w:r>
              <w:rPr>
                <w:rFonts w:ascii="Arial" w:cs="Arial" w:eastAsia="Arial" w:hAnsi="Arial"/>
                <w:sz w:val="21"/>
                <w:szCs w:val="21"/>
                <w:color w:val="auto"/>
                <w:vertAlign w:val="subscript"/>
              </w:rPr>
              <w:t>)</w:t>
            </w:r>
          </w:p>
        </w:tc>
      </w:tr>
      <w:tr>
        <w:trPr>
          <w:trHeight w:val="156"/>
        </w:trPr>
        <w:tc>
          <w:tcPr>
            <w:tcW w:w="46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4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Balance — January 1, 2022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104,691</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(360,276 )</w:t>
            </w:r>
          </w:p>
        </w:tc>
        <w:tc>
          <w:tcPr>
            <w:tcW w:w="780" w:type="dxa"/>
            <w:vAlign w:val="bottom"/>
          </w:tcPr>
          <w:p>
            <w:pPr>
              <w:jc w:val="right"/>
              <w:spacing w:after="0"/>
              <w:rPr>
                <w:sz w:val="20"/>
                <w:szCs w:val="20"/>
                <w:color w:val="auto"/>
              </w:rPr>
            </w:pPr>
            <w:r>
              <w:rPr>
                <w:rFonts w:ascii="Arial" w:cs="Arial" w:eastAsia="Arial" w:hAnsi="Arial"/>
                <w:sz w:val="13"/>
                <w:szCs w:val="13"/>
                <w:color w:val="auto"/>
              </w:rPr>
              <w:t>83,531</w:t>
            </w:r>
          </w:p>
        </w:tc>
        <w:tc>
          <w:tcPr>
            <w:tcW w:w="22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(172,054 )</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44,476</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(127,578 )</w:t>
            </w:r>
          </w:p>
        </w:tc>
      </w:tr>
      <w:tr>
        <w:trPr>
          <w:trHeight w:val="18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before reclassifications: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Unrealized holding losses, net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(576,266 )</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(576,266 )</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149,186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(427,080 )</w:t>
            </w: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Foreign currency translation adjustment</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(14,564 )</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(14,564 )</w:t>
            </w:r>
          </w:p>
        </w:tc>
        <w:tc>
          <w:tcPr>
            <w:tcW w:w="3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(11,271 )</w:t>
            </w: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Unrealized losses on cash flow hedges</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(429,310 )</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(429,310 )</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111,150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(318,160 )</w:t>
            </w: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other comprehensive income (loss) before</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6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reclassifications</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(576,266 )</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(443,874 )</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(1,020,140 )</w:t>
            </w:r>
          </w:p>
        </w:tc>
        <w:tc>
          <w:tcPr>
            <w:tcW w:w="3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263,629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(756,511 )</w:t>
            </w:r>
          </w:p>
        </w:tc>
      </w:tr>
      <w:tr>
        <w:trPr>
          <w:trHeight w:val="161"/>
        </w:trPr>
        <w:tc>
          <w:tcPr>
            <w:tcW w:w="4680" w:type="dxa"/>
            <w:vAlign w:val="bottom"/>
          </w:tcPr>
          <w:p>
            <w:pPr>
              <w:ind w:left="20"/>
              <w:spacing w:after="0"/>
              <w:rPr>
                <w:sz w:val="20"/>
                <w:szCs w:val="20"/>
                <w:color w:val="auto"/>
              </w:rPr>
            </w:pPr>
            <w:r>
              <w:rPr>
                <w:rFonts w:ascii="Arial" w:cs="Arial" w:eastAsia="Arial" w:hAnsi="Arial"/>
                <w:sz w:val="13"/>
                <w:szCs w:val="13"/>
                <w:color w:val="auto"/>
              </w:rPr>
              <w:t>Amounts reclassified from accumulated other comprehensive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680" w:type="dxa"/>
            <w:vAlign w:val="bottom"/>
          </w:tcPr>
          <w:p>
            <w:pPr>
              <w:ind w:left="120"/>
              <w:spacing w:after="0"/>
              <w:rPr>
                <w:sz w:val="20"/>
                <w:szCs w:val="20"/>
                <w:color w:val="auto"/>
              </w:rPr>
            </w:pPr>
            <w:r>
              <w:rPr>
                <w:rFonts w:ascii="Arial" w:cs="Arial" w:eastAsia="Arial" w:hAnsi="Arial"/>
                <w:sz w:val="13"/>
                <w:szCs w:val="13"/>
                <w:color w:val="auto"/>
              </w:rPr>
              <w:t>income (loss) that (increase) decrease net 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unrealized holding losses on</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6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held-to-maturity securities</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1,766</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(456 )</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1,310</w:t>
            </w:r>
          </w:p>
        </w:tc>
        <w:tc>
          <w:tcPr>
            <w:tcW w:w="80" w:type="dxa"/>
            <w:vAlign w:val="bottom"/>
            <w:shd w:val="clear" w:color="auto" w:fill="CFF0FC"/>
          </w:tcPr>
          <w:p>
            <w:pPr>
              <w:spacing w:after="0"/>
              <w:rPr>
                <w:sz w:val="15"/>
                <w:szCs w:val="15"/>
                <w:color w:val="auto"/>
              </w:rPr>
            </w:pP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Accretion of net gain on terminated cash flow hedges</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(90 )</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(90 )</w:t>
            </w:r>
          </w:p>
        </w:tc>
        <w:tc>
          <w:tcPr>
            <w:tcW w:w="320" w:type="dxa"/>
            <w:vAlign w:val="bottom"/>
          </w:tcPr>
          <w:p>
            <w:pPr>
              <w:ind w:left="40"/>
              <w:spacing w:after="0"/>
              <w:rPr>
                <w:sz w:val="20"/>
                <w:szCs w:val="20"/>
                <w:color w:val="auto"/>
              </w:rPr>
            </w:pPr>
            <w:r>
              <w:rPr>
                <w:rFonts w:ascii="Arial" w:cs="Arial" w:eastAsia="Arial" w:hAnsi="Arial"/>
                <w:sz w:val="13"/>
                <w:szCs w:val="13"/>
                <w:color w:val="auto"/>
              </w:rPr>
              <w:t>(b)</w:t>
            </w: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(66 )</w:t>
            </w:r>
          </w:p>
        </w:tc>
      </w:tr>
      <w:tr>
        <w:trPr>
          <w:trHeight w:val="166"/>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yield adjustment from cash flow hedges</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6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currently in effect</w:t>
            </w: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(35,500 )</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(35,500 )</w:t>
            </w:r>
          </w:p>
        </w:tc>
        <w:tc>
          <w:tcPr>
            <w:tcW w:w="3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(26,308 )</w:t>
            </w:r>
          </w:p>
        </w:tc>
      </w:tr>
      <w:tr>
        <w:trPr>
          <w:trHeight w:val="175"/>
        </w:trPr>
        <w:tc>
          <w:tcPr>
            <w:tcW w:w="4680" w:type="dxa"/>
            <w:vAlign w:val="bottom"/>
          </w:tcPr>
          <w:p>
            <w:pPr>
              <w:ind w:left="180"/>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(1,692 )</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(1,692 )</w:t>
            </w:r>
          </w:p>
        </w:tc>
        <w:tc>
          <w:tcPr>
            <w:tcW w:w="320" w:type="dxa"/>
            <w:vAlign w:val="bottom"/>
          </w:tcPr>
          <w:p>
            <w:pPr>
              <w:ind w:left="40"/>
              <w:spacing w:after="0"/>
              <w:rPr>
                <w:sz w:val="20"/>
                <w:szCs w:val="20"/>
                <w:color w:val="auto"/>
              </w:rPr>
            </w:pPr>
            <w:r>
              <w:rPr>
                <w:rFonts w:ascii="Arial" w:cs="Arial" w:eastAsia="Arial" w:hAnsi="Arial"/>
                <w:sz w:val="13"/>
                <w:szCs w:val="13"/>
                <w:color w:val="auto"/>
              </w:rPr>
              <w:t>(c)</w:t>
            </w:r>
          </w:p>
        </w:tc>
        <w:tc>
          <w:tcPr>
            <w:tcW w:w="780" w:type="dxa"/>
            <w:vAlign w:val="bottom"/>
          </w:tcPr>
          <w:p>
            <w:pPr>
              <w:jc w:val="right"/>
              <w:spacing w:after="0"/>
              <w:rPr>
                <w:sz w:val="20"/>
                <w:szCs w:val="20"/>
                <w:color w:val="auto"/>
              </w:rPr>
            </w:pPr>
            <w:r>
              <w:rPr>
                <w:rFonts w:ascii="Arial" w:cs="Arial" w:eastAsia="Arial" w:hAnsi="Arial"/>
                <w:sz w:val="13"/>
                <w:szCs w:val="13"/>
                <w:color w:val="auto"/>
              </w:rPr>
              <w:t>413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(1,279 )</w:t>
            </w:r>
          </w:p>
        </w:tc>
      </w:tr>
      <w:tr>
        <w:trPr>
          <w:trHeight w:val="185"/>
        </w:trPr>
        <w:tc>
          <w:tcPr>
            <w:tcW w:w="4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actuarial losses</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13,810</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13,810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ind w:left="40"/>
              <w:spacing w:after="0"/>
              <w:rPr>
                <w:sz w:val="20"/>
                <w:szCs w:val="20"/>
                <w:color w:val="auto"/>
              </w:rPr>
            </w:pPr>
            <w:r>
              <w:rPr>
                <w:rFonts w:ascii="Arial" w:cs="Arial" w:eastAsia="Arial" w:hAnsi="Arial"/>
                <w:sz w:val="13"/>
                <w:szCs w:val="13"/>
                <w:color w:val="auto"/>
              </w:rPr>
              <w:t>(c)</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(3,371 )</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10,439</w:t>
            </w:r>
          </w:p>
        </w:tc>
        <w:tc>
          <w:tcPr>
            <w:tcW w:w="80" w:type="dxa"/>
            <w:vAlign w:val="bottom"/>
            <w:shd w:val="clear" w:color="auto" w:fill="CFF0FC"/>
          </w:tcPr>
          <w:p>
            <w:pPr>
              <w:spacing w:after="0"/>
              <w:rPr>
                <w:sz w:val="16"/>
                <w:szCs w:val="16"/>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Total other comprehensive income (loss)</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(574,500 )</w:t>
            </w:r>
          </w:p>
        </w:tc>
        <w:tc>
          <w:tcPr>
            <w:tcW w:w="740" w:type="dxa"/>
            <w:vAlign w:val="bottom"/>
          </w:tcPr>
          <w:p>
            <w:pPr>
              <w:jc w:val="right"/>
              <w:spacing w:after="0"/>
              <w:rPr>
                <w:sz w:val="20"/>
                <w:szCs w:val="20"/>
                <w:color w:val="auto"/>
              </w:rPr>
            </w:pPr>
            <w:r>
              <w:rPr>
                <w:rFonts w:ascii="Arial" w:cs="Arial" w:eastAsia="Arial" w:hAnsi="Arial"/>
                <w:sz w:val="13"/>
                <w:szCs w:val="13"/>
                <w:color w:val="auto"/>
              </w:rPr>
              <w:t>12,118</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(479,464 )</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(1,041,846 )</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269,431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(772,415 )</w:t>
            </w:r>
          </w:p>
        </w:tc>
      </w:tr>
      <w:tr>
        <w:trPr>
          <w:trHeight w:val="205"/>
        </w:trPr>
        <w:tc>
          <w:tcPr>
            <w:tcW w:w="4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 September 30, 2022</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(469,809 </w:t>
            </w:r>
            <w:r>
              <w:rPr>
                <w:rFonts w:ascii="Arial" w:cs="Arial" w:eastAsia="Arial" w:hAnsi="Arial"/>
                <w:sz w:val="21"/>
                <w:szCs w:val="21"/>
                <w:color w:val="auto"/>
                <w:vertAlign w:val="subscript"/>
              </w:rPr>
              <w:t>)</w:t>
            </w:r>
          </w:p>
        </w:tc>
        <w:tc>
          <w:tcPr>
            <w:tcW w:w="94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(348,158 </w:t>
            </w:r>
            <w:r>
              <w:rPr>
                <w:rFonts w:ascii="Arial" w:cs="Arial" w:eastAsia="Arial" w:hAnsi="Arial"/>
                <w:sz w:val="21"/>
                <w:szCs w:val="21"/>
                <w:color w:val="auto"/>
                <w:vertAlign w:val="subscript"/>
              </w:rPr>
              <w:t>)</w:t>
            </w:r>
          </w:p>
        </w:tc>
        <w:tc>
          <w:tcPr>
            <w:tcW w:w="100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(395,933 </w:t>
            </w:r>
            <w:r>
              <w:rPr>
                <w:rFonts w:ascii="Arial" w:cs="Arial" w:eastAsia="Arial" w:hAnsi="Arial"/>
                <w:sz w:val="21"/>
                <w:szCs w:val="21"/>
                <w:color w:val="auto"/>
                <w:vertAlign w:val="subscript"/>
              </w:rPr>
              <w:t>)</w:t>
            </w:r>
          </w:p>
        </w:tc>
        <w:tc>
          <w:tcPr>
            <w:tcW w:w="1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60"/>
              <w:spacing w:after="0" w:line="185" w:lineRule="exact"/>
              <w:rPr>
                <w:sz w:val="20"/>
                <w:szCs w:val="20"/>
                <w:color w:val="auto"/>
              </w:rPr>
            </w:pPr>
            <w:r>
              <w:rPr>
                <w:rFonts w:ascii="Arial" w:cs="Arial" w:eastAsia="Arial" w:hAnsi="Arial"/>
                <w:sz w:val="11"/>
                <w:szCs w:val="11"/>
                <w:color w:val="auto"/>
              </w:rPr>
              <w:t xml:space="preserve">(1,213,900 </w:t>
            </w:r>
            <w:r>
              <w:rPr>
                <w:rFonts w:ascii="Arial" w:cs="Arial" w:eastAsia="Arial" w:hAnsi="Arial"/>
                <w:sz w:val="21"/>
                <w:szCs w:val="21"/>
                <w:color w:val="auto"/>
                <w:vertAlign w:val="subscript"/>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313,907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40"/>
              <w:spacing w:after="0" w:line="185" w:lineRule="exact"/>
              <w:rPr>
                <w:sz w:val="20"/>
                <w:szCs w:val="20"/>
                <w:color w:val="auto"/>
              </w:rPr>
            </w:pPr>
            <w:r>
              <w:rPr>
                <w:rFonts w:ascii="Arial" w:cs="Arial" w:eastAsia="Arial" w:hAnsi="Arial"/>
                <w:sz w:val="11"/>
                <w:szCs w:val="11"/>
                <w:color w:val="auto"/>
              </w:rPr>
              <w:t xml:space="preserve">(899,993 </w:t>
            </w:r>
            <w:r>
              <w:rPr>
                <w:rFonts w:ascii="Arial" w:cs="Arial" w:eastAsia="Arial" w:hAnsi="Arial"/>
                <w:sz w:val="21"/>
                <w:szCs w:val="21"/>
                <w:color w:val="auto"/>
                <w:vertAlign w:val="subscript"/>
              </w:rPr>
              <w:t>)</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(a)Included in interest income.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(b)Included in interest expense.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(c)Included in other costs of operations.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Accumulated other comprehensive income (loss), net consisted of the following:</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Defined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Benefit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Plans</w:t>
            </w:r>
          </w:p>
        </w:tc>
        <w:tc>
          <w:tcPr>
            <w:tcW w:w="34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Other</w:t>
            </w:r>
          </w:p>
        </w:tc>
        <w:tc>
          <w:tcPr>
            <w:tcW w:w="28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80"/>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ind w:right="34"/>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3"/>
                <w:szCs w:val="13"/>
                <w:color w:val="auto"/>
              </w:rPr>
              <w:t>Balance — December 31, 2022</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3"/>
                <w:szCs w:val="13"/>
                <w:color w:val="auto"/>
              </w:rPr>
              <w:t>(329,168 )</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(202,186 )</w:t>
            </w: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(258,676 )</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(790,030 )</w:t>
            </w:r>
          </w:p>
        </w:tc>
      </w:tr>
      <w:tr>
        <w:trPr>
          <w:trHeight w:val="185"/>
        </w:trPr>
        <w:tc>
          <w:tcPr>
            <w:tcW w:w="4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 during period</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(1,778 )</w:t>
            </w:r>
          </w:p>
        </w:tc>
        <w:tc>
          <w:tcPr>
            <w:tcW w:w="2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(4,511 )</w:t>
            </w:r>
          </w:p>
        </w:tc>
        <w:tc>
          <w:tcPr>
            <w:tcW w:w="3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(145,559 )</w:t>
            </w:r>
          </w:p>
        </w:tc>
        <w:tc>
          <w:tcPr>
            <w:tcW w:w="2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(151,848 )</w:t>
            </w:r>
          </w:p>
        </w:tc>
      </w:tr>
      <w:tr>
        <w:trPr>
          <w:trHeight w:val="180"/>
        </w:trPr>
        <w:tc>
          <w:tcPr>
            <w:tcW w:w="4560" w:type="dxa"/>
            <w:vAlign w:val="bottom"/>
          </w:tcPr>
          <w:p>
            <w:pPr>
              <w:ind w:left="20"/>
              <w:spacing w:after="0"/>
              <w:rPr>
                <w:sz w:val="20"/>
                <w:szCs w:val="20"/>
                <w:color w:val="auto"/>
              </w:rPr>
            </w:pPr>
            <w:r>
              <w:rPr>
                <w:rFonts w:ascii="Arial" w:cs="Arial" w:eastAsia="Arial" w:hAnsi="Arial"/>
                <w:sz w:val="13"/>
                <w:szCs w:val="13"/>
                <w:color w:val="auto"/>
              </w:rPr>
              <w:t>Balance — September 30, 2023</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280"/>
              <w:spacing w:after="0" w:line="180" w:lineRule="exact"/>
              <w:rPr>
                <w:sz w:val="20"/>
                <w:szCs w:val="20"/>
                <w:color w:val="auto"/>
              </w:rPr>
            </w:pPr>
            <w:r>
              <w:rPr>
                <w:rFonts w:ascii="Arial" w:cs="Arial" w:eastAsia="Arial" w:hAnsi="Arial"/>
                <w:sz w:val="11"/>
                <w:szCs w:val="11"/>
                <w:color w:val="auto"/>
              </w:rPr>
              <w:t xml:space="preserve">(330,946 </w:t>
            </w:r>
            <w:r>
              <w:rPr>
                <w:rFonts w:ascii="Arial" w:cs="Arial" w:eastAsia="Arial" w:hAnsi="Arial"/>
                <w:sz w:val="20"/>
                <w:szCs w:val="20"/>
                <w:color w:val="auto"/>
                <w:vertAlign w:val="subscript"/>
              </w:rPr>
              <w:t>)</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240"/>
              <w:spacing w:after="0" w:line="180" w:lineRule="exact"/>
              <w:rPr>
                <w:sz w:val="20"/>
                <w:szCs w:val="20"/>
                <w:color w:val="auto"/>
              </w:rPr>
            </w:pPr>
            <w:r>
              <w:rPr>
                <w:rFonts w:ascii="Arial" w:cs="Arial" w:eastAsia="Arial" w:hAnsi="Arial"/>
                <w:sz w:val="11"/>
                <w:szCs w:val="11"/>
                <w:color w:val="auto"/>
              </w:rPr>
              <w:t xml:space="preserve">(206,697 </w:t>
            </w:r>
            <w:r>
              <w:rPr>
                <w:rFonts w:ascii="Arial" w:cs="Arial" w:eastAsia="Arial" w:hAnsi="Arial"/>
                <w:sz w:val="20"/>
                <w:szCs w:val="20"/>
                <w:color w:val="auto"/>
                <w:vertAlign w:val="subscript"/>
              </w:rPr>
              <w:t>)</w:t>
            </w:r>
          </w:p>
        </w:tc>
        <w:tc>
          <w:tcPr>
            <w:tcW w:w="340" w:type="dxa"/>
            <w:vAlign w:val="bottom"/>
          </w:tcPr>
          <w:p>
            <w:pPr>
              <w:jc w:val="right"/>
              <w:ind w:right="194"/>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40"/>
              <w:spacing w:after="0" w:line="180" w:lineRule="exact"/>
              <w:rPr>
                <w:sz w:val="20"/>
                <w:szCs w:val="20"/>
                <w:color w:val="auto"/>
              </w:rPr>
            </w:pPr>
            <w:r>
              <w:rPr>
                <w:rFonts w:ascii="Arial" w:cs="Arial" w:eastAsia="Arial" w:hAnsi="Arial"/>
                <w:sz w:val="11"/>
                <w:szCs w:val="11"/>
                <w:color w:val="auto"/>
              </w:rPr>
              <w:t xml:space="preserve">(404,235 </w:t>
            </w:r>
            <w:r>
              <w:rPr>
                <w:rFonts w:ascii="Arial" w:cs="Arial" w:eastAsia="Arial" w:hAnsi="Arial"/>
                <w:sz w:val="20"/>
                <w:szCs w:val="20"/>
                <w:color w:val="auto"/>
                <w:vertAlign w:val="subscript"/>
              </w:rPr>
              <w:t>)</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
              <w:spacing w:after="0" w:line="180" w:lineRule="exact"/>
              <w:rPr>
                <w:sz w:val="20"/>
                <w:szCs w:val="20"/>
                <w:color w:val="auto"/>
              </w:rPr>
            </w:pPr>
            <w:r>
              <w:rPr>
                <w:rFonts w:ascii="Arial" w:cs="Arial" w:eastAsia="Arial" w:hAnsi="Arial"/>
                <w:sz w:val="11"/>
                <w:szCs w:val="11"/>
                <w:color w:val="auto"/>
              </w:rPr>
              <w:t xml:space="preserve">(941,878 </w:t>
            </w:r>
            <w:r>
              <w:rPr>
                <w:rFonts w:ascii="Arial" w:cs="Arial" w:eastAsia="Arial" w:hAnsi="Arial"/>
                <w:sz w:val="20"/>
                <w:szCs w:val="20"/>
                <w:color w:val="auto"/>
                <w:vertAlign w:val="subscript"/>
              </w:rPr>
              <w:t>)</w:t>
            </w: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1" w:name="page32"/>
    <w:bookmarkEnd w:id="3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15" w:lineRule="exact"/>
        <w:rPr>
          <w:sz w:val="20"/>
          <w:szCs w:val="20"/>
          <w:color w:val="auto"/>
        </w:rPr>
      </w:pPr>
    </w:p>
    <w:p>
      <w:pPr>
        <w:ind w:left="20" w:right="80"/>
        <w:spacing w:after="0" w:line="25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September 30, 2023.</w:t>
      </w:r>
    </w:p>
    <w:p>
      <w:pPr>
        <w:spacing w:after="0" w:line="75" w:lineRule="exact"/>
        <w:rPr>
          <w:sz w:val="20"/>
          <w:szCs w:val="20"/>
          <w:color w:val="auto"/>
        </w:rPr>
      </w:pPr>
    </w:p>
    <w:p>
      <w:pPr>
        <w:ind w:left="20" w:right="40" w:firstLine="468"/>
        <w:spacing w:after="0" w:line="259" w:lineRule="auto"/>
        <w:rPr>
          <w:sz w:val="20"/>
          <w:szCs w:val="20"/>
          <w:color w:val="auto"/>
        </w:rPr>
      </w:pPr>
      <w:r>
        <w:rPr>
          <w:rFonts w:ascii="Arial" w:cs="Arial" w:eastAsia="Arial" w:hAnsi="Arial"/>
          <w:sz w:val="18"/>
          <w:szCs w:val="18"/>
          <w:color w:val="auto"/>
        </w:rPr>
        <w:t>The net effect of interest rate swap agreements was to decrease net interest income by $79 million and $211 million during the three-month and nine-month periods ended September 30, 2023, respectively, and to decrease net interest income by $22 million and to increase net interest income by $50 million during the three-month and nine-month periods ended September 30, 2022, respectively.</w:t>
      </w:r>
    </w:p>
    <w:p>
      <w:pPr>
        <w:spacing w:after="0" w:line="67" w:lineRule="exact"/>
        <w:rPr>
          <w:sz w:val="20"/>
          <w:szCs w:val="20"/>
          <w:color w:val="auto"/>
        </w:rPr>
      </w:pPr>
    </w:p>
    <w:p>
      <w:pPr>
        <w:ind w:left="20" w:right="80" w:firstLine="468"/>
        <w:spacing w:after="0" w:line="275"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gridSpan w:val="2"/>
          </w:tcPr>
          <w:p>
            <w:pPr>
              <w:ind w:left="700"/>
              <w:spacing w:after="0"/>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Estimated</w:t>
            </w:r>
          </w:p>
        </w:tc>
      </w:t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w w:val="99"/>
              </w:rPr>
              <w:t>Notional</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c>
          <w:tcPr>
            <w:tcW w:w="2060" w:type="dxa"/>
            <w:vAlign w:val="bottom"/>
            <w:gridSpan w:val="2"/>
          </w:tcPr>
          <w:p>
            <w:pPr>
              <w:ind w:left="600"/>
              <w:spacing w:after="0"/>
              <w:rPr>
                <w:sz w:val="20"/>
                <w:szCs w:val="20"/>
                <w:color w:val="auto"/>
              </w:rPr>
            </w:pPr>
            <w:r>
              <w:rPr>
                <w:rFonts w:ascii="Arial" w:cs="Arial" w:eastAsia="Arial" w:hAnsi="Arial"/>
                <w:sz w:val="13"/>
                <w:szCs w:val="13"/>
                <w:b w:val="1"/>
                <w:bCs w:val="1"/>
                <w:color w:val="auto"/>
              </w:rPr>
              <w:t>Average Rate</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Fair Value</w:t>
            </w:r>
          </w:p>
        </w:tc>
      </w:t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100" w:type="dxa"/>
            <w:vAlign w:val="bottom"/>
          </w:tcPr>
          <w:p>
            <w:pPr>
              <w:ind w:left="380"/>
              <w:spacing w:after="0"/>
              <w:rPr>
                <w:sz w:val="20"/>
                <w:szCs w:val="20"/>
                <w:color w:val="auto"/>
              </w:rPr>
            </w:pPr>
            <w:r>
              <w:rPr>
                <w:rFonts w:ascii="Arial" w:cs="Arial" w:eastAsia="Arial" w:hAnsi="Arial"/>
                <w:sz w:val="13"/>
                <w:szCs w:val="13"/>
                <w:b w:val="1"/>
                <w:bCs w:val="1"/>
                <w:color w:val="auto"/>
              </w:rPr>
              <w:t>Fixed</w:t>
            </w:r>
          </w:p>
        </w:tc>
        <w:tc>
          <w:tcPr>
            <w:tcW w:w="960" w:type="dxa"/>
            <w:vAlign w:val="bottom"/>
          </w:tcPr>
          <w:p>
            <w:pPr>
              <w:jc w:val="right"/>
              <w:ind w:right="289"/>
              <w:spacing w:after="0"/>
              <w:rPr>
                <w:sz w:val="20"/>
                <w:szCs w:val="20"/>
                <w:color w:val="auto"/>
              </w:rPr>
            </w:pPr>
            <w:r>
              <w:rPr>
                <w:rFonts w:ascii="Arial" w:cs="Arial" w:eastAsia="Arial" w:hAnsi="Arial"/>
                <w:sz w:val="13"/>
                <w:szCs w:val="13"/>
                <w:b w:val="1"/>
                <w:bCs w:val="1"/>
                <w:color w:val="auto"/>
              </w:rPr>
              <w:t>Variable</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Gain (Loss) (a)</w:t>
            </w:r>
          </w:p>
        </w:tc>
      </w:tr>
      <w:tr>
        <w:trPr>
          <w:trHeight w:val="183"/>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thousands)</w:t>
            </w:r>
          </w:p>
        </w:tc>
      </w:tr>
      <w:tr>
        <w:trPr>
          <w:trHeight w:val="192"/>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September 30, 2023</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100" w:type="dxa"/>
            <w:vAlign w:val="bottom"/>
            <w:shd w:val="clear" w:color="auto" w:fill="CFF0FC"/>
          </w:tcPr>
          <w:p>
            <w:pPr>
              <w:ind w:left="580"/>
              <w:spacing w:after="0"/>
              <w:rPr>
                <w:sz w:val="20"/>
                <w:szCs w:val="20"/>
                <w:color w:val="auto"/>
              </w:rPr>
            </w:pPr>
            <w:r>
              <w:rPr>
                <w:rFonts w:ascii="Arial" w:cs="Arial" w:eastAsia="Arial" w:hAnsi="Arial"/>
                <w:sz w:val="14"/>
                <w:szCs w:val="14"/>
                <w:color w:val="auto"/>
              </w:rPr>
              <w:t>3.11 %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5.74 %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3,108</w:t>
            </w: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Interest payments on variable rate commercial real estate loans (b) (c)</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23,977,000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100" w:type="dxa"/>
            <w:vAlign w:val="bottom"/>
            <w:shd w:val="clear" w:color="auto" w:fill="CFF0FC"/>
          </w:tcPr>
          <w:p>
            <w:pPr>
              <w:ind w:left="580"/>
              <w:spacing w:after="0"/>
              <w:rPr>
                <w:sz w:val="20"/>
                <w:szCs w:val="20"/>
                <w:color w:val="auto"/>
              </w:rPr>
            </w:pPr>
            <w:r>
              <w:rPr>
                <w:rFonts w:ascii="Arial" w:cs="Arial" w:eastAsia="Arial" w:hAnsi="Arial"/>
                <w:sz w:val="14"/>
                <w:szCs w:val="14"/>
                <w:color w:val="auto"/>
              </w:rPr>
              <w:t>3.45 %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5.32 %</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9,077</w:t>
            </w:r>
          </w:p>
        </w:tc>
        <w:tc>
          <w:tcPr>
            <w:tcW w:w="80" w:type="dxa"/>
            <w:vAlign w:val="bottom"/>
            <w:shd w:val="clear" w:color="auto" w:fill="CFF0FC"/>
          </w:tcPr>
          <w:p>
            <w:pPr>
              <w:spacing w:after="0"/>
              <w:rPr>
                <w:sz w:val="16"/>
                <w:szCs w:val="16"/>
                <w:color w:val="auto"/>
              </w:rPr>
            </w:pPr>
          </w:p>
        </w:tc>
      </w:tr>
      <w:tr>
        <w:trPr>
          <w:trHeight w:val="189"/>
        </w:trPr>
        <w:tc>
          <w:tcPr>
            <w:tcW w:w="5220" w:type="dxa"/>
            <w:vAlign w:val="bottom"/>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25,977,000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12,185</w:t>
            </w:r>
          </w:p>
        </w:tc>
        <w:tc>
          <w:tcPr>
            <w:tcW w:w="80" w:type="dxa"/>
            <w:vAlign w:val="bottom"/>
          </w:tcPr>
          <w:p>
            <w:pPr>
              <w:spacing w:after="0"/>
              <w:rPr>
                <w:sz w:val="16"/>
                <w:szCs w:val="16"/>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5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31, 2022</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Fixed rate long-term borrowings (b)</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100" w:type="dxa"/>
            <w:vAlign w:val="bottom"/>
            <w:shd w:val="clear" w:color="auto" w:fill="CFF0FC"/>
          </w:tcPr>
          <w:p>
            <w:pPr>
              <w:ind w:left="580"/>
              <w:spacing w:after="0"/>
              <w:rPr>
                <w:sz w:val="20"/>
                <w:szCs w:val="20"/>
                <w:color w:val="auto"/>
              </w:rPr>
            </w:pPr>
            <w:r>
              <w:rPr>
                <w:rFonts w:ascii="Arial" w:cs="Arial" w:eastAsia="Arial" w:hAnsi="Arial"/>
                <w:sz w:val="14"/>
                <w:szCs w:val="14"/>
                <w:color w:val="auto"/>
              </w:rPr>
              <w:t>2.98 %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4.52 %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(833 )</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Interest payments on variable rate commercial real estate loans (b) (d)</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15,900,000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100" w:type="dxa"/>
            <w:vAlign w:val="bottom"/>
            <w:shd w:val="clear" w:color="auto" w:fill="CFF0FC"/>
          </w:tcPr>
          <w:p>
            <w:pPr>
              <w:ind w:left="580"/>
              <w:spacing w:after="0"/>
              <w:rPr>
                <w:sz w:val="20"/>
                <w:szCs w:val="20"/>
                <w:color w:val="auto"/>
              </w:rPr>
            </w:pPr>
            <w:r>
              <w:rPr>
                <w:rFonts w:ascii="Arial" w:cs="Arial" w:eastAsia="Arial" w:hAnsi="Arial"/>
                <w:sz w:val="14"/>
                <w:szCs w:val="14"/>
                <w:color w:val="auto"/>
              </w:rPr>
              <w:t>1.91 %</w:t>
            </w:r>
          </w:p>
        </w:tc>
        <w:tc>
          <w:tcPr>
            <w:tcW w:w="9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4.38 %</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(7,059 )</w:t>
            </w:r>
          </w:p>
        </w:tc>
      </w:tr>
      <w:tr>
        <w:trPr>
          <w:trHeight w:val="192"/>
        </w:trPr>
        <w:tc>
          <w:tcPr>
            <w:tcW w:w="5220" w:type="dxa"/>
            <w:vAlign w:val="bottom"/>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17,400,000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(7,892 </w:t>
            </w:r>
            <w:r>
              <w:rPr>
                <w:rFonts w:ascii="Arial" w:cs="Arial" w:eastAsia="Arial" w:hAnsi="Arial"/>
                <w:sz w:val="22"/>
                <w:szCs w:val="22"/>
                <w:color w:val="auto"/>
                <w:vertAlign w:val="subscript"/>
              </w:rPr>
              <w:t>)</w:t>
            </w: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 w:lineRule="exact"/>
        <w:rPr>
          <w:sz w:val="20"/>
          <w:szCs w:val="20"/>
          <w:color w:val="auto"/>
        </w:rPr>
      </w:pPr>
    </w:p>
    <w:p>
      <w:pPr>
        <w:ind w:left="20" w:right="100"/>
        <w:spacing w:after="0" w:line="256" w:lineRule="auto"/>
        <w:rPr>
          <w:sz w:val="20"/>
          <w:szCs w:val="20"/>
          <w:color w:val="auto"/>
        </w:rPr>
      </w:pPr>
      <w:r>
        <w:rPr>
          <w:rFonts w:ascii="Arial" w:cs="Arial" w:eastAsia="Arial" w:hAnsi="Arial"/>
          <w:sz w:val="13"/>
          <w:szCs w:val="13"/>
          <w:i w:val="1"/>
          <w:iCs w:val="1"/>
          <w:color w:val="auto"/>
        </w:rPr>
        <w:t>(a)Certain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$163.9 million at September 30, 2023 and $65.0 million at December 31, 2022. The impact of such payments on interest rate swap agreements designated as cash flow hedges was a net settlement of losses of $538.5 million at September 30, 2023 and $329.7 million at December 31, 2022.</w:t>
      </w:r>
    </w:p>
    <w:p>
      <w:pPr>
        <w:ind w:left="20"/>
        <w:spacing w:after="0"/>
        <w:rPr>
          <w:sz w:val="20"/>
          <w:szCs w:val="20"/>
          <w:color w:val="auto"/>
        </w:rPr>
      </w:pPr>
      <w:r>
        <w:rPr>
          <w:rFonts w:ascii="Arial" w:cs="Arial" w:eastAsia="Arial" w:hAnsi="Arial"/>
          <w:sz w:val="13"/>
          <w:szCs w:val="13"/>
          <w:i w:val="1"/>
          <w:iCs w:val="1"/>
          <w:color w:val="auto"/>
        </w:rPr>
        <w:t>(b)Under the terms of these agreements, the Company receives settlement amounts at a fixed rate and pays at a variable rate.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(c)Includes notional amount and terms of $9.4 billion of forward-starting interest rate swap agreements that become effective in 2023 and 2024.</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(d)Includes notional amount and terms of $4.7 billion of forward-starting interest rate swap agreements that become effective in 2023.</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2" w:name="page33"/>
    <w:bookmarkEnd w:id="3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15" w:lineRule="exact"/>
        <w:rPr>
          <w:sz w:val="20"/>
          <w:szCs w:val="20"/>
          <w:color w:val="auto"/>
        </w:rPr>
      </w:pPr>
    </w:p>
    <w:p>
      <w:pPr>
        <w:ind w:left="20" w:firstLine="468"/>
        <w:spacing w:after="0" w:line="255"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Changes in unrealized gains and losses are included in mortgage banking revenues and, in general, are realized in subsequent periods as the related loans are sold and commitments satisfied.</w:t>
      </w:r>
    </w:p>
    <w:p>
      <w:pPr>
        <w:spacing w:after="0" w:line="73" w:lineRule="exact"/>
        <w:rPr>
          <w:sz w:val="20"/>
          <w:szCs w:val="20"/>
          <w:color w:val="auto"/>
        </w:rPr>
      </w:pPr>
    </w:p>
    <w:p>
      <w:pPr>
        <w:ind w:left="20" w:right="20" w:firstLine="468"/>
        <w:spacing w:after="0" w:line="256" w:lineRule="auto"/>
        <w:rPr>
          <w:sz w:val="20"/>
          <w:szCs w:val="20"/>
          <w:color w:val="auto"/>
        </w:rPr>
      </w:pPr>
      <w:r>
        <w:rPr>
          <w:rFonts w:ascii="Arial" w:cs="Arial" w:eastAsia="Arial" w:hAnsi="Arial"/>
          <w:sz w:val="18"/>
          <w:szCs w:val="18"/>
          <w:color w:val="auto"/>
        </w:rPr>
        <w:t>Other derivative financial instruments not designated as hedging instruments included interest rate contracts, foreign exchange and other option and futures contracts. Interest rate contracts not designated as hedging instruments had notional values of $44.2 billion and $45.1 billion at September 30, 2023 and December 31, 2022, respectively. The notional amounts of foreign exchange and other option and futures contracts not designated as hedging instruments aggregated $1.5 billion and $1.7 billion at September 30, 2023 and December 31, 2022, respectively.</w:t>
      </w:r>
    </w:p>
    <w:p>
      <w:pPr>
        <w:spacing w:after="0" w:line="72" w:lineRule="exact"/>
        <w:rPr>
          <w:sz w:val="20"/>
          <w:szCs w:val="20"/>
          <w:color w:val="auto"/>
        </w:rPr>
      </w:pPr>
    </w:p>
    <w:p>
      <w:pPr>
        <w:ind w:left="20" w:right="320" w:firstLine="468"/>
        <w:spacing w:after="0" w:line="275" w:lineRule="auto"/>
        <w:rPr>
          <w:sz w:val="20"/>
          <w:szCs w:val="20"/>
          <w:color w:val="auto"/>
        </w:rPr>
      </w:pPr>
      <w:r>
        <w:rPr>
          <w:rFonts w:ascii="Arial" w:cs="Arial" w:eastAsia="Arial" w:hAnsi="Arial"/>
          <w:sz w:val="18"/>
          <w:szCs w:val="18"/>
          <w:color w:val="auto"/>
        </w:rPr>
        <w:t>Information about the fair values of derivative instruments in the Company’s Consolidated Balance Sheet and Consolidated Statement of Income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right"/>
              <w:ind w:right="605"/>
              <w:spacing w:after="0"/>
              <w:rPr>
                <w:sz w:val="20"/>
                <w:szCs w:val="20"/>
                <w:color w:val="auto"/>
              </w:rPr>
            </w:pPr>
            <w:r>
              <w:rPr>
                <w:rFonts w:ascii="Arial" w:cs="Arial" w:eastAsia="Arial" w:hAnsi="Arial"/>
                <w:sz w:val="13"/>
                <w:szCs w:val="13"/>
                <w:b w:val="1"/>
                <w:bCs w:val="1"/>
                <w:color w:val="auto"/>
              </w:rPr>
              <w:t>Asset Derivatives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Liability Derivatives</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right"/>
              <w:ind w:right="845"/>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45"/>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designated and qualifying as hedging instruments (a)</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4"/>
          </w:tcPr>
          <w:p>
            <w:pPr>
              <w:jc w:val="right"/>
              <w:ind w:right="705"/>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rate swap agreements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4"/>
                <w:szCs w:val="14"/>
                <w:color w:val="auto"/>
              </w:rPr>
              <w:t>Commitments to sell real estate loans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18,469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and qualifying as hedging instruments (a)</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Mortgage banking:</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80"/>
              <w:spacing w:after="0"/>
              <w:rPr>
                <w:sz w:val="20"/>
                <w:szCs w:val="20"/>
                <w:color w:val="auto"/>
              </w:rPr>
            </w:pPr>
            <w:r>
              <w:rPr>
                <w:rFonts w:ascii="Arial" w:cs="Arial" w:eastAsia="Arial" w:hAnsi="Arial"/>
                <w:sz w:val="14"/>
                <w:szCs w:val="14"/>
                <w:color w:val="auto"/>
              </w:rPr>
              <w:t>Mortgage-related commitments to originate real estate loans for sale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Commitments to sell real estate loans</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60,036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51,410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62,416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51,862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53,866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180"/>
              <w:spacing w:after="0"/>
              <w:rPr>
                <w:sz w:val="20"/>
                <w:szCs w:val="20"/>
                <w:color w:val="auto"/>
              </w:rPr>
            </w:pPr>
            <w:r>
              <w:rPr>
                <w:rFonts w:ascii="Arial" w:cs="Arial" w:eastAsia="Arial" w:hAnsi="Arial"/>
                <w:sz w:val="14"/>
                <w:szCs w:val="14"/>
                <w:color w:val="auto"/>
              </w:rPr>
              <w:t>Interest rate contracts (b)</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323,865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1,420,668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1,278,180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Foreign exchange and other option and futures contracts</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15,552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24,062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14,361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339,417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379,868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1,435,029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derivatives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420,302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435,969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1,489,795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1,355,326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(a)Asset derivatives are reported in other assets and liability derivatives are reported in other liabilities.</w:t>
      </w:r>
    </w:p>
    <w:p>
      <w:pPr>
        <w:spacing w:after="0" w:line="21" w:lineRule="exact"/>
        <w:rPr>
          <w:sz w:val="20"/>
          <w:szCs w:val="20"/>
          <w:color w:val="auto"/>
        </w:rPr>
      </w:pPr>
    </w:p>
    <w:p>
      <w:pPr>
        <w:jc w:val="both"/>
        <w:ind w:left="20" w:right="160"/>
        <w:spacing w:after="0" w:line="263" w:lineRule="auto"/>
        <w:rPr>
          <w:sz w:val="20"/>
          <w:szCs w:val="20"/>
          <w:color w:val="auto"/>
        </w:rPr>
      </w:pPr>
      <w:r>
        <w:rPr>
          <w:rFonts w:ascii="Arial" w:cs="Arial" w:eastAsia="Arial" w:hAnsi="Arial"/>
          <w:sz w:val="13"/>
          <w:szCs w:val="13"/>
          <w:i w:val="1"/>
          <w:iCs w:val="1"/>
          <w:color w:val="auto"/>
        </w:rPr>
        <w:t>(b)The impact of variation margin payments at September 30, 2023 and December 31, 2022 was a reduction of the estimated fair value of interest rate contracts not designated as hedging instruments in an asset position of $1.2 billion and $1.1 billion, respectively, as of each period end, and in a liability position of $15.7 million and $29.2 million, respectively.</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6"/>
          </w:tcPr>
          <w:p>
            <w:pPr>
              <w:jc w:val="center"/>
              <w:spacing w:after="0"/>
              <w:rPr>
                <w:sz w:val="20"/>
                <w:szCs w:val="20"/>
                <w:color w:val="auto"/>
              </w:rPr>
            </w:pPr>
            <w:r>
              <w:rPr>
                <w:rFonts w:ascii="Arial" w:cs="Arial" w:eastAsia="Arial" w:hAnsi="Arial"/>
                <w:sz w:val="13"/>
                <w:szCs w:val="13"/>
                <w:b w:val="1"/>
                <w:bCs w:val="1"/>
                <w:color w:val="auto"/>
              </w:rPr>
              <w:t>Amount of Gain (Loss) Recognized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6"/>
          </w:tcPr>
          <w:p>
            <w:pPr>
              <w:jc w:val="center"/>
              <w:spacing w:after="0"/>
              <w:rPr>
                <w:sz w:val="20"/>
                <w:szCs w:val="20"/>
                <w:color w:val="auto"/>
              </w:rPr>
            </w:pPr>
            <w:r>
              <w:rPr>
                <w:rFonts w:ascii="Arial" w:cs="Arial" w:eastAsia="Arial" w:hAnsi="Arial"/>
                <w:sz w:val="13"/>
                <w:szCs w:val="13"/>
                <w:b w:val="1"/>
                <w:bCs w:val="1"/>
                <w:color w:val="auto"/>
              </w:rPr>
              <w:t>Three Months Ended September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774"/>
              <w:spacing w:after="0"/>
              <w:rPr>
                <w:sz w:val="20"/>
                <w:szCs w:val="20"/>
                <w:color w:val="auto"/>
              </w:rPr>
            </w:pPr>
            <w:r>
              <w:rPr>
                <w:rFonts w:ascii="Arial" w:cs="Arial" w:eastAsia="Arial" w:hAnsi="Arial"/>
                <w:sz w:val="13"/>
                <w:szCs w:val="13"/>
                <w:b w:val="1"/>
                <w:bCs w:val="1"/>
                <w:color w:val="auto"/>
                <w:w w:val="96"/>
              </w:rPr>
              <w:t>2023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748"/>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Hedged Item</w:t>
            </w:r>
          </w:p>
        </w:tc>
        <w:tc>
          <w:tcPr>
            <w:tcW w:w="34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Derivative</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Hedged Item</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Derivatives in fair value hedging relationships</w:t>
            </w: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6"/>
                <w:szCs w:val="16"/>
                <w:color w:val="auto"/>
              </w:rPr>
              <w:t>Interest rate swap agreements: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Fixed rate long-term borrowings (a)</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20"/>
              <w:spacing w:after="0" w:line="205" w:lineRule="exact"/>
              <w:rPr>
                <w:sz w:val="20"/>
                <w:szCs w:val="20"/>
                <w:color w:val="auto"/>
              </w:rPr>
            </w:pPr>
            <w:r>
              <w:rPr>
                <w:rFonts w:ascii="Arial" w:cs="Arial" w:eastAsia="Arial" w:hAnsi="Arial"/>
                <w:sz w:val="13"/>
                <w:szCs w:val="13"/>
                <w:color w:val="auto"/>
              </w:rPr>
              <w:t xml:space="preserve">(60,605 </w:t>
            </w:r>
            <w:r>
              <w:rPr>
                <w:rFonts w:ascii="Arial" w:cs="Arial" w:eastAsia="Arial" w:hAnsi="Arial"/>
                <w:sz w:val="23"/>
                <w:szCs w:val="23"/>
                <w:color w:val="auto"/>
                <w:vertAlign w:val="subscript"/>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60,737</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0"/>
              <w:spacing w:after="0" w:line="205" w:lineRule="exact"/>
              <w:rPr>
                <w:sz w:val="20"/>
                <w:szCs w:val="20"/>
                <w:color w:val="auto"/>
              </w:rPr>
            </w:pPr>
            <w:r>
              <w:rPr>
                <w:rFonts w:ascii="Arial" w:cs="Arial" w:eastAsia="Arial" w:hAnsi="Arial"/>
                <w:sz w:val="13"/>
                <w:szCs w:val="13"/>
                <w:color w:val="auto"/>
              </w:rPr>
              <w:t xml:space="preserve">(50,976 </w:t>
            </w:r>
            <w:r>
              <w:rPr>
                <w:rFonts w:ascii="Arial" w:cs="Arial" w:eastAsia="Arial" w:hAnsi="Arial"/>
                <w:sz w:val="23"/>
                <w:szCs w:val="23"/>
                <w:color w:val="auto"/>
                <w:vertAlign w:val="subscript"/>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50,821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640" w:type="dxa"/>
            <w:vAlign w:val="bottom"/>
            <w:tcBorders>
              <w:top w:val="single" w:sz="8" w:color="CFF0FC"/>
            </w:tcBorders>
          </w:tcPr>
          <w:p>
            <w:pPr>
              <w:spacing w:after="0"/>
              <w:rPr>
                <w:sz w:val="15"/>
                <w:szCs w:val="15"/>
                <w:color w:val="auto"/>
              </w:rPr>
            </w:pPr>
          </w:p>
        </w:tc>
        <w:tc>
          <w:tcPr>
            <w:tcW w:w="16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Arial" w:cs="Arial" w:eastAsia="Arial" w:hAnsi="Arial"/>
                <w:sz w:val="16"/>
                <w:szCs w:val="16"/>
                <w:color w:val="auto"/>
              </w:rPr>
              <w:t>Interest rate contracts (b)</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6,311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6,946</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exchange and other option and futures contracts (b)</w:t>
            </w: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4,232</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4,462</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11,408</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0" w:type="dxa"/>
            <w:vAlign w:val="bottom"/>
            <w:vMerge w:val="restart"/>
          </w:tcPr>
          <w:p>
            <w:pPr>
              <w:jc w:val="right"/>
              <w:ind w:right="702"/>
              <w:spacing w:after="0"/>
              <w:rPr>
                <w:sz w:val="20"/>
                <w:szCs w:val="20"/>
                <w:color w:val="auto"/>
              </w:rPr>
            </w:pPr>
            <w:r>
              <w:rPr>
                <w:rFonts w:ascii="Arial" w:cs="Arial" w:eastAsia="Arial" w:hAnsi="Arial"/>
                <w:sz w:val="16"/>
                <w:szCs w:val="16"/>
                <w:color w:val="auto"/>
              </w:rPr>
              <w:t>- 33 -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6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640" w:type="dxa"/>
            <w:vAlign w:val="bottom"/>
            <w:tcBorders>
              <w:bottom w:val="single" w:sz="8" w:color="EEEEEE"/>
            </w:tcBorders>
          </w:tcPr>
          <w:p>
            <w:pPr>
              <w:spacing w:after="0"/>
              <w:rPr>
                <w:sz w:val="7"/>
                <w:szCs w:val="7"/>
                <w:color w:val="auto"/>
              </w:rPr>
            </w:pPr>
          </w:p>
        </w:tc>
        <w:tc>
          <w:tcPr>
            <w:tcW w:w="160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58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90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3" w:name="page34"/>
    <w:bookmarkEnd w:id="33"/>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6"/>
          </w:tcPr>
          <w:p>
            <w:pPr>
              <w:jc w:val="center"/>
              <w:spacing w:after="0"/>
              <w:rPr>
                <w:sz w:val="20"/>
                <w:szCs w:val="20"/>
                <w:color w:val="auto"/>
              </w:rPr>
            </w:pPr>
            <w:r>
              <w:rPr>
                <w:rFonts w:ascii="Arial" w:cs="Arial" w:eastAsia="Arial" w:hAnsi="Arial"/>
                <w:sz w:val="13"/>
                <w:szCs w:val="13"/>
                <w:b w:val="1"/>
                <w:bCs w:val="1"/>
                <w:color w:val="auto"/>
              </w:rPr>
              <w:t>Amount of Gain (Loss) Recognized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6"/>
          </w:tcPr>
          <w:p>
            <w:pPr>
              <w:jc w:val="center"/>
              <w:spacing w:after="0"/>
              <w:rPr>
                <w:sz w:val="20"/>
                <w:szCs w:val="20"/>
                <w:color w:val="auto"/>
              </w:rPr>
            </w:pPr>
            <w:r>
              <w:rPr>
                <w:rFonts w:ascii="Arial" w:cs="Arial" w:eastAsia="Arial" w:hAnsi="Arial"/>
                <w:sz w:val="13"/>
                <w:szCs w:val="13"/>
                <w:b w:val="1"/>
                <w:bCs w:val="1"/>
                <w:color w:val="auto"/>
              </w:rPr>
              <w:t>Nine Months Ended September 30</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774"/>
              <w:spacing w:after="0"/>
              <w:rPr>
                <w:sz w:val="20"/>
                <w:szCs w:val="20"/>
                <w:color w:val="auto"/>
              </w:rPr>
            </w:pPr>
            <w:r>
              <w:rPr>
                <w:rFonts w:ascii="Arial" w:cs="Arial" w:eastAsia="Arial" w:hAnsi="Arial"/>
                <w:sz w:val="13"/>
                <w:szCs w:val="13"/>
                <w:b w:val="1"/>
                <w:bCs w:val="1"/>
                <w:color w:val="auto"/>
                <w:w w:val="96"/>
              </w:rPr>
              <w:t>2023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748"/>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Hedged Item</w:t>
            </w:r>
          </w:p>
        </w:tc>
        <w:tc>
          <w:tcPr>
            <w:tcW w:w="34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Derivative</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Hedged Item</w:t>
            </w:r>
          </w:p>
        </w:tc>
        <w:tc>
          <w:tcPr>
            <w:tcW w:w="0" w:type="dxa"/>
            <w:vAlign w:val="bottom"/>
          </w:tcPr>
          <w:p>
            <w:pPr>
              <w:spacing w:after="0"/>
              <w:rPr>
                <w:sz w:val="1"/>
                <w:szCs w:val="1"/>
                <w:color w:val="auto"/>
              </w:rPr>
            </w:pPr>
          </w:p>
        </w:tc>
      </w:tr>
      <w:tr>
        <w:trPr>
          <w:trHeight w:val="183"/>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in fair value hedging relationships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(In thousands)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 agreements:</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180"/>
              <w:spacing w:after="0"/>
              <w:rPr>
                <w:sz w:val="20"/>
                <w:szCs w:val="20"/>
                <w:color w:val="auto"/>
              </w:rPr>
            </w:pPr>
            <w:r>
              <w:rPr>
                <w:rFonts w:ascii="Arial" w:cs="Arial" w:eastAsia="Arial" w:hAnsi="Arial"/>
                <w:sz w:val="16"/>
                <w:szCs w:val="16"/>
                <w:color w:val="auto"/>
              </w:rPr>
              <w:t>Fixed rate long-term borrowings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line="204" w:lineRule="exact"/>
              <w:rPr>
                <w:sz w:val="20"/>
                <w:szCs w:val="20"/>
                <w:color w:val="auto"/>
              </w:rPr>
            </w:pPr>
            <w:r>
              <w:rPr>
                <w:rFonts w:ascii="Arial" w:cs="Arial" w:eastAsia="Arial" w:hAnsi="Arial"/>
                <w:sz w:val="13"/>
                <w:szCs w:val="13"/>
                <w:color w:val="auto"/>
              </w:rPr>
              <w:t xml:space="preserve">(94,997 </w:t>
            </w:r>
            <w:r>
              <w:rPr>
                <w:rFonts w:ascii="Arial" w:cs="Arial" w:eastAsia="Arial" w:hAnsi="Arial"/>
                <w:sz w:val="23"/>
                <w:szCs w:val="23"/>
                <w:color w:val="auto"/>
                <w:vertAlign w:val="subscript"/>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95,920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line="204" w:lineRule="exact"/>
              <w:rPr>
                <w:sz w:val="20"/>
                <w:szCs w:val="20"/>
                <w:color w:val="auto"/>
              </w:rPr>
            </w:pPr>
            <w:r>
              <w:rPr>
                <w:rFonts w:ascii="Arial" w:cs="Arial" w:eastAsia="Arial" w:hAnsi="Arial"/>
                <w:sz w:val="13"/>
                <w:szCs w:val="13"/>
                <w:color w:val="auto"/>
              </w:rPr>
              <w:t xml:space="preserve">(114,932 </w:t>
            </w:r>
            <w:r>
              <w:rPr>
                <w:rFonts w:ascii="Arial" w:cs="Arial" w:eastAsia="Arial" w:hAnsi="Arial"/>
                <w:sz w:val="23"/>
                <w:szCs w:val="23"/>
                <w:color w:val="auto"/>
                <w:vertAlign w:val="subscript"/>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contracts (b)</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25,027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17,907</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rPr>
                <w:sz w:val="20"/>
                <w:szCs w:val="20"/>
                <w:color w:val="auto"/>
              </w:rPr>
            </w:pPr>
            <w:r>
              <w:rPr>
                <w:rFonts w:ascii="Arial" w:cs="Arial" w:eastAsia="Arial" w:hAnsi="Arial"/>
                <w:sz w:val="16"/>
                <w:szCs w:val="16"/>
                <w:color w:val="auto"/>
              </w:rPr>
              <w:t>Foreign exchange and other option and futures contracts (b)</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10,701</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36,404</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28,608</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(a)Reported as an adjustment to interest expense.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(b)Reported as trading account and other non-hedging derivative gains.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auto"/>
              </w:rPr>
              <w:t>Cumulative Amount of Fair Value</w:t>
            </w:r>
          </w:p>
        </w:tc>
      </w:tr>
      <w:tr>
        <w:trPr>
          <w:trHeight w:val="156"/>
        </w:trPr>
        <w:tc>
          <w:tcPr>
            <w:tcW w:w="4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auto"/>
              </w:rPr>
              <w:t>Hedging Adjustment Increasing</w:t>
            </w:r>
          </w:p>
        </w:tc>
      </w:tr>
      <w:tr>
        <w:trPr>
          <w:trHeight w:val="156"/>
        </w:trPr>
        <w:tc>
          <w:tcPr>
            <w:tcW w:w="4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40" w:type="dxa"/>
            <w:vAlign w:val="bottom"/>
            <w:gridSpan w:val="4"/>
          </w:tcPr>
          <w:p>
            <w:pPr>
              <w:jc w:val="center"/>
              <w:ind w:left="30"/>
              <w:spacing w:after="0"/>
              <w:rPr>
                <w:sz w:val="20"/>
                <w:szCs w:val="20"/>
                <w:color w:val="auto"/>
              </w:rPr>
            </w:pPr>
            <w:r>
              <w:rPr>
                <w:rFonts w:ascii="Arial" w:cs="Arial" w:eastAsia="Arial" w:hAnsi="Arial"/>
                <w:sz w:val="13"/>
                <w:szCs w:val="13"/>
                <w:b w:val="1"/>
                <w:bCs w:val="1"/>
                <w:color w:val="auto"/>
              </w:rPr>
              <w:t>(Decreasing) the Carrying Amount of</w:t>
            </w:r>
          </w:p>
        </w:tc>
      </w:tr>
      <w:tr>
        <w:trPr>
          <w:trHeight w:val="180"/>
        </w:trPr>
        <w:tc>
          <w:tcPr>
            <w:tcW w:w="4340" w:type="dxa"/>
            <w:vAlign w:val="bottom"/>
          </w:tcPr>
          <w:p>
            <w:pPr>
              <w:spacing w:after="0"/>
              <w:rPr>
                <w:sz w:val="15"/>
                <w:szCs w:val="15"/>
                <w:color w:val="auto"/>
              </w:rPr>
            </w:pPr>
          </w:p>
        </w:tc>
        <w:tc>
          <w:tcPr>
            <w:tcW w:w="3580" w:type="dxa"/>
            <w:vAlign w:val="bottom"/>
            <w:gridSpan w:val="2"/>
          </w:tcPr>
          <w:p>
            <w:pPr>
              <w:ind w:left="1080"/>
              <w:spacing w:after="0"/>
              <w:rPr>
                <w:sz w:val="20"/>
                <w:szCs w:val="20"/>
                <w:color w:val="auto"/>
              </w:rPr>
            </w:pPr>
            <w:r>
              <w:rPr>
                <w:rFonts w:ascii="Arial" w:cs="Arial" w:eastAsia="Arial" w:hAnsi="Arial"/>
                <w:sz w:val="13"/>
                <w:szCs w:val="13"/>
                <w:b w:val="1"/>
                <w:bCs w:val="1"/>
                <w:color w:val="auto"/>
              </w:rPr>
              <w:t>Carrying Amount of the Hedged Item</w:t>
            </w:r>
          </w:p>
        </w:tc>
        <w:tc>
          <w:tcPr>
            <w:tcW w:w="300" w:type="dxa"/>
            <w:vAlign w:val="bottom"/>
          </w:tcPr>
          <w:p>
            <w:pPr>
              <w:spacing w:after="0"/>
              <w:rPr>
                <w:sz w:val="15"/>
                <w:szCs w:val="15"/>
                <w:color w:val="auto"/>
              </w:rPr>
            </w:pPr>
          </w:p>
        </w:tc>
        <w:tc>
          <w:tcPr>
            <w:tcW w:w="1620" w:type="dxa"/>
            <w:vAlign w:val="bottom"/>
            <w:gridSpan w:val="2"/>
          </w:tcPr>
          <w:p>
            <w:pPr>
              <w:jc w:val="center"/>
              <w:ind w:left="452"/>
              <w:spacing w:after="0"/>
              <w:rPr>
                <w:sz w:val="20"/>
                <w:szCs w:val="20"/>
                <w:color w:val="auto"/>
              </w:rPr>
            </w:pPr>
            <w:r>
              <w:rPr>
                <w:rFonts w:ascii="Arial" w:cs="Arial" w:eastAsia="Arial" w:hAnsi="Arial"/>
                <w:sz w:val="13"/>
                <w:szCs w:val="13"/>
                <w:b w:val="1"/>
                <w:bCs w:val="1"/>
                <w:color w:val="auto"/>
              </w:rPr>
              <w:t>the Hedged Item</w:t>
            </w:r>
          </w:p>
        </w:tc>
        <w:tc>
          <w:tcPr>
            <w:tcW w:w="72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2240" w:type="dxa"/>
            <w:vAlign w:val="bottom"/>
          </w:tcPr>
          <w:p>
            <w:pPr>
              <w:ind w:left="1100"/>
              <w:spacing w:after="0"/>
              <w:rPr>
                <w:sz w:val="20"/>
                <w:szCs w:val="20"/>
                <w:color w:val="auto"/>
              </w:rPr>
            </w:pPr>
            <w:r>
              <w:rPr>
                <w:rFonts w:ascii="Arial" w:cs="Arial" w:eastAsia="Arial" w:hAnsi="Arial"/>
                <w:sz w:val="13"/>
                <w:szCs w:val="13"/>
                <w:b w:val="1"/>
                <w:bCs w:val="1"/>
                <w:color w:val="auto"/>
              </w:rPr>
              <w:t>September 30,</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December 31,</w:t>
            </w: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September 30,</w:t>
            </w:r>
          </w:p>
        </w:tc>
        <w:tc>
          <w:tcPr>
            <w:tcW w:w="120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4340" w:type="dxa"/>
            <w:vAlign w:val="bottom"/>
          </w:tcPr>
          <w:p>
            <w:pPr>
              <w:spacing w:after="0"/>
              <w:rPr>
                <w:sz w:val="15"/>
                <w:szCs w:val="15"/>
                <w:color w:val="auto"/>
              </w:rPr>
            </w:pPr>
          </w:p>
        </w:tc>
        <w:tc>
          <w:tcPr>
            <w:tcW w:w="2240" w:type="dxa"/>
            <w:vAlign w:val="bottom"/>
          </w:tcPr>
          <w:p>
            <w:pPr>
              <w:jc w:val="right"/>
              <w:ind w:right="471"/>
              <w:spacing w:after="0"/>
              <w:rPr>
                <w:sz w:val="20"/>
                <w:szCs w:val="20"/>
                <w:color w:val="auto"/>
              </w:rPr>
            </w:pPr>
            <w:r>
              <w:rPr>
                <w:rFonts w:ascii="Arial" w:cs="Arial" w:eastAsia="Arial" w:hAnsi="Arial"/>
                <w:sz w:val="13"/>
                <w:szCs w:val="13"/>
                <w:b w:val="1"/>
                <w:bCs w:val="1"/>
                <w:color w:val="auto"/>
              </w:rPr>
              <w:t>2023</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3"/>
                <w:szCs w:val="13"/>
                <w:b w:val="1"/>
                <w:bCs w:val="1"/>
                <w:color w:val="auto"/>
              </w:rPr>
              <w:t>2023</w:t>
            </w:r>
          </w:p>
        </w:tc>
        <w:tc>
          <w:tcPr>
            <w:tcW w:w="480" w:type="dxa"/>
            <w:vAlign w:val="bottom"/>
          </w:tcPr>
          <w:p>
            <w:pPr>
              <w:spacing w:after="0"/>
              <w:rPr>
                <w:sz w:val="15"/>
                <w:szCs w:val="15"/>
                <w:color w:val="auto"/>
              </w:rPr>
            </w:pPr>
          </w:p>
        </w:tc>
        <w:tc>
          <w:tcPr>
            <w:tcW w:w="720" w:type="dxa"/>
            <w:vAlign w:val="bottom"/>
          </w:tcPr>
          <w:p>
            <w:pPr>
              <w:jc w:val="right"/>
              <w:ind w:right="328"/>
              <w:spacing w:after="0"/>
              <w:rPr>
                <w:sz w:val="20"/>
                <w:szCs w:val="20"/>
                <w:color w:val="auto"/>
              </w:rPr>
            </w:pPr>
            <w:r>
              <w:rPr>
                <w:rFonts w:ascii="Arial" w:cs="Arial" w:eastAsia="Arial" w:hAnsi="Arial"/>
                <w:sz w:val="13"/>
                <w:szCs w:val="13"/>
                <w:b w:val="1"/>
                <w:bCs w:val="1"/>
                <w:color w:val="auto"/>
              </w:rPr>
              <w:t>2022</w:t>
            </w:r>
          </w:p>
        </w:tc>
      </w:tr>
      <w:tr>
        <w:trPr>
          <w:trHeight w:val="240"/>
        </w:trPr>
        <w:tc>
          <w:tcPr>
            <w:tcW w:w="4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3"/>
          </w:tcPr>
          <w:p>
            <w:pPr>
              <w:jc w:val="right"/>
              <w:ind w:right="912"/>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77"/>
        </w:trPr>
        <w:tc>
          <w:tcPr>
            <w:tcW w:w="4340" w:type="dxa"/>
            <w:vAlign w:val="bottom"/>
            <w:shd w:val="clear" w:color="auto" w:fill="CFF0FC"/>
          </w:tcPr>
          <w:p>
            <w:pPr>
              <w:ind w:left="20"/>
              <w:spacing w:after="0" w:line="177" w:lineRule="exact"/>
              <w:rPr>
                <w:sz w:val="20"/>
                <w:szCs w:val="20"/>
                <w:color w:val="auto"/>
              </w:rPr>
            </w:pPr>
            <w:r>
              <w:rPr>
                <w:rFonts w:ascii="Arial" w:cs="Arial" w:eastAsia="Arial" w:hAnsi="Arial"/>
                <w:sz w:val="16"/>
                <w:szCs w:val="16"/>
                <w:b w:val="1"/>
                <w:bCs w:val="1"/>
                <w:color w:val="auto"/>
              </w:rPr>
              <w:t>Location in the Consolidated Balance Sheet</w:t>
            </w:r>
          </w:p>
        </w:tc>
        <w:tc>
          <w:tcPr>
            <w:tcW w:w="2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r>
      <w:tr>
        <w:trPr>
          <w:trHeight w:val="207"/>
        </w:trPr>
        <w:tc>
          <w:tcPr>
            <w:tcW w:w="43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of the Hedged Items in Fair Value Hedges</w:t>
            </w:r>
          </w:p>
        </w:tc>
        <w:tc>
          <w:tcPr>
            <w:tcW w:w="2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04"/>
        </w:trPr>
        <w:tc>
          <w:tcPr>
            <w:tcW w:w="4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w:t>
            </w:r>
          </w:p>
        </w:tc>
        <w:tc>
          <w:tcPr>
            <w:tcW w:w="2240" w:type="dxa"/>
            <w:vAlign w:val="bottom"/>
            <w:shd w:val="clear" w:color="auto" w:fill="CFF0FC"/>
          </w:tcPr>
          <w:p>
            <w:pPr>
              <w:ind w:left="1060"/>
              <w:spacing w:after="0"/>
              <w:rPr>
                <w:sz w:val="20"/>
                <w:szCs w:val="20"/>
                <w:color w:val="auto"/>
              </w:rPr>
            </w:pPr>
            <w:r>
              <w:rPr>
                <w:rFonts w:ascii="Arial" w:cs="Arial" w:eastAsia="Arial" w:hAnsi="Arial"/>
                <w:sz w:val="16"/>
                <w:szCs w:val="16"/>
                <w:color w:val="auto"/>
              </w:rPr>
              <w:t>$   1,834,030</w:t>
            </w:r>
          </w:p>
        </w:tc>
        <w:tc>
          <w:tcPr>
            <w:tcW w:w="1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  1,433,731</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12"/>
              <w:spacing w:after="0"/>
              <w:rPr>
                <w:sz w:val="20"/>
                <w:szCs w:val="20"/>
                <w:color w:val="auto"/>
              </w:rPr>
            </w:pPr>
            <w:r>
              <w:rPr>
                <w:rFonts w:ascii="Arial" w:cs="Arial" w:eastAsia="Arial" w:hAnsi="Arial"/>
                <w:sz w:val="16"/>
                <w:szCs w:val="16"/>
                <w:color w:val="auto"/>
              </w:rPr>
              <w:t>(161,230 )</w:t>
            </w:r>
          </w:p>
        </w:tc>
        <w:tc>
          <w:tcPr>
            <w:tcW w:w="48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(65,310 )</w:t>
            </w:r>
          </w:p>
        </w:tc>
      </w:tr>
    </w:tbl>
    <w:p>
      <w:pPr>
        <w:spacing w:after="0" w:line="317" w:lineRule="exact"/>
        <w:rPr>
          <w:sz w:val="20"/>
          <w:szCs w:val="20"/>
          <w:color w:val="auto"/>
        </w:rPr>
      </w:pPr>
    </w:p>
    <w:p>
      <w:pPr>
        <w:ind w:left="20" w:right="20" w:firstLine="468"/>
        <w:spacing w:after="0" w:line="255" w:lineRule="auto"/>
        <w:rPr>
          <w:sz w:val="20"/>
          <w:szCs w:val="20"/>
          <w:color w:val="auto"/>
        </w:rPr>
      </w:pPr>
      <w:r>
        <w:rPr>
          <w:rFonts w:ascii="Arial" w:cs="Arial" w:eastAsia="Arial" w:hAnsi="Arial"/>
          <w:sz w:val="18"/>
          <w:szCs w:val="18"/>
          <w:color w:val="auto"/>
        </w:rPr>
        <w:t>The amount of interest income recognized in the Consolidated Statement of Income associated with derivatives designated as cash flow hedges was a decrease of $65 million and $22 million for the three months ended September 30, 2023 and 2022, respectively, and a decrease of $173 million and an increase of $36 million for the nine-month period ended September 30, 2023 and 2022, respectively. As of September 30, 2023 the unrealized net loss recognized in other comprehensive income related to cash flow hedges was $529 million, of which losses of $13 million, $357 million and $159 million related to interest rate swap agreements maturing in 2024, 2025 and 2026, respectively.</w:t>
      </w:r>
    </w:p>
    <w:p>
      <w:pPr>
        <w:spacing w:after="0" w:line="73" w:lineRule="exact"/>
        <w:rPr>
          <w:sz w:val="20"/>
          <w:szCs w:val="20"/>
          <w:color w:val="auto"/>
        </w:rPr>
      </w:pPr>
    </w:p>
    <w:p>
      <w:pPr>
        <w:ind w:left="20" w:right="160" w:firstLine="468"/>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1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aggregate fair value of derivative financial instruments in a liability position, which are subject to master netting arrangements and the related collateral posted, was not material at each of September 30, 2023 and December 31, 2022.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2023 was not material.</w:t>
      </w:r>
    </w:p>
    <w:p>
      <w:pPr>
        <w:spacing w:after="0" w:line="75" w:lineRule="exact"/>
        <w:rPr>
          <w:sz w:val="20"/>
          <w:szCs w:val="20"/>
          <w:color w:val="auto"/>
        </w:rPr>
      </w:pPr>
    </w:p>
    <w:p>
      <w:pPr>
        <w:ind w:right="120" w:firstLine="468"/>
        <w:spacing w:after="0" w:line="256" w:lineRule="auto"/>
        <w:rPr>
          <w:sz w:val="20"/>
          <w:szCs w:val="20"/>
          <w:color w:val="auto"/>
        </w:rPr>
      </w:pPr>
      <w:r>
        <w:rPr>
          <w:rFonts w:ascii="Arial" w:cs="Arial" w:eastAsia="Arial" w:hAnsi="Arial"/>
          <w:sz w:val="18"/>
          <w:szCs w:val="18"/>
          <w:color w:val="auto"/>
        </w:rPr>
        <w:t>The aggregate fair value of derivative financial instruments in an asset position with counterparties, which are subject to enforceable master netting arrangements, was $381 million at September 30, 2023 and $314 million at December 31, 2022. Counterparties posted collateral relating to those positions of $ 386 million at September 30, 2023 and $312 million at December 31, 2022, respectively. Interest rate swap agreements entered into with customers are subject to the Company’s credit risk standards and often contain collateral provisions.</w:t>
      </w:r>
    </w:p>
    <w:p>
      <w:pPr>
        <w:spacing w:after="0" w:line="72" w:lineRule="exact"/>
        <w:rPr>
          <w:sz w:val="20"/>
          <w:szCs w:val="20"/>
          <w:color w:val="auto"/>
        </w:rPr>
      </w:pPr>
    </w:p>
    <w:p>
      <w:pPr>
        <w:ind w:right="340" w:firstLine="468"/>
        <w:spacing w:after="0" w:line="254"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$143 million and $205 million at September 30, 2023 and December 31, 2022,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Company’s securitization activity includes securitizing loans originated for sale into government issued or guaranteed mortgage-backed securities. The Company has not recognized any losses as a result of having securitized assets.</w:t>
      </w:r>
    </w:p>
    <w:p>
      <w:pPr>
        <w:spacing w:after="0" w:line="54"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In August 2023, a subsidiary of M&amp;T Bank issued asset-backed notes secured by equipment finance loans and leases. Approximately $666 million of such loans and leases were sold into a special purpose trust which in turn issued asset-backed notes to investors. The loans and leases continue to be serviced by the subsidiary. A total of $550 million of such notes, representing the senior-most notes in the securitization, were purchased by third parties. Those asset-backed notes had a weighted average estimated life of approximately two years and a weighted average interest rate of 5.84% at the time of securitization. Additionally, $88 million of asset-backed notes representing subordinate note classes and other residual interests were issued by the trust and retained by the Company. As a result of the retention of the subordinate interests and its continued role as servicer of the loans and leases, the Company is considered to be the primary beneficiary of the securitization trust and, accordingly, the trust has been included in the Company's consolidated financial statements. At September 30, 2023, the remaining balance of the loans and leases in trust was $643 million and the outstanding asset-backed notes issued to third party investors was $517 million.</w:t>
      </w:r>
    </w:p>
    <w:p>
      <w:pPr>
        <w:spacing w:after="0" w:line="75"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M&amp;T has issued junior subordinated debentures payable to various trusts that have issued preferred capital securities. M&amp;T owns the common securities of those trust entities. The Company is not considered to be the primary beneficiary of those entities and, accordingly, the trusts are not included in the Company’s consolidated financial statements. At each of September 30, 2023 and December 31, 2022, the Company included the junior subordinated debentures as “long-term borrowings” in its Consolidated Balance Sheet and recognized $22 million in other assets for its “investment” in the common securities of the trusts that will be concomitantly repaid to M&amp;T by the respective trust from the proceeds of M&amp;T’s repayment of the junior subordinated debentures associated with preferred capital securities.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35" w:name="page36"/>
    <w:bookmarkEnd w:id="35"/>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15" w:lineRule="exact"/>
        <w:rPr>
          <w:sz w:val="20"/>
          <w:szCs w:val="20"/>
          <w:color w:val="auto"/>
        </w:rPr>
      </w:pPr>
    </w:p>
    <w:p>
      <w:pPr>
        <w:ind w:left="20" w:firstLine="468"/>
        <w:spacing w:after="0" w:line="251"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$9.8 billion at September 30, 2023 and $9.2 billion at December 31, 2022. Those partnerships generally construct or acquire properties, including properties and facilities that produce renewable energy, for which the investing partners are eligible to receive certain federal income tax credits in accordance with government guidelines. State income tax credits may also be available in certain circumstances. Such investments also typically provide tax deductible losses to the partners. The partnership investments may also assist the Company in achieving its community reinvestment and sustainability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$1.4 billion and $1.5 billion at September 30, 2023 and December 31, 2022, respectively, including $491 million and $545 million of unfunded commitments, at each of those respective dates. Contingent commitments to provide additional capital contributions to these partnerships were $49 million at September 30, 2023. The Company has not provided financial or other support to the partnerships that was not contractually required. The Company’s maximum exposure to loss from its investments in such partnerships as of September 30, 2023 was $2.1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$46 million and $128 million of its investments in qualified affordable housing projects to income tax expense during the three-month and nine-month periods ended September 30, 2023, respectively, and recognized $52 million and $147 million of tax credits and other tax benefits during those respective periods. Similarly, for the three- month and nine-month periods ended September 30, 2022, the Company amortized $37 million and $94 million of its investments in qualified affordable housing projects to income tax expense, respectively, and recognized $44 million and $108 million of tax credits and other tax benefits during those respective periods.</w:t>
      </w:r>
    </w:p>
    <w:p>
      <w:pPr>
        <w:spacing w:after="0" w:line="86" w:lineRule="exact"/>
        <w:rPr>
          <w:sz w:val="20"/>
          <w:szCs w:val="20"/>
          <w:color w:val="auto"/>
        </w:rPr>
      </w:pPr>
    </w:p>
    <w:p>
      <w:pPr>
        <w:ind w:left="20" w:right="580" w:firstLine="468"/>
        <w:spacing w:after="0" w:line="263"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15" w:lineRule="exact"/>
        <w:rPr>
          <w:sz w:val="20"/>
          <w:szCs w:val="20"/>
          <w:color w:val="auto"/>
        </w:rPr>
      </w:pPr>
    </w:p>
    <w:p>
      <w:pPr>
        <w:ind w:left="20" w:right="480"/>
        <w:spacing w:after="0" w:line="275"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2023.</w:t>
      </w:r>
    </w:p>
    <w:p>
      <w:pPr>
        <w:spacing w:after="0" w:line="54" w:lineRule="exact"/>
        <w:rPr>
          <w:sz w:val="20"/>
          <w:szCs w:val="20"/>
          <w:color w:val="auto"/>
        </w:rPr>
      </w:pPr>
    </w:p>
    <w:p>
      <w:pPr>
        <w:ind w:left="20" w:right="260" w:firstLine="468"/>
        <w:spacing w:after="0" w:line="263"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Valuation is based on quoted prices in active markets for identical assets and liabilities.</w:t>
      </w:r>
    </w:p>
    <w:p>
      <w:pPr>
        <w:spacing w:after="0" w:line="105" w:lineRule="exact"/>
        <w:rPr>
          <w:sz w:val="20"/>
          <w:szCs w:val="20"/>
          <w:color w:val="auto"/>
        </w:rPr>
      </w:pPr>
    </w:p>
    <w:p>
      <w:pPr>
        <w:ind w:left="500" w:right="240"/>
        <w:spacing w:after="0" w:line="263" w:lineRule="auto"/>
        <w:rPr>
          <w:sz w:val="20"/>
          <w:szCs w:val="20"/>
          <w:color w:val="auto"/>
        </w:rPr>
      </w:pPr>
      <w:r>
        <w:rPr>
          <w:rFonts w:ascii="Arial" w:cs="Arial" w:eastAsia="Arial" w:hAnsi="Arial"/>
          <w:sz w:val="18"/>
          <w:szCs w:val="18"/>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64" w:lineRule="exact"/>
        <w:rPr>
          <w:sz w:val="20"/>
          <w:szCs w:val="20"/>
          <w:color w:val="auto"/>
        </w:rPr>
      </w:pPr>
    </w:p>
    <w:p>
      <w:pPr>
        <w:jc w:val="both"/>
        <w:ind w:left="500" w:right="80"/>
        <w:spacing w:after="0" w:line="263" w:lineRule="auto"/>
        <w:rPr>
          <w:sz w:val="20"/>
          <w:szCs w:val="20"/>
          <w:color w:val="auto"/>
        </w:rPr>
      </w:pPr>
      <w:r>
        <w:rPr>
          <w:rFonts w:ascii="Arial" w:cs="Arial" w:eastAsia="Arial" w:hAnsi="Arial"/>
          <w:sz w:val="18"/>
          <w:szCs w:val="18"/>
          <w:color w:val="auto"/>
        </w:rPr>
        <w:t>•Level 3 — Valuation is derived from model- based and other techniques in which at least one significant input is unobservable and which may be based on the Company's own estimates about the assumptions that market participants would use to value the asset or liability.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211" w:lineRule="exact"/>
        <w:rPr>
          <w:sz w:val="20"/>
          <w:szCs w:val="20"/>
          <w:color w:val="auto"/>
        </w:rPr>
      </w:pPr>
    </w:p>
    <w:p>
      <w:pPr>
        <w:ind w:left="20" w:right="280" w:firstLine="468"/>
        <w:spacing w:after="0" w:line="255" w:lineRule="auto"/>
        <w:rPr>
          <w:sz w:val="20"/>
          <w:szCs w:val="20"/>
          <w:color w:val="auto"/>
        </w:rPr>
      </w:pPr>
      <w:r>
        <w:rPr>
          <w:rFonts w:ascii="Arial" w:cs="Arial" w:eastAsia="Arial" w:hAnsi="Arial"/>
          <w:sz w:val="18"/>
          <w:szCs w:val="18"/>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Trading account</w:t>
      </w:r>
    </w:p>
    <w:p>
      <w:pPr>
        <w:spacing w:after="0" w:line="31" w:lineRule="exact"/>
        <w:rPr>
          <w:sz w:val="20"/>
          <w:szCs w:val="20"/>
          <w:color w:val="auto"/>
        </w:rPr>
      </w:pPr>
    </w:p>
    <w:p>
      <w:pPr>
        <w:ind w:left="20" w:right="180"/>
        <w:spacing w:after="0" w:line="254" w:lineRule="auto"/>
        <w:rPr>
          <w:sz w:val="20"/>
          <w:szCs w:val="20"/>
          <w:color w:val="auto"/>
        </w:rPr>
      </w:pPr>
      <w:r>
        <w:rPr>
          <w:rFonts w:ascii="Arial" w:cs="Arial" w:eastAsia="Arial" w:hAnsi="Arial"/>
          <w:sz w:val="18"/>
          <w:szCs w:val="18"/>
          <w:color w:val="auto"/>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Investment securities available for sale and equity securities</w:t>
      </w:r>
    </w:p>
    <w:p>
      <w:pPr>
        <w:spacing w:after="0" w:line="31"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31" w:lineRule="exact"/>
        <w:rPr>
          <w:sz w:val="20"/>
          <w:szCs w:val="20"/>
          <w:color w:val="auto"/>
        </w:rPr>
      </w:pPr>
    </w:p>
    <w:p>
      <w:pPr>
        <w:ind w:left="20" w:right="140"/>
        <w:spacing w:after="0" w:line="252"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31" w:lineRule="exact"/>
        <w:rPr>
          <w:sz w:val="20"/>
          <w:szCs w:val="20"/>
          <w:color w:val="auto"/>
        </w:rPr>
      </w:pPr>
    </w:p>
    <w:p>
      <w:pPr>
        <w:ind w:left="20" w:right="100"/>
        <w:spacing w:after="0" w:line="251"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31"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37" w:name="page38"/>
    <w:bookmarkEnd w:id="37"/>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non-hedging derivatives</w:t>
      </w:r>
    </w:p>
    <w:p>
      <w:pPr>
        <w:spacing w:after="0" w:line="31" w:lineRule="exact"/>
        <w:rPr>
          <w:sz w:val="20"/>
          <w:szCs w:val="20"/>
          <w:color w:val="auto"/>
        </w:rPr>
      </w:pPr>
    </w:p>
    <w:p>
      <w:pPr>
        <w:ind w:left="20" w:right="40"/>
        <w:spacing w:after="0" w:line="254" w:lineRule="auto"/>
        <w:rPr>
          <w:sz w:val="20"/>
          <w:szCs w:val="20"/>
          <w:color w:val="auto"/>
        </w:rPr>
      </w:pPr>
      <w:r>
        <w:rPr>
          <w:rFonts w:ascii="Arial" w:cs="Arial" w:eastAsia="Arial" w:hAnsi="Arial"/>
          <w:sz w:val="18"/>
          <w:szCs w:val="18"/>
          <w:color w:val="auto"/>
        </w:rPr>
        <w:t>Other 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other non-hedging derivative assets and liabilities using externally developed pricing models based on market observable inputs and, therefore, classifies such valuations as Level 2.</w:t>
      </w:r>
    </w:p>
    <w:p>
      <w:pPr>
        <w:spacing w:after="0" w:line="72" w:lineRule="exact"/>
        <w:rPr>
          <w:sz w:val="20"/>
          <w:szCs w:val="20"/>
          <w:color w:val="auto"/>
        </w:rPr>
      </w:pPr>
    </w:p>
    <w:p>
      <w:pPr>
        <w:ind w:left="20" w:right="160" w:firstLine="468"/>
        <w:spacing w:after="0" w:line="275" w:lineRule="auto"/>
        <w:rPr>
          <w:sz w:val="20"/>
          <w:szCs w:val="20"/>
          <w:color w:val="auto"/>
        </w:rPr>
      </w:pPr>
      <w:r>
        <w:rPr>
          <w:rFonts w:ascii="Arial" w:cs="Arial" w:eastAsia="Arial" w:hAnsi="Arial"/>
          <w:sz w:val="18"/>
          <w:szCs w:val="18"/>
          <w:color w:val="auto"/>
        </w:rPr>
        <w:t>The following tables present assets and liabilities at September 30, 2023 and December 31, 2022 measured at estimated fair value on a recurring basis: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83"/>
              <w:spacing w:after="0"/>
              <w:rPr>
                <w:sz w:val="20"/>
                <w:szCs w:val="20"/>
                <w:color w:val="auto"/>
              </w:rPr>
            </w:pPr>
            <w:r>
              <w:rPr>
                <w:rFonts w:ascii="Arial" w:cs="Arial" w:eastAsia="Arial" w:hAnsi="Arial"/>
                <w:sz w:val="13"/>
                <w:szCs w:val="13"/>
                <w:b w:val="1"/>
                <w:bCs w:val="1"/>
                <w:color w:val="auto"/>
              </w:rPr>
              <w:t>Fair Value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3"/>
              <w:spacing w:after="0"/>
              <w:rPr>
                <w:sz w:val="20"/>
                <w:szCs w:val="20"/>
                <w:color w:val="auto"/>
              </w:rPr>
            </w:pPr>
            <w:r>
              <w:rPr>
                <w:rFonts w:ascii="Arial" w:cs="Arial" w:eastAsia="Arial" w:hAnsi="Arial"/>
                <w:sz w:val="13"/>
                <w:szCs w:val="13"/>
                <w:b w:val="1"/>
                <w:bCs w:val="1"/>
                <w:color w:val="auto"/>
                <w:w w:val="98"/>
              </w:rPr>
              <w:t>Measurements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63"/>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62"/>
              <w:spacing w:after="0"/>
              <w:rPr>
                <w:sz w:val="20"/>
                <w:szCs w:val="20"/>
                <w:color w:val="auto"/>
              </w:rPr>
            </w:pPr>
            <w:r>
              <w:rPr>
                <w:rFonts w:ascii="Arial" w:cs="Arial" w:eastAsia="Arial" w:hAnsi="Arial"/>
                <w:sz w:val="13"/>
                <w:szCs w:val="13"/>
                <w:b w:val="1"/>
                <w:bCs w:val="1"/>
                <w:color w:val="auto"/>
              </w:rPr>
              <w:t>Level 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30, 2023</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6"/>
                <w:szCs w:val="16"/>
                <w:color w:val="auto"/>
              </w:rPr>
              <w:t>Trading account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136,998</w:t>
            </w:r>
          </w:p>
        </w:tc>
        <w:tc>
          <w:tcPr>
            <w:tcW w:w="5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118,838</w:t>
            </w:r>
          </w:p>
        </w:tc>
        <w:tc>
          <w:tcPr>
            <w:tcW w:w="6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18,160</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7,735,107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7,735,107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Government issued or guaranteed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525,469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525,469</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500"/>
              <w:spacing w:after="0"/>
              <w:rPr>
                <w:sz w:val="20"/>
                <w:szCs w:val="20"/>
                <w:color w:val="auto"/>
              </w:rPr>
            </w:pPr>
            <w:r>
              <w:rPr>
                <w:rFonts w:ascii="Arial" w:cs="Arial" w:eastAsia="Arial" w:hAnsi="Arial"/>
                <w:sz w:val="16"/>
                <w:szCs w:val="16"/>
                <w:color w:val="auto"/>
              </w:rPr>
              <w:t>Residential</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2,168,287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2,168,287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debt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163,546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163,546</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10,592,409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10,592,409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259,216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252,080</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7,136</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6"/>
                <w:szCs w:val="16"/>
                <w:color w:val="auto"/>
              </w:rPr>
              <w:t>Real estate loans held for sale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430,720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430,720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(a)</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420,302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417,922</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11,839,645</w:t>
            </w:r>
          </w:p>
        </w:tc>
        <w:tc>
          <w:tcPr>
            <w:tcW w:w="5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370,918</w:t>
            </w:r>
          </w:p>
        </w:tc>
        <w:tc>
          <w:tcPr>
            <w:tcW w:w="6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11,466,347</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Other liabilities (a)</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1,489,795</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1,436,012</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53,783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6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1,489,795</w:t>
            </w:r>
          </w:p>
        </w:tc>
        <w:tc>
          <w:tcPr>
            <w:tcW w:w="5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1,436,012</w:t>
            </w:r>
          </w:p>
        </w:tc>
        <w:tc>
          <w:tcPr>
            <w:tcW w:w="5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53,783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6"/>
                <w:szCs w:val="16"/>
                <w:color w:val="auto"/>
              </w:rPr>
              <w:t>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Trading account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117,847</w:t>
            </w:r>
          </w:p>
        </w:tc>
        <w:tc>
          <w:tcPr>
            <w:tcW w:w="56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117,847</w:t>
            </w:r>
          </w:p>
        </w:tc>
        <w:tc>
          <w:tcPr>
            <w:tcW w:w="62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7,670,960</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7,670,960</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Government issued or guaranteed</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574,299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574,299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2,330,118</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2,330,118</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180"/>
              <w:spacing w:after="0"/>
              <w:rPr>
                <w:sz w:val="20"/>
                <w:szCs w:val="20"/>
                <w:color w:val="auto"/>
              </w:rPr>
            </w:pPr>
            <w:r>
              <w:rPr>
                <w:rFonts w:ascii="Arial" w:cs="Arial" w:eastAsia="Arial" w:hAnsi="Arial"/>
                <w:sz w:val="16"/>
                <w:szCs w:val="16"/>
                <w:color w:val="auto"/>
              </w:rPr>
              <w:t>Other debt securities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173,584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173,584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10,748,961</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10,748,961</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151,458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145,289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 loans held for sale</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162,393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162,393</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Arial" w:cs="Arial" w:eastAsia="Arial" w:hAnsi="Arial"/>
                <w:sz w:val="16"/>
                <w:szCs w:val="16"/>
                <w:color w:val="auto"/>
              </w:rPr>
              <w:t>Other assets (a)</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435,969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435,517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11,616,628</w:t>
            </w:r>
          </w:p>
        </w:tc>
        <w:tc>
          <w:tcPr>
            <w:tcW w:w="56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263,136</w:t>
            </w:r>
          </w:p>
        </w:tc>
        <w:tc>
          <w:tcPr>
            <w:tcW w:w="62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11,353,040</w:t>
            </w:r>
          </w:p>
        </w:tc>
        <w:tc>
          <w:tcPr>
            <w:tcW w:w="54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960" w:type="dxa"/>
            <w:vAlign w:val="bottom"/>
            <w:tcBorders>
              <w:top w:val="single" w:sz="8" w:color="CFF0FC"/>
            </w:tcBorders>
          </w:tcPr>
          <w:p>
            <w:pPr>
              <w:ind w:left="20"/>
              <w:spacing w:after="0" w:line="180" w:lineRule="exact"/>
              <w:rPr>
                <w:sz w:val="20"/>
                <w:szCs w:val="20"/>
                <w:color w:val="auto"/>
              </w:rPr>
            </w:pPr>
            <w:r>
              <w:rPr>
                <w:rFonts w:ascii="Arial" w:cs="Arial" w:eastAsia="Arial" w:hAnsi="Arial"/>
                <w:sz w:val="16"/>
                <w:szCs w:val="16"/>
                <w:color w:val="auto"/>
              </w:rPr>
              <w:t>Other liabilities (a)</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1,355,326</w:t>
            </w:r>
          </w:p>
        </w:tc>
        <w:tc>
          <w:tcPr>
            <w:tcW w:w="3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1,309,301</w:t>
            </w:r>
          </w:p>
        </w:tc>
        <w:tc>
          <w:tcPr>
            <w:tcW w:w="3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46,025</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1,355,326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1,309,301</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46,025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right="380"/>
        <w:spacing w:after="0" w:line="285" w:lineRule="auto"/>
        <w:rPr>
          <w:sz w:val="20"/>
          <w:szCs w:val="20"/>
          <w:color w:val="auto"/>
        </w:rPr>
      </w:pPr>
      <w:r>
        <w:rPr>
          <w:rFonts w:ascii="Arial" w:cs="Arial" w:eastAsia="Arial" w:hAnsi="Arial"/>
          <w:sz w:val="13"/>
          <w:szCs w:val="13"/>
          <w:i w:val="1"/>
          <w:iCs w:val="1"/>
          <w:color w:val="auto"/>
        </w:rPr>
        <w:t>(a)Comprised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38" w:name="page39"/>
    <w:bookmarkEnd w:id="38"/>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15" w:lineRule="exact"/>
        <w:rPr>
          <w:sz w:val="20"/>
          <w:szCs w:val="20"/>
          <w:color w:val="auto"/>
        </w:rPr>
      </w:pPr>
    </w:p>
    <w:p>
      <w:pPr>
        <w:ind w:left="20" w:right="320" w:firstLine="432"/>
        <w:spacing w:after="0" w:line="275"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and nine months ended September 30, 2023 and 2022 were as follows: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Other Assets and Other Liabilities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8"/>
        </w:trPr>
        <w:tc>
          <w:tcPr>
            <w:tcW w:w="498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(37,178 )</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(24,181 )</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(45,573 )</w:t>
            </w:r>
          </w:p>
        </w:tc>
        <w:tc>
          <w:tcPr>
            <w:tcW w:w="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4"/>
                <w:szCs w:val="14"/>
                <w:color w:val="auto"/>
              </w:rPr>
              <w:t>Total gains (losses) realized/unrealized: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Included in earnings (a)</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(10,155 )</w:t>
            </w:r>
          </w:p>
        </w:tc>
        <w:tc>
          <w:tcPr>
            <w:tcW w:w="2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(9,321 )</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(34,630 )</w:t>
            </w: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4"/>
                <w:szCs w:val="14"/>
                <w:color w:val="auto"/>
              </w:rPr>
              <w:t>Transfers out of Level 3 (b)</w:t>
            </w: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(4,070 )</w:t>
            </w:r>
          </w:p>
        </w:tc>
        <w:tc>
          <w:tcPr>
            <w:tcW w:w="2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(14,804 )</w:t>
            </w:r>
          </w:p>
        </w:tc>
        <w:tc>
          <w:tcPr>
            <w:tcW w:w="3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(12,131 )</w:t>
            </w:r>
          </w:p>
        </w:tc>
        <w:tc>
          <w:tcPr>
            <w:tcW w:w="4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(20,116 )</w:t>
            </w: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60"/>
              <w:spacing w:after="0" w:line="195" w:lineRule="exact"/>
              <w:rPr>
                <w:sz w:val="20"/>
                <w:szCs w:val="20"/>
                <w:color w:val="auto"/>
              </w:rPr>
            </w:pPr>
            <w:r>
              <w:rPr>
                <w:rFonts w:ascii="Arial" w:cs="Arial" w:eastAsia="Arial" w:hAnsi="Arial"/>
                <w:sz w:val="12"/>
                <w:szCs w:val="12"/>
                <w:color w:val="auto"/>
              </w:rPr>
              <w:t xml:space="preserve">(51,403 </w:t>
            </w:r>
            <w:r>
              <w:rPr>
                <w:rFonts w:ascii="Arial" w:cs="Arial" w:eastAsia="Arial" w:hAnsi="Arial"/>
                <w:sz w:val="22"/>
                <w:szCs w:val="22"/>
                <w:color w:val="auto"/>
                <w:vertAlign w:val="subscript"/>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2"/>
                <w:szCs w:val="12"/>
                <w:color w:val="auto"/>
              </w:rPr>
              <w:t xml:space="preserve">(48,306 </w:t>
            </w:r>
            <w:r>
              <w:rPr>
                <w:rFonts w:ascii="Arial" w:cs="Arial" w:eastAsia="Arial" w:hAnsi="Arial"/>
                <w:sz w:val="22"/>
                <w:szCs w:val="22"/>
                <w:color w:val="auto"/>
                <w:vertAlign w:val="subscript"/>
              </w:rPr>
              <w:t>)</w:t>
            </w: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40"/>
              <w:spacing w:after="0" w:line="195" w:lineRule="exact"/>
              <w:rPr>
                <w:sz w:val="20"/>
                <w:szCs w:val="20"/>
                <w:color w:val="auto"/>
              </w:rPr>
            </w:pPr>
            <w:r>
              <w:rPr>
                <w:rFonts w:ascii="Arial" w:cs="Arial" w:eastAsia="Arial" w:hAnsi="Arial"/>
                <w:sz w:val="12"/>
                <w:szCs w:val="12"/>
                <w:color w:val="auto"/>
              </w:rPr>
              <w:t xml:space="preserve">(51,403 </w:t>
            </w:r>
            <w:r>
              <w:rPr>
                <w:rFonts w:ascii="Arial" w:cs="Arial" w:eastAsia="Arial" w:hAnsi="Arial"/>
                <w:sz w:val="22"/>
                <w:szCs w:val="22"/>
                <w:color w:val="auto"/>
                <w:vertAlign w:val="subscript"/>
              </w:rPr>
              <w:t>)</w:t>
            </w:r>
          </w:p>
        </w:tc>
        <w:tc>
          <w:tcPr>
            <w:tcW w:w="4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2"/>
                <w:szCs w:val="12"/>
                <w:color w:val="auto"/>
              </w:rPr>
              <w:t xml:space="preserve">(48,306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80" w:type="dxa"/>
            <w:vAlign w:val="bottom"/>
          </w:tcPr>
          <w:p>
            <w:pPr>
              <w:ind w:left="20"/>
              <w:spacing w:after="0" w:line="148" w:lineRule="exact"/>
              <w:rPr>
                <w:sz w:val="20"/>
                <w:szCs w:val="20"/>
                <w:color w:val="auto"/>
              </w:rPr>
            </w:pPr>
            <w:r>
              <w:rPr>
                <w:rFonts w:ascii="Arial" w:cs="Arial" w:eastAsia="Arial" w:hAnsi="Arial"/>
                <w:sz w:val="14"/>
                <w:szCs w:val="14"/>
                <w:color w:val="auto"/>
              </w:rPr>
              <w:t>Changes in net unrealized gains (losses) included in earnings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60"/>
              <w:spacing w:after="0" w:line="300" w:lineRule="exact"/>
              <w:rPr>
                <w:sz w:val="20"/>
                <w:szCs w:val="20"/>
                <w:color w:val="auto"/>
              </w:rPr>
            </w:pPr>
            <w:r>
              <w:rPr>
                <w:rFonts w:ascii="Arial" w:cs="Arial" w:eastAsia="Arial" w:hAnsi="Arial"/>
                <w:sz w:val="14"/>
                <w:szCs w:val="14"/>
                <w:color w:val="auto"/>
              </w:rPr>
              <w:t xml:space="preserve">(12,957 </w:t>
            </w:r>
            <w:r>
              <w:rPr>
                <w:rFonts w:ascii="Arial" w:cs="Arial" w:eastAsia="Arial" w:hAnsi="Arial"/>
                <w:sz w:val="28"/>
                <w:szCs w:val="28"/>
                <w:color w:val="auto"/>
                <w:vertAlign w:val="subscript"/>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220"/>
              <w:spacing w:after="0" w:line="300" w:lineRule="exact"/>
              <w:rPr>
                <w:sz w:val="20"/>
                <w:szCs w:val="20"/>
                <w:color w:val="auto"/>
              </w:rPr>
            </w:pPr>
            <w:r>
              <w:rPr>
                <w:rFonts w:ascii="Arial" w:cs="Arial" w:eastAsia="Arial" w:hAnsi="Arial"/>
                <w:sz w:val="14"/>
                <w:szCs w:val="14"/>
                <w:color w:val="auto"/>
              </w:rPr>
              <w:t xml:space="preserve">(17,160 </w:t>
            </w:r>
            <w:r>
              <w:rPr>
                <w:rFonts w:ascii="Arial" w:cs="Arial" w:eastAsia="Arial" w:hAnsi="Arial"/>
                <w:sz w:val="28"/>
                <w:szCs w:val="28"/>
                <w:color w:val="auto"/>
                <w:vertAlign w:val="subscript"/>
              </w:rPr>
              <w:t>)</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40"/>
              <w:spacing w:after="0" w:line="300" w:lineRule="exact"/>
              <w:rPr>
                <w:sz w:val="20"/>
                <w:szCs w:val="20"/>
                <w:color w:val="auto"/>
              </w:rPr>
            </w:pPr>
            <w:r>
              <w:rPr>
                <w:rFonts w:ascii="Arial" w:cs="Arial" w:eastAsia="Arial" w:hAnsi="Arial"/>
                <w:sz w:val="14"/>
                <w:szCs w:val="14"/>
                <w:color w:val="auto"/>
              </w:rPr>
              <w:t xml:space="preserve">(12,341 </w:t>
            </w:r>
            <w:r>
              <w:rPr>
                <w:rFonts w:ascii="Arial" w:cs="Arial" w:eastAsia="Arial" w:hAnsi="Arial"/>
                <w:sz w:val="28"/>
                <w:szCs w:val="28"/>
                <w:color w:val="auto"/>
                <w:vertAlign w:val="subscript"/>
              </w:rPr>
              <w:t>)</w:t>
            </w:r>
          </w:p>
        </w:tc>
        <w:tc>
          <w:tcPr>
            <w:tcW w:w="4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
              <w:spacing w:after="0" w:line="300" w:lineRule="exact"/>
              <w:rPr>
                <w:sz w:val="20"/>
                <w:szCs w:val="20"/>
                <w:color w:val="auto"/>
              </w:rPr>
            </w:pPr>
            <w:r>
              <w:rPr>
                <w:rFonts w:ascii="Arial" w:cs="Arial" w:eastAsia="Arial" w:hAnsi="Arial"/>
                <w:sz w:val="14"/>
                <w:szCs w:val="14"/>
                <w:color w:val="auto"/>
              </w:rPr>
              <w:t xml:space="preserve">(48,108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52"/>
        </w:trPr>
        <w:tc>
          <w:tcPr>
            <w:tcW w:w="4980" w:type="dxa"/>
            <w:vAlign w:val="bottom"/>
          </w:tcPr>
          <w:p>
            <w:pPr>
              <w:ind w:left="140"/>
              <w:spacing w:after="0" w:line="153" w:lineRule="exact"/>
              <w:rPr>
                <w:sz w:val="20"/>
                <w:szCs w:val="20"/>
                <w:color w:val="auto"/>
              </w:rPr>
            </w:pPr>
            <w:r>
              <w:rPr>
                <w:rFonts w:ascii="Arial" w:cs="Arial" w:eastAsia="Arial" w:hAnsi="Arial"/>
                <w:sz w:val="14"/>
                <w:szCs w:val="14"/>
                <w:color w:val="auto"/>
              </w:rPr>
              <w:t>related to instruments still held at period end (a)</w:t>
            </w:r>
          </w:p>
        </w:tc>
        <w:tc>
          <w:tcPr>
            <w:tcW w:w="2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4"/>
          <w:szCs w:val="4"/>
          <w:i w:val="1"/>
          <w:iCs w:val="1"/>
          <w:color w:val="auto"/>
        </w:rPr>
        <w:t>___________________________________________________________________________________________________________________________________________</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(a)Reported as mortgage banking revenues in the Consolidated Statement of Income and includes the fair value of commitment issuances and expirations.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(b)Transfers out of Level 3 consist of interest rate locks transferred to closed loans.</w:t>
      </w:r>
    </w:p>
    <w:p>
      <w:pPr>
        <w:spacing w:after="0" w:line="95" w:lineRule="exact"/>
        <w:rPr>
          <w:sz w:val="20"/>
          <w:szCs w:val="20"/>
          <w:color w:val="auto"/>
        </w:rPr>
      </w:pPr>
    </w:p>
    <w:p>
      <w:pPr>
        <w:ind w:left="20" w:firstLine="432"/>
        <w:spacing w:after="0" w:line="275"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Loans</w:t>
      </w:r>
    </w:p>
    <w:p>
      <w:pPr>
        <w:spacing w:after="0" w:line="31" w:lineRule="exact"/>
        <w:rPr>
          <w:sz w:val="20"/>
          <w:szCs w:val="20"/>
          <w:color w:val="auto"/>
        </w:rPr>
      </w:pPr>
    </w:p>
    <w:p>
      <w:pPr>
        <w:ind w:left="20" w:right="40"/>
        <w:spacing w:after="0" w:line="250"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10% to 90% with a weighted-average of 44% at September 30, 2023.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September 30, 2023 was 51%. As these recovery rates are not readily observable by market participants, such valuation adjustments have been classified as Level 3. Loans subject to nonrecurring fair value measurement were $804 million at September 30, 2023 ($316 million and $488 million of which were classified as Level 2 and Level 3, respectively), $853 million at December 31, 2022 ($329 million and $524 million of which were classified as Level 2 and Level 3, respectively) and $706 million at September 30, 2022 ($439 million and $267 million of which were classified as Level 2 and Level 3, respectively). Changes in fair value recognized for partial charge-offs of loans and loan impairment reserves on loans held by the Company on September 30, 2023 were decreases of $116 million and $269 million for the three-month and nine-month periods ended September 30, 2023, respectively. Changes in the fair value recognized for partial charge-offs of loans and loan impairment reserves on loans held by the Company on September 30, 2022 were decreases of $38 million and $128 million for the three-month and nine-month periods ended September 30, 2022,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562" w:right="640" w:bottom="1440" w:gutter="0" w:footer="0" w:header="0"/>
        </w:sectPr>
      </w:pPr>
    </w:p>
    <w:bookmarkStart w:id="39" w:name="page40"/>
    <w:bookmarkEnd w:id="39"/>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31" w:lineRule="exact"/>
        <w:rPr>
          <w:sz w:val="20"/>
          <w:szCs w:val="20"/>
          <w:color w:val="auto"/>
        </w:rPr>
      </w:pPr>
    </w:p>
    <w:p>
      <w:pPr>
        <w:ind w:left="20" w:right="60"/>
        <w:spacing w:after="0" w:line="252"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each of September 30, 2023 and 2022. Changes in fair value recognized for those foreclosed assets held by the Company were not material during the three-month and nine-month periods ended September 30, 2023 and 2022.</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31"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required no valuation allowance at September 30, 2023 and December 31, 2022. A reduction of the valuation allowance of $10 million and $24 million was recognized for the three-month and nine-month periods ended September 30, 2022, respectively.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31" w:lineRule="exact"/>
        <w:rPr>
          <w:sz w:val="20"/>
          <w:szCs w:val="20"/>
          <w:color w:val="auto"/>
        </w:rPr>
      </w:pPr>
    </w:p>
    <w:p>
      <w:pPr>
        <w:ind w:left="20" w:right="220"/>
        <w:spacing w:after="0" w:line="262" w:lineRule="auto"/>
        <w:rPr>
          <w:sz w:val="20"/>
          <w:szCs w:val="20"/>
          <w:color w:val="auto"/>
        </w:rPr>
      </w:pPr>
      <w:r>
        <w:rPr>
          <w:rFonts w:ascii="Arial" w:cs="Arial" w:eastAsia="Arial" w:hAnsi="Arial"/>
          <w:sz w:val="18"/>
          <w:szCs w:val="18"/>
          <w:color w:val="auto"/>
        </w:rPr>
        <w:t>The following table presents quantitative information about significant unobservable inputs used in the fair value measurements for certain Level 3 assets and liabilities at September 30, 2023 and December 31, 2022:</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Range</w:t>
            </w:r>
          </w:p>
        </w:tc>
      </w:t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Valuation</w:t>
            </w:r>
          </w:p>
        </w:tc>
        <w:tc>
          <w:tcPr>
            <w:tcW w:w="1920" w:type="dxa"/>
            <w:vAlign w:val="bottom"/>
          </w:tcPr>
          <w:p>
            <w:pPr>
              <w:jc w:val="center"/>
              <w:ind w:right="86"/>
              <w:spacing w:after="0"/>
              <w:rPr>
                <w:sz w:val="20"/>
                <w:szCs w:val="20"/>
                <w:color w:val="auto"/>
              </w:rPr>
            </w:pPr>
            <w:r>
              <w:rPr>
                <w:rFonts w:ascii="Arial" w:cs="Arial" w:eastAsia="Arial" w:hAnsi="Arial"/>
                <w:sz w:val="13"/>
                <w:szCs w:val="13"/>
                <w:b w:val="1"/>
                <w:bCs w:val="1"/>
                <w:color w:val="auto"/>
              </w:rPr>
              <w:t>Unobservable</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(Weighted-</w:t>
            </w:r>
          </w:p>
        </w:tc>
      </w:tr>
      <w:tr>
        <w:trPr>
          <w:trHeight w:val="18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ind w:right="488"/>
              <w:spacing w:after="0"/>
              <w:rPr>
                <w:sz w:val="20"/>
                <w:szCs w:val="20"/>
                <w:color w:val="auto"/>
              </w:rPr>
            </w:pPr>
            <w:r>
              <w:rPr>
                <w:rFonts w:ascii="Arial" w:cs="Arial" w:eastAsia="Arial" w:hAnsi="Arial"/>
                <w:sz w:val="13"/>
                <w:szCs w:val="13"/>
                <w:b w:val="1"/>
                <w:bCs w:val="1"/>
                <w:color w:val="auto"/>
              </w:rPr>
              <w:t>Fair Value</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rPr>
              <w:t>Technique</w:t>
            </w:r>
          </w:p>
        </w:tc>
        <w:tc>
          <w:tcPr>
            <w:tcW w:w="1920" w:type="dxa"/>
            <w:vAlign w:val="bottom"/>
          </w:tcPr>
          <w:p>
            <w:pPr>
              <w:jc w:val="center"/>
              <w:ind w:right="66"/>
              <w:spacing w:after="0"/>
              <w:rPr>
                <w:sz w:val="20"/>
                <w:szCs w:val="20"/>
                <w:color w:val="auto"/>
              </w:rPr>
            </w:pPr>
            <w:r>
              <w:rPr>
                <w:rFonts w:ascii="Arial" w:cs="Arial" w:eastAsia="Arial" w:hAnsi="Arial"/>
                <w:sz w:val="13"/>
                <w:szCs w:val="13"/>
                <w:b w:val="1"/>
                <w:bCs w:val="1"/>
                <w:color w:val="auto"/>
              </w:rPr>
              <w:t>Inputs / Assumptions</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r>
      <w:tr>
        <w:trPr>
          <w:trHeight w:val="204"/>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348"/>
              <w:spacing w:after="0"/>
              <w:rPr>
                <w:sz w:val="20"/>
                <w:szCs w:val="20"/>
                <w:color w:val="auto"/>
              </w:rPr>
            </w:pPr>
            <w:r>
              <w:rPr>
                <w:rFonts w:ascii="Arial" w:cs="Arial" w:eastAsia="Arial" w:hAnsi="Arial"/>
                <w:sz w:val="13"/>
                <w:szCs w:val="13"/>
                <w:b w:val="1"/>
                <w:bCs w:val="1"/>
                <w:color w:val="auto"/>
              </w:rPr>
              <w:t>(In thousands)</w:t>
            </w: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September 30, 2023</w:t>
            </w:r>
          </w:p>
        </w:tc>
        <w:tc>
          <w:tcPr>
            <w:tcW w:w="6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176"/>
        </w:trPr>
        <w:tc>
          <w:tcPr>
            <w:tcW w:w="2960" w:type="dxa"/>
            <w:vAlign w:val="bottom"/>
            <w:gridSpan w:val="3"/>
          </w:tcPr>
          <w:p>
            <w:pPr>
              <w:ind w:left="20"/>
              <w:spacing w:after="0" w:line="168" w:lineRule="exact"/>
              <w:rPr>
                <w:sz w:val="20"/>
                <w:szCs w:val="20"/>
                <w:color w:val="auto"/>
              </w:rPr>
            </w:pPr>
            <w:r>
              <w:rPr>
                <w:rFonts w:ascii="Arial" w:cs="Arial" w:eastAsia="Arial" w:hAnsi="Arial"/>
                <w:sz w:val="16"/>
                <w:szCs w:val="16"/>
                <w:color w:val="auto"/>
              </w:rPr>
              <w:t>Recurring fair value measurements</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3"/>
        </w:trPr>
        <w:tc>
          <w:tcPr>
            <w:tcW w:w="20" w:type="dxa"/>
            <w:vAlign w:val="bottom"/>
            <w:shd w:val="clear" w:color="auto" w:fill="CFF0FC"/>
          </w:tcPr>
          <w:p>
            <w:pPr>
              <w:spacing w:after="0"/>
              <w:rPr>
                <w:sz w:val="16"/>
                <w:szCs w:val="16"/>
                <w:color w:val="auto"/>
              </w:rPr>
            </w:pPr>
          </w:p>
        </w:tc>
        <w:tc>
          <w:tcPr>
            <w:tcW w:w="2420" w:type="dxa"/>
            <w:vAlign w:val="bottom"/>
            <w:tcBorders>
              <w:top w:val="single" w:sz="8" w:color="auto"/>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6"/>
              </w:rPr>
              <w:t>Commitment</w:t>
            </w:r>
          </w:p>
        </w:tc>
        <w:tc>
          <w:tcPr>
            <w:tcW w:w="1800" w:type="dxa"/>
            <w:vAlign w:val="bottom"/>
            <w:shd w:val="clear" w:color="auto" w:fill="CFF0FC"/>
          </w:tcPr>
          <w:p>
            <w:pPr>
              <w:spacing w:after="0"/>
              <w:rPr>
                <w:sz w:val="16"/>
                <w:szCs w:val="16"/>
                <w:color w:val="auto"/>
              </w:rPr>
            </w:pPr>
          </w:p>
        </w:tc>
      </w:tr>
      <w:tr>
        <w:trPr>
          <w:trHeight w:val="19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other assets (liabilities) (a)</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(51,403 )</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Discounted cash flow</w:t>
            </w: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8"/>
              </w:rPr>
              <w:t>expirations</w:t>
            </w:r>
          </w:p>
        </w:tc>
        <w:tc>
          <w:tcPr>
            <w:tcW w:w="18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 - 99% (8%)</w:t>
            </w:r>
          </w:p>
        </w:tc>
      </w:tr>
      <w:tr>
        <w:trPr>
          <w:trHeight w:val="204"/>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4"/>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December 31, 2022</w:t>
            </w:r>
          </w:p>
        </w:tc>
        <w:tc>
          <w:tcPr>
            <w:tcW w:w="6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176"/>
        </w:trPr>
        <w:tc>
          <w:tcPr>
            <w:tcW w:w="2960" w:type="dxa"/>
            <w:vAlign w:val="bottom"/>
            <w:gridSpan w:val="3"/>
          </w:tcPr>
          <w:p>
            <w:pPr>
              <w:ind w:left="20"/>
              <w:spacing w:after="0" w:line="168" w:lineRule="exact"/>
              <w:rPr>
                <w:sz w:val="20"/>
                <w:szCs w:val="20"/>
                <w:color w:val="auto"/>
              </w:rPr>
            </w:pPr>
            <w:r>
              <w:rPr>
                <w:rFonts w:ascii="Arial" w:cs="Arial" w:eastAsia="Arial" w:hAnsi="Arial"/>
                <w:sz w:val="16"/>
                <w:szCs w:val="16"/>
                <w:color w:val="auto"/>
              </w:rPr>
              <w:t>Recurring fair value measurements</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3"/>
        </w:trPr>
        <w:tc>
          <w:tcPr>
            <w:tcW w:w="20" w:type="dxa"/>
            <w:vAlign w:val="bottom"/>
            <w:shd w:val="clear" w:color="auto" w:fill="CFF0FC"/>
          </w:tcPr>
          <w:p>
            <w:pPr>
              <w:spacing w:after="0"/>
              <w:rPr>
                <w:sz w:val="16"/>
                <w:szCs w:val="16"/>
                <w:color w:val="auto"/>
              </w:rPr>
            </w:pPr>
          </w:p>
        </w:tc>
        <w:tc>
          <w:tcPr>
            <w:tcW w:w="2420" w:type="dxa"/>
            <w:vAlign w:val="bottom"/>
            <w:tcBorders>
              <w:top w:val="single" w:sz="8" w:color="auto"/>
            </w:tcBorders>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6"/>
              </w:rPr>
              <w:t>Commitment</w:t>
            </w:r>
          </w:p>
        </w:tc>
        <w:tc>
          <w:tcPr>
            <w:tcW w:w="1800" w:type="dxa"/>
            <w:vAlign w:val="bottom"/>
            <w:shd w:val="clear" w:color="auto" w:fill="CFF0FC"/>
          </w:tcPr>
          <w:p>
            <w:pPr>
              <w:spacing w:after="0"/>
              <w:rPr>
                <w:sz w:val="16"/>
                <w:szCs w:val="16"/>
                <w:color w:val="auto"/>
              </w:rPr>
            </w:pPr>
          </w:p>
        </w:tc>
      </w:tr>
      <w:tr>
        <w:trPr>
          <w:trHeight w:val="199"/>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other assets (liabilities) (a)</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(45,573 )</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Discounted cash flow</w:t>
            </w:r>
          </w:p>
        </w:tc>
        <w:tc>
          <w:tcPr>
            <w:tcW w:w="1920" w:type="dxa"/>
            <w:vAlign w:val="bottom"/>
            <w:shd w:val="clear" w:color="auto" w:fill="CFF0FC"/>
          </w:tcPr>
          <w:p>
            <w:pPr>
              <w:jc w:val="center"/>
              <w:ind w:right="86"/>
              <w:spacing w:after="0"/>
              <w:rPr>
                <w:sz w:val="20"/>
                <w:szCs w:val="20"/>
                <w:color w:val="auto"/>
              </w:rPr>
            </w:pPr>
            <w:r>
              <w:rPr>
                <w:rFonts w:ascii="Arial" w:cs="Arial" w:eastAsia="Arial" w:hAnsi="Arial"/>
                <w:sz w:val="16"/>
                <w:szCs w:val="16"/>
                <w:color w:val="auto"/>
                <w:w w:val="98"/>
              </w:rPr>
              <w:t>expirations</w:t>
            </w:r>
          </w:p>
        </w:tc>
        <w:tc>
          <w:tcPr>
            <w:tcW w:w="18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0% - 97% (3%)</w:t>
            </w:r>
          </w:p>
        </w:tc>
      </w:tr>
    </w:tbl>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Other Level 3 assets (liabilities) consist of commitments to originate real estate loans.</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31" w:lineRule="exact"/>
        <w:rPr>
          <w:sz w:val="20"/>
          <w:szCs w:val="20"/>
          <w:color w:val="auto"/>
        </w:rPr>
      </w:pPr>
    </w:p>
    <w:p>
      <w:pPr>
        <w:jc w:val="both"/>
        <w:ind w:left="60" w:right="40"/>
        <w:spacing w:after="0" w:line="256" w:lineRule="auto"/>
        <w:rPr>
          <w:sz w:val="20"/>
          <w:szCs w:val="20"/>
          <w:color w:val="auto"/>
        </w:rPr>
      </w:pPr>
      <w:r>
        <w:rPr>
          <w:rFonts w:ascii="Arial" w:cs="Arial" w:eastAsia="Arial" w:hAnsi="Arial"/>
          <w:sz w:val="18"/>
          <w:szCs w:val="18"/>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40" w:name="page41"/>
    <w:bookmarkEnd w:id="40"/>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vMerge w:val="restart"/>
          </w:tcPr>
          <w:p>
            <w:pPr>
              <w:jc w:val="right"/>
              <w:ind w:right="508"/>
              <w:spacing w:after="0"/>
              <w:rPr>
                <w:sz w:val="20"/>
                <w:szCs w:val="20"/>
                <w:color w:val="auto"/>
              </w:rPr>
            </w:pPr>
            <w:r>
              <w:rPr>
                <w:rFonts w:ascii="Arial" w:cs="Arial" w:eastAsia="Arial" w:hAnsi="Arial"/>
                <w:sz w:val="13"/>
                <w:szCs w:val="13"/>
                <w:b w:val="1"/>
                <w:bCs w:val="1"/>
                <w:color w:val="auto"/>
              </w:rPr>
              <w:t>Carrying</w:t>
            </w:r>
          </w:p>
        </w:tc>
        <w:tc>
          <w:tcPr>
            <w:tcW w:w="116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Estimated</w:t>
            </w:r>
          </w:p>
        </w:tc>
        <w:tc>
          <w:tcPr>
            <w:tcW w:w="1560" w:type="dxa"/>
            <w:vAlign w:val="bottom"/>
          </w:tcPr>
          <w:p>
            <w:pPr>
              <w:jc w:val="right"/>
              <w:ind w:right="209"/>
              <w:spacing w:after="0"/>
              <w:rPr>
                <w:sz w:val="20"/>
                <w:szCs w:val="20"/>
                <w:color w:val="auto"/>
              </w:rPr>
            </w:pPr>
            <w:r>
              <w:rPr>
                <w:rFonts w:ascii="Arial" w:cs="Arial" w:eastAsia="Arial" w:hAnsi="Arial"/>
                <w:sz w:val="13"/>
                <w:szCs w:val="13"/>
                <w:b w:val="1"/>
                <w:bCs w:val="1"/>
                <w:color w:val="auto"/>
              </w:rPr>
              <w:t>September 30, 2023</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528"/>
              <w:spacing w:after="0"/>
              <w:rPr>
                <w:sz w:val="20"/>
                <w:szCs w:val="20"/>
                <w:color w:val="auto"/>
              </w:rPr>
            </w:pPr>
            <w:r>
              <w:rPr>
                <w:rFonts w:ascii="Arial" w:cs="Arial" w:eastAsia="Arial" w:hAnsi="Arial"/>
                <w:sz w:val="13"/>
                <w:szCs w:val="13"/>
                <w:b w:val="1"/>
                <w:bCs w:val="1"/>
                <w:color w:val="auto"/>
              </w:rPr>
              <w:t>Amount</w:t>
            </w:r>
          </w:p>
        </w:tc>
        <w:tc>
          <w:tcPr>
            <w:tcW w:w="1160" w:type="dxa"/>
            <w:vAlign w:val="bottom"/>
          </w:tcPr>
          <w:p>
            <w:pPr>
              <w:jc w:val="right"/>
              <w:ind w:right="228"/>
              <w:spacing w:after="0"/>
              <w:rPr>
                <w:sz w:val="20"/>
                <w:szCs w:val="20"/>
                <w:color w:val="auto"/>
              </w:rPr>
            </w:pPr>
            <w:r>
              <w:rPr>
                <w:rFonts w:ascii="Arial" w:cs="Arial" w:eastAsia="Arial" w:hAnsi="Arial"/>
                <w:sz w:val="13"/>
                <w:szCs w:val="13"/>
                <w:b w:val="1"/>
                <w:bCs w:val="1"/>
                <w:color w:val="auto"/>
              </w:rPr>
              <w:t>Fair Value</w:t>
            </w:r>
          </w:p>
        </w:tc>
        <w:tc>
          <w:tcPr>
            <w:tcW w:w="1560" w:type="dxa"/>
            <w:vAlign w:val="bottom"/>
          </w:tcPr>
          <w:p>
            <w:pPr>
              <w:jc w:val="right"/>
              <w:ind w:right="529"/>
              <w:spacing w:after="0"/>
              <w:rPr>
                <w:sz w:val="20"/>
                <w:szCs w:val="20"/>
                <w:color w:val="auto"/>
              </w:rPr>
            </w:pPr>
            <w:r>
              <w:rPr>
                <w:rFonts w:ascii="Arial" w:cs="Arial" w:eastAsia="Arial" w:hAnsi="Arial"/>
                <w:sz w:val="13"/>
                <w:szCs w:val="13"/>
                <w:b w:val="1"/>
                <w:bCs w:val="1"/>
                <w:color w:val="auto"/>
              </w:rPr>
              <w:t>Level 1</w:t>
            </w:r>
          </w:p>
        </w:tc>
        <w:tc>
          <w:tcPr>
            <w:tcW w:w="1320" w:type="dxa"/>
            <w:vAlign w:val="bottom"/>
          </w:tcPr>
          <w:p>
            <w:pPr>
              <w:jc w:val="right"/>
              <w:ind w:right="508"/>
              <w:spacing w:after="0"/>
              <w:rPr>
                <w:sz w:val="20"/>
                <w:szCs w:val="20"/>
                <w:color w:val="auto"/>
              </w:rPr>
            </w:pPr>
            <w:r>
              <w:rPr>
                <w:rFonts w:ascii="Arial" w:cs="Arial" w:eastAsia="Arial" w:hAnsi="Arial"/>
                <w:sz w:val="13"/>
                <w:szCs w:val="13"/>
                <w:b w:val="1"/>
                <w:bCs w:val="1"/>
                <w:color w:val="auto"/>
              </w:rPr>
              <w:t>Level 2</w:t>
            </w:r>
          </w:p>
        </w:tc>
        <w:tc>
          <w:tcPr>
            <w:tcW w:w="1100" w:type="dxa"/>
            <w:vAlign w:val="bottom"/>
          </w:tcPr>
          <w:p>
            <w:pPr>
              <w:jc w:val="right"/>
              <w:ind w:right="308"/>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right"/>
              <w:ind w:right="369"/>
              <w:spacing w:after="0"/>
              <w:rPr>
                <w:sz w:val="20"/>
                <w:szCs w:val="20"/>
                <w:color w:val="auto"/>
              </w:rPr>
            </w:pPr>
            <w:r>
              <w:rPr>
                <w:rFonts w:ascii="Arial" w:cs="Arial" w:eastAsia="Arial" w:hAnsi="Arial"/>
                <w:sz w:val="13"/>
                <w:szCs w:val="13"/>
                <w:b w:val="1"/>
                <w:bCs w:val="1"/>
                <w:color w:val="auto"/>
              </w:rPr>
              <w:t>(In thousands)</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assets: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1,768,864</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1,768,864</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1,701,427</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67,437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Interest-bearing deposits at banks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30,114,286</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30,114,286</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30,114,286</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Trading account</w:t>
            </w:r>
          </w:p>
        </w:tc>
        <w:tc>
          <w:tcPr>
            <w:tcW w:w="7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136,998</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136,998</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118,838</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18,160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Investment securities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27,336,103</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25,529,926</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252,080</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25,231,860</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45,986</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Loans and leases:</w:t>
            </w: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 loans and leases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45,058,033</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44,080,119</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44,080,119</w:t>
            </w:r>
          </w:p>
        </w:tc>
        <w:tc>
          <w:tcPr>
            <w:tcW w:w="0" w:type="dxa"/>
            <w:vAlign w:val="bottom"/>
          </w:tcPr>
          <w:p>
            <w:pPr>
              <w:spacing w:after="0"/>
              <w:rPr>
                <w:sz w:val="1"/>
                <w:szCs w:val="1"/>
                <w:color w:val="auto"/>
              </w:rPr>
            </w:pPr>
          </w:p>
        </w:tc>
      </w:tr>
      <w:tr>
        <w:trPr>
          <w:trHeight w:val="189"/>
        </w:trPr>
        <w:tc>
          <w:tcPr>
            <w:tcW w:w="3500" w:type="dxa"/>
            <w:vAlign w:val="bottom"/>
          </w:tcPr>
          <w:p>
            <w:pPr>
              <w:ind w:left="340"/>
              <w:spacing w:after="0"/>
              <w:rPr>
                <w:sz w:val="20"/>
                <w:szCs w:val="20"/>
                <w:color w:val="auto"/>
              </w:rPr>
            </w:pPr>
            <w:r>
              <w:rPr>
                <w:rFonts w:ascii="Arial" w:cs="Arial" w:eastAsia="Arial" w:hAnsi="Arial"/>
                <w:sz w:val="14"/>
                <w:szCs w:val="14"/>
                <w:color w:val="auto"/>
              </w:rPr>
              <w:t>Commercial real estate loans</w:t>
            </w:r>
          </w:p>
        </w:tc>
        <w:tc>
          <w:tcPr>
            <w:tcW w:w="7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43,573,598</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41,273,080</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226,022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41,047,058</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Residential real estate loans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23,448,270</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20,746,776</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6,808,082</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13,938,694</w:t>
            </w:r>
          </w:p>
        </w:tc>
        <w:tc>
          <w:tcPr>
            <w:tcW w:w="0" w:type="dxa"/>
            <w:vAlign w:val="bottom"/>
          </w:tcPr>
          <w:p>
            <w:pPr>
              <w:spacing w:after="0"/>
              <w:rPr>
                <w:sz w:val="1"/>
                <w:szCs w:val="1"/>
                <w:color w:val="auto"/>
              </w:rPr>
            </w:pPr>
          </w:p>
        </w:tc>
      </w:tr>
      <w:tr>
        <w:trPr>
          <w:trHeight w:val="189"/>
        </w:trPr>
        <w:tc>
          <w:tcPr>
            <w:tcW w:w="3500" w:type="dxa"/>
            <w:vAlign w:val="bottom"/>
          </w:tcPr>
          <w:p>
            <w:pPr>
              <w:ind w:left="340"/>
              <w:spacing w:after="0"/>
              <w:rPr>
                <w:sz w:val="20"/>
                <w:szCs w:val="20"/>
                <w:color w:val="auto"/>
              </w:rPr>
            </w:pPr>
            <w:r>
              <w:rPr>
                <w:rFonts w:ascii="Arial" w:cs="Arial" w:eastAsia="Arial" w:hAnsi="Arial"/>
                <w:sz w:val="14"/>
                <w:szCs w:val="14"/>
                <w:color w:val="auto"/>
              </w:rPr>
              <w:t>Consumer loans</w:t>
            </w:r>
          </w:p>
        </w:tc>
        <w:tc>
          <w:tcPr>
            <w:tcW w:w="7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20,274,784</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19,351,349</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19,351,349</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Allowance for credit losses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(2,052,127 )</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500"/>
              <w:spacing w:after="0"/>
              <w:rPr>
                <w:sz w:val="20"/>
                <w:szCs w:val="20"/>
                <w:color w:val="auto"/>
              </w:rPr>
            </w:pPr>
            <w:r>
              <w:rPr>
                <w:rFonts w:ascii="Arial" w:cs="Arial" w:eastAsia="Arial" w:hAnsi="Arial"/>
                <w:sz w:val="14"/>
                <w:szCs w:val="14"/>
                <w:color w:val="auto"/>
              </w:rPr>
              <w:t>Loans and leases, net</w:t>
            </w:r>
          </w:p>
        </w:tc>
        <w:tc>
          <w:tcPr>
            <w:tcW w:w="7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130,302,558</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125,451,324</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7,034,104</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118,417,220</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Accrued interest receivable</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734,036</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734,036</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734,036</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Arial" w:cs="Arial" w:eastAsia="Arial" w:hAnsi="Arial"/>
                <w:sz w:val="14"/>
                <w:szCs w:val="14"/>
                <w:color w:val="auto"/>
              </w:rPr>
              <w:t>Financial liabilities:</w:t>
            </w: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Noninterest-bearing deposits</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(53,786,987 )</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(53,786,987 )</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(53,786,987 )</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Savings and interest-checking deposits</w:t>
            </w:r>
          </w:p>
        </w:tc>
        <w:tc>
          <w:tcPr>
            <w:tcW w:w="70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(90,297,219 )</w:t>
            </w:r>
          </w:p>
        </w:tc>
        <w:tc>
          <w:tcPr>
            <w:tcW w:w="1160" w:type="dxa"/>
            <w:vAlign w:val="bottom"/>
          </w:tcPr>
          <w:p>
            <w:pPr>
              <w:jc w:val="right"/>
              <w:spacing w:after="0"/>
              <w:rPr>
                <w:sz w:val="20"/>
                <w:szCs w:val="20"/>
                <w:color w:val="auto"/>
              </w:rPr>
            </w:pPr>
            <w:r>
              <w:rPr>
                <w:rFonts w:ascii="Arial" w:cs="Arial" w:eastAsia="Arial" w:hAnsi="Arial"/>
                <w:sz w:val="14"/>
                <w:szCs w:val="14"/>
                <w:color w:val="auto"/>
              </w:rPr>
              <w:t>(90,297,219 )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(90,297,219 )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Time deposits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(20,043,601 )</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(19,931,959 )</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(19,931,959 )</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70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(6,730,663 )</w:t>
            </w:r>
          </w:p>
        </w:tc>
        <w:tc>
          <w:tcPr>
            <w:tcW w:w="1160" w:type="dxa"/>
            <w:vAlign w:val="bottom"/>
          </w:tcPr>
          <w:p>
            <w:pPr>
              <w:jc w:val="right"/>
              <w:spacing w:after="0"/>
              <w:rPr>
                <w:sz w:val="20"/>
                <w:szCs w:val="20"/>
                <w:color w:val="auto"/>
              </w:rPr>
            </w:pPr>
            <w:r>
              <w:rPr>
                <w:rFonts w:ascii="Arial" w:cs="Arial" w:eastAsia="Arial" w:hAnsi="Arial"/>
                <w:sz w:val="14"/>
                <w:szCs w:val="14"/>
                <w:color w:val="auto"/>
              </w:rPr>
              <w:t>(6,730,663 )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(6,730,663 )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borrowings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(7,123,426 )</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(6,811,799 )</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(6,811,799 )</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Accrued interest payable</w:t>
            </w:r>
          </w:p>
        </w:tc>
        <w:tc>
          <w:tcPr>
            <w:tcW w:w="70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(401,752 )</w:t>
            </w:r>
          </w:p>
        </w:tc>
        <w:tc>
          <w:tcPr>
            <w:tcW w:w="1160" w:type="dxa"/>
            <w:vAlign w:val="bottom"/>
          </w:tcPr>
          <w:p>
            <w:pPr>
              <w:jc w:val="right"/>
              <w:spacing w:after="0"/>
              <w:rPr>
                <w:sz w:val="20"/>
                <w:szCs w:val="20"/>
                <w:color w:val="auto"/>
              </w:rPr>
            </w:pPr>
            <w:r>
              <w:rPr>
                <w:rFonts w:ascii="Arial" w:cs="Arial" w:eastAsia="Arial" w:hAnsi="Arial"/>
                <w:sz w:val="14"/>
                <w:szCs w:val="14"/>
                <w:color w:val="auto"/>
              </w:rPr>
              <w:t>(401,752 )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(401,752 )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financial instruments: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00" w:type="dxa"/>
            <w:vAlign w:val="bottom"/>
          </w:tcPr>
          <w:p>
            <w:pPr>
              <w:ind w:left="180"/>
              <w:spacing w:after="0"/>
              <w:rPr>
                <w:sz w:val="20"/>
                <w:szCs w:val="20"/>
                <w:color w:val="auto"/>
              </w:rPr>
            </w:pPr>
            <w:r>
              <w:rPr>
                <w:rFonts w:ascii="Arial" w:cs="Arial" w:eastAsia="Arial" w:hAnsi="Arial"/>
                <w:sz w:val="14"/>
                <w:szCs w:val="14"/>
                <w:color w:val="auto"/>
              </w:rPr>
              <w:t>Commitments to originate real estate</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00" w:type="dxa"/>
            <w:vAlign w:val="bottom"/>
          </w:tcPr>
          <w:p>
            <w:pPr>
              <w:ind w:left="300"/>
              <w:spacing w:after="0"/>
              <w:rPr>
                <w:sz w:val="20"/>
                <w:szCs w:val="20"/>
                <w:color w:val="auto"/>
              </w:rPr>
            </w:pPr>
            <w:r>
              <w:rPr>
                <w:rFonts w:ascii="Arial" w:cs="Arial" w:eastAsia="Arial" w:hAnsi="Arial"/>
                <w:sz w:val="14"/>
                <w:szCs w:val="14"/>
                <w:color w:val="auto"/>
              </w:rPr>
              <w:t>loans for sale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(51,403 )</w:t>
            </w:r>
          </w:p>
        </w:tc>
        <w:tc>
          <w:tcPr>
            <w:tcW w:w="1160" w:type="dxa"/>
            <w:vAlign w:val="bottom"/>
          </w:tcPr>
          <w:p>
            <w:pPr>
              <w:jc w:val="right"/>
              <w:spacing w:after="0"/>
              <w:rPr>
                <w:sz w:val="20"/>
                <w:szCs w:val="20"/>
                <w:color w:val="auto"/>
              </w:rPr>
            </w:pPr>
            <w:r>
              <w:rPr>
                <w:rFonts w:ascii="Arial" w:cs="Arial" w:eastAsia="Arial" w:hAnsi="Arial"/>
                <w:sz w:val="14"/>
                <w:szCs w:val="14"/>
                <w:color w:val="auto"/>
              </w:rPr>
              <w:t>(51,403 )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(51,403 )</w:t>
            </w:r>
          </w:p>
        </w:tc>
        <w:tc>
          <w:tcPr>
            <w:tcW w:w="0" w:type="dxa"/>
            <w:vAlign w:val="bottom"/>
          </w:tcPr>
          <w:p>
            <w:pPr>
              <w:spacing w:after="0"/>
              <w:rPr>
                <w:sz w:val="1"/>
                <w:szCs w:val="1"/>
                <w:color w:val="auto"/>
              </w:rPr>
            </w:pPr>
          </w:p>
        </w:tc>
      </w:tr>
      <w:tr>
        <w:trPr>
          <w:trHeight w:val="19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Commitments to sell real estate loans</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65,337</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65,337</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65,337</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00" w:type="dxa"/>
            <w:vAlign w:val="bottom"/>
          </w:tcPr>
          <w:p>
            <w:pPr>
              <w:ind w:left="180"/>
              <w:spacing w:after="0"/>
              <w:rPr>
                <w:sz w:val="20"/>
                <w:szCs w:val="20"/>
                <w:color w:val="auto"/>
              </w:rPr>
            </w:pPr>
            <w:r>
              <w:rPr>
                <w:rFonts w:ascii="Arial" w:cs="Arial" w:eastAsia="Arial" w:hAnsi="Arial"/>
                <w:sz w:val="14"/>
                <w:szCs w:val="14"/>
                <w:color w:val="auto"/>
              </w:rPr>
              <w:t>Other credit-related commitments</w:t>
            </w:r>
          </w:p>
        </w:tc>
        <w:tc>
          <w:tcPr>
            <w:tcW w:w="70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(150,708 )</w:t>
            </w:r>
          </w:p>
        </w:tc>
        <w:tc>
          <w:tcPr>
            <w:tcW w:w="1160" w:type="dxa"/>
            <w:vAlign w:val="bottom"/>
          </w:tcPr>
          <w:p>
            <w:pPr>
              <w:jc w:val="right"/>
              <w:spacing w:after="0"/>
              <w:rPr>
                <w:sz w:val="20"/>
                <w:szCs w:val="20"/>
                <w:color w:val="auto"/>
              </w:rPr>
            </w:pPr>
            <w:r>
              <w:rPr>
                <w:rFonts w:ascii="Arial" w:cs="Arial" w:eastAsia="Arial" w:hAnsi="Arial"/>
                <w:sz w:val="14"/>
                <w:szCs w:val="14"/>
                <w:color w:val="auto"/>
              </w:rPr>
              <w:t>(150,708 )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(150,708 )</w:t>
            </w:r>
          </w:p>
        </w:tc>
        <w:tc>
          <w:tcPr>
            <w:tcW w:w="0" w:type="dxa"/>
            <w:vAlign w:val="bottom"/>
          </w:tcPr>
          <w:p>
            <w:pPr>
              <w:spacing w:after="0"/>
              <w:rPr>
                <w:sz w:val="1"/>
                <w:szCs w:val="1"/>
                <w:color w:val="auto"/>
              </w:rPr>
            </w:pPr>
          </w:p>
        </w:tc>
      </w:tr>
      <w:tr>
        <w:trPr>
          <w:trHeight w:val="175"/>
        </w:trPr>
        <w:tc>
          <w:tcPr>
            <w:tcW w:w="35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rate swap agreements used</w:t>
            </w:r>
          </w:p>
        </w:tc>
        <w:tc>
          <w:tcPr>
            <w:tcW w:w="7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for interest rate risk management</w:t>
            </w:r>
          </w:p>
        </w:tc>
        <w:tc>
          <w:tcPr>
            <w:tcW w:w="7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12,185</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12,185</w:t>
            </w:r>
          </w:p>
        </w:tc>
        <w:tc>
          <w:tcPr>
            <w:tcW w:w="15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12,185</w:t>
            </w:r>
          </w:p>
        </w:tc>
        <w:tc>
          <w:tcPr>
            <w:tcW w:w="11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500" w:type="dxa"/>
            <w:vAlign w:val="bottom"/>
          </w:tcPr>
          <w:p>
            <w:pPr>
              <w:ind w:left="180"/>
              <w:spacing w:after="0"/>
              <w:rPr>
                <w:sz w:val="20"/>
                <w:szCs w:val="20"/>
                <w:color w:val="auto"/>
              </w:rPr>
            </w:pPr>
            <w:r>
              <w:rPr>
                <w:rFonts w:ascii="Arial" w:cs="Arial" w:eastAsia="Arial" w:hAnsi="Arial"/>
                <w:sz w:val="14"/>
                <w:szCs w:val="14"/>
                <w:color w:val="auto"/>
              </w:rPr>
              <w:t>Interest rate and foreign exchange contracts</w:t>
            </w: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300"/>
              <w:spacing w:after="0"/>
              <w:rPr>
                <w:sz w:val="20"/>
                <w:szCs w:val="20"/>
                <w:color w:val="auto"/>
              </w:rPr>
            </w:pPr>
            <w:r>
              <w:rPr>
                <w:rFonts w:ascii="Arial" w:cs="Arial" w:eastAsia="Arial" w:hAnsi="Arial"/>
                <w:sz w:val="14"/>
                <w:szCs w:val="14"/>
                <w:color w:val="auto"/>
              </w:rPr>
              <w:t>not designated as hedging instruments</w:t>
            </w:r>
          </w:p>
        </w:tc>
        <w:tc>
          <w:tcPr>
            <w:tcW w:w="70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(1,095,612 )</w:t>
            </w:r>
          </w:p>
        </w:tc>
        <w:tc>
          <w:tcPr>
            <w:tcW w:w="1160" w:type="dxa"/>
            <w:vAlign w:val="bottom"/>
          </w:tcPr>
          <w:p>
            <w:pPr>
              <w:jc w:val="right"/>
              <w:spacing w:after="0"/>
              <w:rPr>
                <w:sz w:val="20"/>
                <w:szCs w:val="20"/>
                <w:color w:val="auto"/>
              </w:rPr>
            </w:pPr>
            <w:r>
              <w:rPr>
                <w:rFonts w:ascii="Arial" w:cs="Arial" w:eastAsia="Arial" w:hAnsi="Arial"/>
                <w:sz w:val="14"/>
                <w:szCs w:val="14"/>
                <w:color w:val="auto"/>
              </w:rPr>
              <w:t>(1,095,612 )</w:t>
            </w:r>
          </w:p>
        </w:tc>
        <w:tc>
          <w:tcPr>
            <w:tcW w:w="15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(1,095,612 )</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42545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1" w:name="page42"/>
    <w:bookmarkEnd w:id="41"/>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vMerge w:val="restart"/>
          </w:tcPr>
          <w:p>
            <w:pPr>
              <w:jc w:val="right"/>
              <w:ind w:right="428"/>
              <w:spacing w:after="0"/>
              <w:rPr>
                <w:sz w:val="20"/>
                <w:szCs w:val="20"/>
                <w:color w:val="auto"/>
              </w:rPr>
            </w:pPr>
            <w:r>
              <w:rPr>
                <w:rFonts w:ascii="Arial" w:cs="Arial" w:eastAsia="Arial" w:hAnsi="Arial"/>
                <w:sz w:val="13"/>
                <w:szCs w:val="13"/>
                <w:b w:val="1"/>
                <w:bCs w:val="1"/>
                <w:color w:val="auto"/>
              </w:rPr>
              <w:t>Carrying</w:t>
            </w:r>
          </w:p>
        </w:tc>
        <w:tc>
          <w:tcPr>
            <w:tcW w:w="11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Estimated</w:t>
            </w:r>
          </w:p>
        </w:tc>
        <w:tc>
          <w:tcPr>
            <w:tcW w:w="1460" w:type="dxa"/>
            <w:vAlign w:val="bottom"/>
          </w:tcPr>
          <w:p>
            <w:pPr>
              <w:jc w:val="right"/>
              <w:ind w:right="149"/>
              <w:spacing w:after="0"/>
              <w:rPr>
                <w:sz w:val="20"/>
                <w:szCs w:val="20"/>
                <w:color w:val="auto"/>
              </w:rPr>
            </w:pPr>
            <w:r>
              <w:rPr>
                <w:rFonts w:ascii="Arial" w:cs="Arial" w:eastAsia="Arial" w:hAnsi="Arial"/>
                <w:sz w:val="13"/>
                <w:szCs w:val="13"/>
                <w:b w:val="1"/>
                <w:bCs w:val="1"/>
                <w:color w:val="auto"/>
              </w:rPr>
              <w:t>December 31, 2022</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48"/>
              <w:spacing w:after="0"/>
              <w:rPr>
                <w:sz w:val="20"/>
                <w:szCs w:val="20"/>
                <w:color w:val="auto"/>
              </w:rPr>
            </w:pPr>
            <w:r>
              <w:rPr>
                <w:rFonts w:ascii="Arial" w:cs="Arial" w:eastAsia="Arial" w:hAnsi="Arial"/>
                <w:sz w:val="13"/>
                <w:szCs w:val="13"/>
                <w:b w:val="1"/>
                <w:bCs w:val="1"/>
                <w:color w:val="auto"/>
              </w:rPr>
              <w:t>Amount</w:t>
            </w:r>
          </w:p>
        </w:tc>
        <w:tc>
          <w:tcPr>
            <w:tcW w:w="1140" w:type="dxa"/>
            <w:vAlign w:val="bottom"/>
          </w:tcPr>
          <w:p>
            <w:pPr>
              <w:jc w:val="right"/>
              <w:ind w:right="248"/>
              <w:spacing w:after="0"/>
              <w:rPr>
                <w:sz w:val="20"/>
                <w:szCs w:val="20"/>
                <w:color w:val="auto"/>
              </w:rPr>
            </w:pPr>
            <w:r>
              <w:rPr>
                <w:rFonts w:ascii="Arial" w:cs="Arial" w:eastAsia="Arial" w:hAnsi="Arial"/>
                <w:sz w:val="13"/>
                <w:szCs w:val="13"/>
                <w:b w:val="1"/>
                <w:bCs w:val="1"/>
                <w:color w:val="auto"/>
              </w:rPr>
              <w:t>Fair Value</w:t>
            </w:r>
          </w:p>
        </w:tc>
        <w:tc>
          <w:tcPr>
            <w:tcW w:w="1460" w:type="dxa"/>
            <w:vAlign w:val="bottom"/>
          </w:tcPr>
          <w:p>
            <w:pPr>
              <w:jc w:val="right"/>
              <w:ind w:right="509"/>
              <w:spacing w:after="0"/>
              <w:rPr>
                <w:sz w:val="20"/>
                <w:szCs w:val="20"/>
                <w:color w:val="auto"/>
              </w:rPr>
            </w:pPr>
            <w:r>
              <w:rPr>
                <w:rFonts w:ascii="Arial" w:cs="Arial" w:eastAsia="Arial" w:hAnsi="Arial"/>
                <w:sz w:val="13"/>
                <w:szCs w:val="13"/>
                <w:b w:val="1"/>
                <w:bCs w:val="1"/>
                <w:color w:val="auto"/>
              </w:rPr>
              <w:t>Level 1</w:t>
            </w:r>
          </w:p>
        </w:tc>
        <w:tc>
          <w:tcPr>
            <w:tcW w:w="1260" w:type="dxa"/>
            <w:vAlign w:val="bottom"/>
          </w:tcPr>
          <w:p>
            <w:pPr>
              <w:jc w:val="right"/>
              <w:ind w:right="488"/>
              <w:spacing w:after="0"/>
              <w:rPr>
                <w:sz w:val="20"/>
                <w:szCs w:val="20"/>
                <w:color w:val="auto"/>
              </w:rPr>
            </w:pPr>
            <w:r>
              <w:rPr>
                <w:rFonts w:ascii="Arial" w:cs="Arial" w:eastAsia="Arial" w:hAnsi="Arial"/>
                <w:sz w:val="13"/>
                <w:szCs w:val="13"/>
                <w:b w:val="1"/>
                <w:bCs w:val="1"/>
                <w:color w:val="auto"/>
              </w:rPr>
              <w:t>Level 2</w:t>
            </w:r>
          </w:p>
        </w:tc>
        <w:tc>
          <w:tcPr>
            <w:tcW w:w="1080" w:type="dxa"/>
            <w:vAlign w:val="bottom"/>
          </w:tcPr>
          <w:p>
            <w:pPr>
              <w:jc w:val="right"/>
              <w:ind w:right="328"/>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jc w:val="right"/>
              <w:ind w:right="289"/>
              <w:spacing w:after="0"/>
              <w:rPr>
                <w:sz w:val="20"/>
                <w:szCs w:val="20"/>
                <w:color w:val="auto"/>
              </w:rPr>
            </w:pPr>
            <w:r>
              <w:rPr>
                <w:rFonts w:ascii="Arial" w:cs="Arial" w:eastAsia="Arial" w:hAnsi="Arial"/>
                <w:sz w:val="13"/>
                <w:szCs w:val="13"/>
                <w:b w:val="1"/>
                <w:bCs w:val="1"/>
                <w:color w:val="auto"/>
              </w:rPr>
              <w:t>(In thousands)</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assets: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1,517,244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1,517,244</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1,371,688</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145,556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Interest-bearing deposits at banks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24,958,719</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24,958,719</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24,958,719</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3,000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3,000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Trading account</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117,847</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117,847</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117,847</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Investment securities</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25,210,871</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24,056,322</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145,289</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23,860,445</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50,588</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Loans and leases: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340"/>
              <w:spacing w:after="0"/>
              <w:rPr>
                <w:sz w:val="20"/>
                <w:szCs w:val="20"/>
                <w:color w:val="auto"/>
              </w:rPr>
            </w:pPr>
            <w:r>
              <w:rPr>
                <w:rFonts w:ascii="Arial" w:cs="Arial" w:eastAsia="Arial" w:hAnsi="Arial"/>
                <w:sz w:val="14"/>
                <w:szCs w:val="14"/>
                <w:color w:val="auto"/>
              </w:rPr>
              <w:t>Commercial loans and leases</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41,850,566</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41,139,985</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41,139,985</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Commercial real estate loans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45,364,571</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43,214,646</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130,652</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43,083,994</w:t>
            </w:r>
          </w:p>
        </w:tc>
        <w:tc>
          <w:tcPr>
            <w:tcW w:w="0" w:type="dxa"/>
            <w:vAlign w:val="bottom"/>
          </w:tcPr>
          <w:p>
            <w:pPr>
              <w:spacing w:after="0"/>
              <w:rPr>
                <w:sz w:val="1"/>
                <w:szCs w:val="1"/>
                <w:color w:val="auto"/>
              </w:rPr>
            </w:pPr>
          </w:p>
        </w:tc>
      </w:tr>
      <w:tr>
        <w:trPr>
          <w:trHeight w:val="189"/>
        </w:trPr>
        <w:tc>
          <w:tcPr>
            <w:tcW w:w="3660" w:type="dxa"/>
            <w:vAlign w:val="bottom"/>
          </w:tcPr>
          <w:p>
            <w:pPr>
              <w:ind w:left="340"/>
              <w:spacing w:after="0"/>
              <w:rPr>
                <w:sz w:val="20"/>
                <w:szCs w:val="20"/>
                <w:color w:val="auto"/>
              </w:rPr>
            </w:pPr>
            <w:r>
              <w:rPr>
                <w:rFonts w:ascii="Arial" w:cs="Arial" w:eastAsia="Arial" w:hAnsi="Arial"/>
                <w:sz w:val="14"/>
                <w:szCs w:val="14"/>
                <w:color w:val="auto"/>
              </w:rPr>
              <w:t>Residential real estate loans</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23,755,947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21,780,214</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7,049,540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14,730,674</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Consumer loans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20,593,079</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20,093,523</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20,093,523</w:t>
            </w:r>
          </w:p>
        </w:tc>
        <w:tc>
          <w:tcPr>
            <w:tcW w:w="0" w:type="dxa"/>
            <w:vAlign w:val="bottom"/>
          </w:tcPr>
          <w:p>
            <w:pPr>
              <w:spacing w:after="0"/>
              <w:rPr>
                <w:sz w:val="1"/>
                <w:szCs w:val="1"/>
                <w:color w:val="auto"/>
              </w:rPr>
            </w:pPr>
          </w:p>
        </w:tc>
      </w:tr>
      <w:tr>
        <w:trPr>
          <w:trHeight w:val="189"/>
        </w:trPr>
        <w:tc>
          <w:tcPr>
            <w:tcW w:w="3660" w:type="dxa"/>
            <w:vAlign w:val="bottom"/>
          </w:tcPr>
          <w:p>
            <w:pPr>
              <w:ind w:left="340"/>
              <w:spacing w:after="0"/>
              <w:rPr>
                <w:sz w:val="20"/>
                <w:szCs w:val="20"/>
                <w:color w:val="auto"/>
              </w:rPr>
            </w:pPr>
            <w:r>
              <w:rPr>
                <w:rFonts w:ascii="Arial" w:cs="Arial" w:eastAsia="Arial" w:hAnsi="Arial"/>
                <w:sz w:val="14"/>
                <w:szCs w:val="14"/>
                <w:color w:val="auto"/>
              </w:rPr>
              <w:t>Allowance for credit losses</w:t>
            </w:r>
          </w:p>
        </w:tc>
        <w:tc>
          <w:tcPr>
            <w:tcW w:w="8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(1,925,331 )</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Loans and leases, net</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129,638,832</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126,228,368</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7,180,192</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119,048,176</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Accrued interest receivable</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646,250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646,250</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646,250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liabilities: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Noninterest-bearing deposits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(65,501,860 )</w:t>
            </w:r>
          </w:p>
        </w:tc>
        <w:tc>
          <w:tcPr>
            <w:tcW w:w="1140" w:type="dxa"/>
            <w:vAlign w:val="bottom"/>
          </w:tcPr>
          <w:p>
            <w:pPr>
              <w:jc w:val="right"/>
              <w:spacing w:after="0"/>
              <w:rPr>
                <w:sz w:val="20"/>
                <w:szCs w:val="20"/>
                <w:color w:val="auto"/>
              </w:rPr>
            </w:pPr>
            <w:r>
              <w:rPr>
                <w:rFonts w:ascii="Arial" w:cs="Arial" w:eastAsia="Arial" w:hAnsi="Arial"/>
                <w:sz w:val="14"/>
                <w:szCs w:val="14"/>
                <w:color w:val="auto"/>
              </w:rPr>
              <w:t>(65,501,860 )</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(65,501,860 )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Savings and interest-checking deposits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(87,911,463 )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(87,911,463 )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(87,911,463 )</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8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(10,101,545 )</w:t>
            </w:r>
          </w:p>
        </w:tc>
        <w:tc>
          <w:tcPr>
            <w:tcW w:w="1140" w:type="dxa"/>
            <w:vAlign w:val="bottom"/>
          </w:tcPr>
          <w:p>
            <w:pPr>
              <w:jc w:val="right"/>
              <w:spacing w:after="0"/>
              <w:rPr>
                <w:sz w:val="20"/>
                <w:szCs w:val="20"/>
                <w:color w:val="auto"/>
              </w:rPr>
            </w:pPr>
            <w:r>
              <w:rPr>
                <w:rFonts w:ascii="Arial" w:cs="Arial" w:eastAsia="Arial" w:hAnsi="Arial"/>
                <w:sz w:val="14"/>
                <w:szCs w:val="14"/>
                <w:color w:val="auto"/>
              </w:rPr>
              <w:t>(10,143,110 )</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(10,143,110 )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Short-term borrowings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(3,554,951 )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(3,554,951 )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(3,554,951 )</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Long-term borrowings</w:t>
            </w:r>
          </w:p>
        </w:tc>
        <w:tc>
          <w:tcPr>
            <w:tcW w:w="8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(3,964,537 )</w:t>
            </w:r>
          </w:p>
        </w:tc>
        <w:tc>
          <w:tcPr>
            <w:tcW w:w="1140" w:type="dxa"/>
            <w:vAlign w:val="bottom"/>
          </w:tcPr>
          <w:p>
            <w:pPr>
              <w:jc w:val="right"/>
              <w:spacing w:after="0"/>
              <w:rPr>
                <w:sz w:val="20"/>
                <w:szCs w:val="20"/>
                <w:color w:val="auto"/>
              </w:rPr>
            </w:pPr>
            <w:r>
              <w:rPr>
                <w:rFonts w:ascii="Arial" w:cs="Arial" w:eastAsia="Arial" w:hAnsi="Arial"/>
                <w:sz w:val="14"/>
                <w:szCs w:val="14"/>
                <w:color w:val="auto"/>
              </w:rPr>
              <w:t>(3,926,489 )</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(3,926,489 )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Accrued interest payable</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(81,356 )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(81,356 )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(81,356 )</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Other financial instruments:</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Commitments to originate real estate</w:t>
            </w:r>
          </w:p>
        </w:tc>
        <w:tc>
          <w:tcPr>
            <w:tcW w:w="8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loans for sale</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(45,573 )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(45,573 )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(45,573 )</w:t>
            </w:r>
          </w:p>
        </w:tc>
        <w:tc>
          <w:tcPr>
            <w:tcW w:w="0" w:type="dxa"/>
            <w:vAlign w:val="bottom"/>
          </w:tcPr>
          <w:p>
            <w:pPr>
              <w:spacing w:after="0"/>
              <w:rPr>
                <w:sz w:val="1"/>
                <w:szCs w:val="1"/>
                <w:color w:val="auto"/>
              </w:rPr>
            </w:pPr>
          </w:p>
        </w:tc>
      </w:tr>
      <w:tr>
        <w:trPr>
          <w:trHeight w:val="189"/>
        </w:trPr>
        <w:tc>
          <w:tcPr>
            <w:tcW w:w="3660" w:type="dxa"/>
            <w:vAlign w:val="bottom"/>
          </w:tcPr>
          <w:p>
            <w:pPr>
              <w:ind w:left="180"/>
              <w:spacing w:after="0"/>
              <w:rPr>
                <w:sz w:val="20"/>
                <w:szCs w:val="20"/>
                <w:color w:val="auto"/>
              </w:rPr>
            </w:pPr>
            <w:r>
              <w:rPr>
                <w:rFonts w:ascii="Arial" w:cs="Arial" w:eastAsia="Arial" w:hAnsi="Arial"/>
                <w:sz w:val="14"/>
                <w:szCs w:val="14"/>
                <w:color w:val="auto"/>
              </w:rPr>
              <w:t>Commitments to sell real estate loans</w:t>
            </w:r>
          </w:p>
        </w:tc>
        <w:tc>
          <w:tcPr>
            <w:tcW w:w="82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54,424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54,424</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54,424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 credit-related commitments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(148,772 )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(148,772 )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(148,772 )</w:t>
            </w:r>
          </w:p>
        </w:tc>
        <w:tc>
          <w:tcPr>
            <w:tcW w:w="0" w:type="dxa"/>
            <w:vAlign w:val="bottom"/>
          </w:tcPr>
          <w:p>
            <w:pPr>
              <w:spacing w:after="0"/>
              <w:rPr>
                <w:sz w:val="1"/>
                <w:szCs w:val="1"/>
                <w:color w:val="auto"/>
              </w:rPr>
            </w:pPr>
          </w:p>
        </w:tc>
      </w:tr>
      <w:tr>
        <w:trPr>
          <w:trHeight w:val="172"/>
        </w:trPr>
        <w:tc>
          <w:tcPr>
            <w:tcW w:w="3660" w:type="dxa"/>
            <w:vAlign w:val="bottom"/>
          </w:tcPr>
          <w:p>
            <w:pPr>
              <w:ind w:left="180"/>
              <w:spacing w:after="0"/>
              <w:rPr>
                <w:sz w:val="20"/>
                <w:szCs w:val="20"/>
                <w:color w:val="auto"/>
              </w:rPr>
            </w:pPr>
            <w:r>
              <w:rPr>
                <w:rFonts w:ascii="Arial" w:cs="Arial" w:eastAsia="Arial" w:hAnsi="Arial"/>
                <w:sz w:val="14"/>
                <w:szCs w:val="14"/>
                <w:color w:val="auto"/>
              </w:rPr>
              <w:t>Interest rate swap agreements used</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60" w:type="dxa"/>
            <w:vAlign w:val="bottom"/>
          </w:tcPr>
          <w:p>
            <w:pPr>
              <w:ind w:left="300"/>
              <w:spacing w:after="0"/>
              <w:rPr>
                <w:sz w:val="20"/>
                <w:szCs w:val="20"/>
                <w:color w:val="auto"/>
              </w:rPr>
            </w:pPr>
            <w:r>
              <w:rPr>
                <w:rFonts w:ascii="Arial" w:cs="Arial" w:eastAsia="Arial" w:hAnsi="Arial"/>
                <w:sz w:val="14"/>
                <w:szCs w:val="14"/>
                <w:color w:val="auto"/>
              </w:rPr>
              <w:t>for interest rate risk management</w:t>
            </w:r>
          </w:p>
        </w:tc>
        <w:tc>
          <w:tcPr>
            <w:tcW w:w="82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(7,892 )</w:t>
            </w:r>
          </w:p>
        </w:tc>
        <w:tc>
          <w:tcPr>
            <w:tcW w:w="1140" w:type="dxa"/>
            <w:vAlign w:val="bottom"/>
          </w:tcPr>
          <w:p>
            <w:pPr>
              <w:jc w:val="right"/>
              <w:spacing w:after="0"/>
              <w:rPr>
                <w:sz w:val="20"/>
                <w:szCs w:val="20"/>
                <w:color w:val="auto"/>
              </w:rPr>
            </w:pPr>
            <w:r>
              <w:rPr>
                <w:rFonts w:ascii="Arial" w:cs="Arial" w:eastAsia="Arial" w:hAnsi="Arial"/>
                <w:sz w:val="14"/>
                <w:szCs w:val="14"/>
                <w:color w:val="auto"/>
              </w:rPr>
              <w:t>(7,892 )</w:t>
            </w:r>
          </w:p>
        </w:tc>
        <w:tc>
          <w:tcPr>
            <w:tcW w:w="14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(7,892 )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 rate and foreign exchange contracts</w:t>
            </w:r>
          </w:p>
        </w:tc>
        <w:tc>
          <w:tcPr>
            <w:tcW w:w="8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not designated as hedging instruments</w:t>
            </w:r>
          </w:p>
        </w:tc>
        <w:tc>
          <w:tcPr>
            <w:tcW w:w="8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(920,316 )</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(920,316 )</w:t>
            </w:r>
          </w:p>
        </w:tc>
        <w:tc>
          <w:tcPr>
            <w:tcW w:w="14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(920,316 )</w:t>
            </w:r>
          </w:p>
        </w:tc>
        <w:tc>
          <w:tcPr>
            <w:tcW w:w="10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right="20" w:firstLine="468"/>
        <w:spacing w:after="0" w:line="254" w:lineRule="auto"/>
        <w:rPr>
          <w:sz w:val="20"/>
          <w:szCs w:val="20"/>
          <w:color w:val="auto"/>
        </w:rPr>
      </w:pPr>
      <w:r>
        <w:rPr>
          <w:rFonts w:ascii="Arial" w:cs="Arial" w:eastAsia="Arial" w:hAnsi="Arial"/>
          <w:sz w:val="18"/>
          <w:szCs w:val="18"/>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5" w:lineRule="exact"/>
        <w:rPr>
          <w:sz w:val="20"/>
          <w:szCs w:val="20"/>
          <w:color w:val="auto"/>
        </w:rPr>
      </w:pPr>
    </w:p>
    <w:p>
      <w:pPr>
        <w:ind w:left="20" w:right="200" w:firstLine="468"/>
        <w:spacing w:after="0" w:line="271" w:lineRule="auto"/>
        <w:rPr>
          <w:sz w:val="20"/>
          <w:szCs w:val="20"/>
          <w:color w:val="auto"/>
        </w:rPr>
      </w:pPr>
      <w:r>
        <w:rPr>
          <w:rFonts w:ascii="Arial" w:cs="Arial" w:eastAsia="Arial" w:hAnsi="Arial"/>
          <w:sz w:val="17"/>
          <w:szCs w:val="17"/>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2" w:name="page43"/>
    <w:bookmarkEnd w:id="42"/>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15" w:lineRule="exact"/>
        <w:rPr>
          <w:sz w:val="20"/>
          <w:szCs w:val="20"/>
          <w:color w:val="auto"/>
        </w:rPr>
      </w:pPr>
    </w:p>
    <w:p>
      <w:pPr>
        <w:ind w:left="20" w:right="80"/>
        <w:spacing w:after="0" w:line="306" w:lineRule="auto"/>
        <w:rPr>
          <w:sz w:val="20"/>
          <w:szCs w:val="20"/>
          <w:color w:val="auto"/>
        </w:rPr>
      </w:pPr>
      <w:r>
        <w:rPr>
          <w:rFonts w:ascii="Arial" w:cs="Arial" w:eastAsia="Arial" w:hAnsi="Arial"/>
          <w:sz w:val="17"/>
          <w:szCs w:val="17"/>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80" w:type="dxa"/>
            <w:vAlign w:val="bottom"/>
          </w:tcPr>
          <w:p>
            <w:pPr>
              <w:jc w:val="right"/>
              <w:ind w:right="305"/>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5"/>
                <w:szCs w:val="15"/>
                <w:color w:val="auto"/>
              </w:rPr>
            </w:pPr>
          </w:p>
        </w:tc>
        <w:tc>
          <w:tcPr>
            <w:tcW w:w="1280" w:type="dxa"/>
            <w:vAlign w:val="bottom"/>
          </w:tcPr>
          <w:p>
            <w:pPr>
              <w:jc w:val="right"/>
              <w:ind w:right="264"/>
              <w:spacing w:after="0"/>
              <w:rPr>
                <w:sz w:val="20"/>
                <w:szCs w:val="20"/>
                <w:color w:val="auto"/>
              </w:rPr>
            </w:pPr>
            <w:r>
              <w:rPr>
                <w:rFonts w:ascii="Arial" w:cs="Arial" w:eastAsia="Arial" w:hAnsi="Arial"/>
                <w:sz w:val="13"/>
                <w:szCs w:val="13"/>
                <w:b w:val="1"/>
                <w:bCs w:val="1"/>
                <w:color w:val="auto"/>
              </w:rPr>
              <w:t>December 31,</w:t>
            </w:r>
          </w:p>
        </w:tc>
      </w:tr>
      <w:tr>
        <w:trPr>
          <w:trHeight w:val="180"/>
        </w:trPr>
        <w:tc>
          <w:tcPr>
            <w:tcW w:w="5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80" w:type="dxa"/>
            <w:vAlign w:val="bottom"/>
          </w:tcPr>
          <w:p>
            <w:pPr>
              <w:jc w:val="right"/>
              <w:ind w:right="605"/>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1280" w:type="dxa"/>
            <w:vAlign w:val="bottom"/>
          </w:tcPr>
          <w:p>
            <w:pPr>
              <w:jc w:val="right"/>
              <w:ind w:right="544"/>
              <w:spacing w:after="0"/>
              <w:rPr>
                <w:sz w:val="20"/>
                <w:szCs w:val="20"/>
                <w:color w:val="auto"/>
              </w:rPr>
            </w:pPr>
            <w:r>
              <w:rPr>
                <w:rFonts w:ascii="Arial" w:cs="Arial" w:eastAsia="Arial" w:hAnsi="Arial"/>
                <w:sz w:val="13"/>
                <w:szCs w:val="13"/>
                <w:b w:val="1"/>
                <w:bCs w:val="1"/>
                <w:color w:val="auto"/>
              </w:rPr>
              <w:t>2022</w:t>
            </w:r>
          </w:p>
        </w:tc>
      </w:tr>
      <w:tr>
        <w:trPr>
          <w:trHeight w:val="183"/>
        </w:trPr>
        <w:tc>
          <w:tcPr>
            <w:tcW w:w="5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940" w:type="dxa"/>
            <w:vAlign w:val="bottom"/>
            <w:gridSpan w:val="3"/>
          </w:tcPr>
          <w:p>
            <w:pPr>
              <w:jc w:val="right"/>
              <w:ind w:right="1084"/>
              <w:spacing w:after="0"/>
              <w:rPr>
                <w:sz w:val="20"/>
                <w:szCs w:val="20"/>
                <w:color w:val="auto"/>
              </w:rPr>
            </w:pPr>
            <w:r>
              <w:rPr>
                <w:rFonts w:ascii="Arial" w:cs="Arial" w:eastAsia="Arial" w:hAnsi="Arial"/>
                <w:sz w:val="13"/>
                <w:szCs w:val="13"/>
                <w:b w:val="1"/>
                <w:bCs w:val="1"/>
                <w:color w:val="auto"/>
              </w:rPr>
              <w:t>(In thousands)</w:t>
            </w:r>
          </w:p>
        </w:tc>
      </w:tr>
      <w:tr>
        <w:trPr>
          <w:trHeight w:val="204"/>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to extend credit</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Home equity lines of credit</w:t>
            </w:r>
          </w:p>
        </w:tc>
        <w:tc>
          <w:tcPr>
            <w:tcW w:w="2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8,167,368</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8,261,560</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 loans to be sold</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338,569</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348,701</w:t>
            </w: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Other commercial real estate</w:t>
            </w:r>
          </w:p>
        </w:tc>
        <w:tc>
          <w:tcPr>
            <w:tcW w:w="21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6,224,142</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5,776,116</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Residential real estate loans to be sold</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237,683</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31,208</w:t>
            </w:r>
          </w:p>
        </w:tc>
      </w:tr>
      <w:tr>
        <w:trPr>
          <w:trHeight w:val="203"/>
        </w:trPr>
        <w:tc>
          <w:tcPr>
            <w:tcW w:w="5480" w:type="dxa"/>
            <w:vAlign w:val="bottom"/>
          </w:tcPr>
          <w:p>
            <w:pPr>
              <w:ind w:left="180"/>
              <w:spacing w:after="0"/>
              <w:rPr>
                <w:sz w:val="20"/>
                <w:szCs w:val="20"/>
                <w:color w:val="auto"/>
              </w:rPr>
            </w:pPr>
            <w:r>
              <w:rPr>
                <w:rFonts w:ascii="Arial" w:cs="Arial" w:eastAsia="Arial" w:hAnsi="Arial"/>
                <w:sz w:val="16"/>
                <w:szCs w:val="16"/>
                <w:color w:val="auto"/>
              </w:rPr>
              <w:t>Other residential real estate</w:t>
            </w:r>
          </w:p>
        </w:tc>
        <w:tc>
          <w:tcPr>
            <w:tcW w:w="21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406,667</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505,121</w:t>
            </w:r>
          </w:p>
        </w:tc>
      </w:tr>
      <w:tr>
        <w:trPr>
          <w:trHeight w:val="205"/>
        </w:trPr>
        <w:tc>
          <w:tcPr>
            <w:tcW w:w="54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and other</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33,670,583</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32,625,840</w:t>
            </w: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Standby letters of credit</w:t>
            </w:r>
          </w:p>
        </w:tc>
        <w:tc>
          <w:tcPr>
            <w:tcW w:w="21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2,333,434</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2,376,644</w:t>
            </w:r>
          </w:p>
        </w:tc>
      </w:tr>
      <w:tr>
        <w:trPr>
          <w:trHeight w:val="205"/>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letters of credit</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72,053</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65,066</w:t>
            </w:r>
          </w:p>
        </w:tc>
      </w:tr>
      <w:tr>
        <w:trPr>
          <w:trHeight w:val="203"/>
        </w:trPr>
        <w:tc>
          <w:tcPr>
            <w:tcW w:w="5480" w:type="dxa"/>
            <w:vAlign w:val="bottom"/>
          </w:tcPr>
          <w:p>
            <w:pPr>
              <w:ind w:left="20"/>
              <w:spacing w:after="0"/>
              <w:rPr>
                <w:sz w:val="20"/>
                <w:szCs w:val="20"/>
                <w:color w:val="auto"/>
              </w:rPr>
            </w:pPr>
            <w:r>
              <w:rPr>
                <w:rFonts w:ascii="Arial" w:cs="Arial" w:eastAsia="Arial" w:hAnsi="Arial"/>
                <w:sz w:val="16"/>
                <w:szCs w:val="16"/>
                <w:color w:val="auto"/>
              </w:rPr>
              <w:t>Financial guarantees and indemnification contracts</w:t>
            </w:r>
          </w:p>
        </w:tc>
        <w:tc>
          <w:tcPr>
            <w:tcW w:w="214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4,209,726</w:t>
            </w:r>
          </w:p>
        </w:tc>
        <w:tc>
          <w:tcPr>
            <w:tcW w:w="280" w:type="dxa"/>
            <w:vAlign w:val="bottom"/>
          </w:tcPr>
          <w:p>
            <w:pPr>
              <w:spacing w:after="0"/>
              <w:rPr>
                <w:sz w:val="17"/>
                <w:szCs w:val="17"/>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4,022,432</w:t>
            </w:r>
          </w:p>
        </w:tc>
      </w:tr>
      <w:tr>
        <w:trPr>
          <w:trHeight w:val="205"/>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to sell real estate loans</w:t>
            </w:r>
          </w:p>
        </w:tc>
        <w:tc>
          <w:tcPr>
            <w:tcW w:w="2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948,190</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533,458</w:t>
            </w:r>
          </w:p>
        </w:tc>
      </w:tr>
    </w:tbl>
    <w:p>
      <w:pPr>
        <w:spacing w:after="0" w:line="89" w:lineRule="exact"/>
        <w:rPr>
          <w:sz w:val="20"/>
          <w:szCs w:val="20"/>
          <w:color w:val="auto"/>
        </w:rPr>
      </w:pPr>
    </w:p>
    <w:p>
      <w:pPr>
        <w:ind w:left="20" w:right="60" w:firstLine="468"/>
        <w:spacing w:after="0" w:line="253" w:lineRule="auto"/>
        <w:rPr>
          <w:sz w:val="20"/>
          <w:szCs w:val="20"/>
          <w:color w:val="auto"/>
        </w:rPr>
      </w:pPr>
      <w:r>
        <w:rPr>
          <w:rFonts w:ascii="Arial" w:cs="Arial" w:eastAsia="Arial" w:hAnsi="Arial"/>
          <w:sz w:val="18"/>
          <w:szCs w:val="18"/>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$12.5 billion and $11.7 billion at September 30, 2023 and December 31, 2022,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3" w:lineRule="exact"/>
        <w:rPr>
          <w:sz w:val="20"/>
          <w:szCs w:val="20"/>
          <w:color w:val="auto"/>
        </w:rPr>
      </w:pPr>
    </w:p>
    <w:p>
      <w:pPr>
        <w:ind w:left="20" w:right="20" w:firstLine="468"/>
        <w:spacing w:after="0" w:line="255" w:lineRule="auto"/>
        <w:rPr>
          <w:sz w:val="20"/>
          <w:szCs w:val="20"/>
          <w:color w:val="auto"/>
        </w:rPr>
      </w:pPr>
      <w:r>
        <w:rPr>
          <w:rFonts w:ascii="Arial" w:cs="Arial" w:eastAsia="Arial" w:hAnsi="Arial"/>
          <w:sz w:val="18"/>
          <w:szCs w:val="18"/>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$ 4.0 billion and $3.9 billion at September 30, 2023 and December 31, 2022, respectively. There have been no material losses incurred as a result of those credit recourse arrangements.</w:t>
      </w:r>
    </w:p>
    <w:p>
      <w:pPr>
        <w:spacing w:after="0" w:line="73" w:lineRule="exact"/>
        <w:rPr>
          <w:sz w:val="20"/>
          <w:szCs w:val="20"/>
          <w:color w:val="auto"/>
        </w:rPr>
      </w:pPr>
    </w:p>
    <w:p>
      <w:pPr>
        <w:ind w:left="20" w:right="300" w:firstLine="468"/>
        <w:spacing w:after="0" w:line="275"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54" w:lineRule="exact"/>
        <w:rPr>
          <w:sz w:val="20"/>
          <w:szCs w:val="20"/>
          <w:color w:val="auto"/>
        </w:rPr>
      </w:pPr>
    </w:p>
    <w:p>
      <w:pPr>
        <w:ind w:left="20" w:right="40" w:firstLine="468"/>
        <w:spacing w:after="0" w:line="263"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generally recorded in the Consolidated Balance Sheet at estimated fair market value.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3" w:name="page44"/>
    <w:bookmarkEnd w:id="43"/>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15" w:lineRule="exact"/>
        <w:rPr>
          <w:sz w:val="20"/>
          <w:szCs w:val="20"/>
          <w:color w:val="auto"/>
        </w:rPr>
      </w:pPr>
    </w:p>
    <w:p>
      <w:pPr>
        <w:ind w:left="20" w:right="20" w:firstLine="468"/>
        <w:spacing w:after="0" w:line="254" w:lineRule="auto"/>
        <w:rPr>
          <w:sz w:val="20"/>
          <w:szCs w:val="20"/>
          <w:color w:val="auto"/>
        </w:rPr>
      </w:pPr>
      <w:r>
        <w:rPr>
          <w:rFonts w:ascii="Arial" w:cs="Arial" w:eastAsia="Arial" w:hAnsi="Arial"/>
          <w:sz w:val="18"/>
          <w:szCs w:val="18"/>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2023, the Company assessed that its obligation to loan purchasers was not material to the Company’s consolidated financial position.</w:t>
      </w:r>
    </w:p>
    <w:p>
      <w:pPr>
        <w:spacing w:after="0" w:line="75" w:lineRule="exact"/>
        <w:rPr>
          <w:sz w:val="20"/>
          <w:szCs w:val="20"/>
          <w:color w:val="auto"/>
        </w:rPr>
      </w:pPr>
    </w:p>
    <w:p>
      <w:pPr>
        <w:ind w:left="20" w:firstLine="468"/>
        <w:spacing w:after="0" w:line="253"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September 30, 2023.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75" w:lineRule="exact"/>
        <w:rPr>
          <w:sz w:val="20"/>
          <w:szCs w:val="20"/>
          <w:color w:val="auto"/>
        </w:rPr>
      </w:pPr>
    </w:p>
    <w:p>
      <w:pPr>
        <w:ind w:left="20" w:firstLine="468"/>
        <w:spacing w:after="0" w:line="252" w:lineRule="auto"/>
        <w:rPr>
          <w:sz w:val="20"/>
          <w:szCs w:val="20"/>
          <w:color w:val="auto"/>
        </w:rPr>
      </w:pPr>
      <w:r>
        <w:rPr>
          <w:rFonts w:ascii="Arial" w:cs="Arial" w:eastAsia="Arial" w:hAnsi="Arial"/>
          <w:sz w:val="18"/>
          <w:szCs w:val="18"/>
          <w:color w:val="auto"/>
        </w:rPr>
        <w:t>On May 11, 2023, the FDIC released a proposed rule that would impose a special assessment to recover the costs to the DIF resulting from the FDIC’s use, in March 2023, of the systemic risk exception to the least-cost resolution test under the Federal Deposit Insurance Act in connection with the receiverships of Silicon Valley Bank and Signature Bank. The FDIC stated that it currently estimates those assessed losses to total $15.8 billion and that the amount of the special assessments would be adjusted as the loss estimate changes. Under the proposed rule, the assessment base would be the estimated uninsured deposits that an IDI reported in its Federal Financial Institutions Examination Council Consolidated Reports of Condition and Income at December 31, 2022, excluding the first $5 billion in estimated uninsured deposits. For a holding company that has more than one IDI subsidiary, such as M&amp;T, the $5 billion exclusion would be allocated among the company’s IDI subsidiaries in proportion to each IDI’s estimated uninsured deposits. The special assessments would be collected at an annual rate of approximately 12.5 basis points per year (3.13 basis points per quarter) over eight quarters in 2024 and 2025, with the first assessment period beginning January 1, 2024. Under the proposed rule, the estimated loss pursuant to the systemic risk determination would be periodically adjusted, and the FDIC would retain the ability to cease collection early, extend the special assessment collection period and impose a final shortfall special assessment on a one- time basis. M&amp;T expects the special assessments, as currently contemplated, would be tax deductible. Although the proposal could be revised, the total of the assessments for the Company is estimated at $183 million and such amount is expected to be recorded as an expense in the quarter of enactment.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44" w:name="page45"/>
    <w:bookmarkEnd w:id="44"/>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15" w:lineRule="exact"/>
        <w:rPr>
          <w:sz w:val="20"/>
          <w:szCs w:val="20"/>
          <w:color w:val="auto"/>
        </w:rPr>
      </w:pPr>
    </w:p>
    <w:p>
      <w:pPr>
        <w:ind w:left="20" w:right="4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2" w:lineRule="exact"/>
        <w:rPr>
          <w:sz w:val="20"/>
          <w:szCs w:val="20"/>
          <w:color w:val="auto"/>
        </w:rPr>
      </w:pPr>
    </w:p>
    <w:p>
      <w:pPr>
        <w:ind w:left="20" w:firstLine="468"/>
        <w:spacing w:after="0" w:line="252"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23 of Notes to Financial Statements in the 2022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described in the 2022 Annual Report, certain lending relationships within the hospitality sector that had previously received oversight within the Commercial Banking segment were realigned to the Commercial Real Estate segment and certain expenses were reallocated from the All Other segment to various reportable segments in the fourth quarter of 2022. Since acquisition in 2022, the Company also realigned certain operations associated with People's United requiring reclassifications of certain revenues and expenses among the reportable segments. As a result, financial information for the three and nine months ended September 30, 2022 has been reclassified to provide segment information on a comparable basis, as noted in the accompanying tables.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gridSpan w:val="9"/>
          </w:tcPr>
          <w:p>
            <w:pPr>
              <w:jc w:val="center"/>
              <w:ind w:left="808"/>
              <w:spacing w:after="0"/>
              <w:rPr>
                <w:sz w:val="20"/>
                <w:szCs w:val="20"/>
                <w:color w:val="auto"/>
              </w:rPr>
            </w:pPr>
            <w:r>
              <w:rPr>
                <w:rFonts w:ascii="Arial" w:cs="Arial" w:eastAsia="Arial" w:hAnsi="Arial"/>
                <w:sz w:val="13"/>
                <w:szCs w:val="13"/>
                <w:b w:val="1"/>
                <w:bCs w:val="1"/>
                <w:color w:val="auto"/>
              </w:rPr>
              <w:t>Three Months Ended September 30, 2022</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rPr>
              <w:t>Net Income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Revenues as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rPr>
              <w:t>(Loss) as</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Arial" w:cs="Arial" w:eastAsia="Arial" w:hAnsi="Arial"/>
                <w:sz w:val="13"/>
                <w:szCs w:val="13"/>
                <w:b w:val="1"/>
                <w:bCs w:val="1"/>
                <w:color w:val="auto"/>
              </w:rPr>
              <w:t>Previously</w:t>
            </w:r>
          </w:p>
        </w:tc>
        <w:tc>
          <w:tcPr>
            <w:tcW w:w="200" w:type="dxa"/>
            <w:vAlign w:val="bottom"/>
          </w:tcPr>
          <w:p>
            <w:pPr>
              <w:spacing w:after="0"/>
              <w:rPr>
                <w:sz w:val="13"/>
                <w:szCs w:val="13"/>
                <w:color w:val="auto"/>
              </w:rPr>
            </w:pP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Impact of</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Revenues as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rPr>
              <w:t>Previously</w:t>
            </w: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Impact of</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(Loss) as</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5"/>
              <w:spacing w:after="0"/>
              <w:rPr>
                <w:sz w:val="20"/>
                <w:szCs w:val="20"/>
                <w:color w:val="auto"/>
              </w:rPr>
            </w:pPr>
            <w:r>
              <w:rPr>
                <w:rFonts w:ascii="Arial" w:cs="Arial" w:eastAsia="Arial" w:hAnsi="Arial"/>
                <w:sz w:val="13"/>
                <w:szCs w:val="13"/>
                <w:b w:val="1"/>
                <w:bCs w:val="1"/>
                <w:color w:val="auto"/>
              </w:rPr>
              <w:t>Reported</w:t>
            </w:r>
          </w:p>
        </w:tc>
        <w:tc>
          <w:tcPr>
            <w:tcW w:w="20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Changes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Reclassified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rPr>
              <w:t>Reported</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Changes</w:t>
            </w:r>
          </w:p>
        </w:tc>
        <w:tc>
          <w:tcPr>
            <w:tcW w:w="10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204"/>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241,629</w:t>
            </w:r>
          </w:p>
        </w:tc>
        <w:tc>
          <w:tcPr>
            <w:tcW w:w="2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241,629</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94,094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(1,476)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92,618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510,549</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(1,173)</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509,376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214,063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234,479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12,635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247,114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94,937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110,034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36,622</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(24,981 )</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(18,074 )</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95,091</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95,091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(3,283)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650,229</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(2 )</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650,227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181,639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473,171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13,521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486,692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2,241,770</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2,241,770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646,596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646,596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9"/>
          </w:tcPr>
          <w:p>
            <w:pPr>
              <w:jc w:val="center"/>
              <w:ind w:left="808"/>
              <w:spacing w:after="0"/>
              <w:rPr>
                <w:sz w:val="20"/>
                <w:szCs w:val="20"/>
                <w:color w:val="auto"/>
              </w:rPr>
            </w:pPr>
            <w:r>
              <w:rPr>
                <w:rFonts w:ascii="Arial" w:cs="Arial" w:eastAsia="Arial" w:hAnsi="Arial"/>
                <w:sz w:val="13"/>
                <w:szCs w:val="13"/>
                <w:b w:val="1"/>
                <w:bCs w:val="1"/>
                <w:color w:val="auto"/>
              </w:rPr>
              <w:t>Nine Months Ended September 30, 2022</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45"/>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rPr>
              <w:t>Net Income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Revenues as</w:t>
            </w:r>
          </w:p>
        </w:tc>
        <w:tc>
          <w:tcPr>
            <w:tcW w:w="20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Impact of</w:t>
            </w:r>
          </w:p>
        </w:tc>
        <w:tc>
          <w:tcPr>
            <w:tcW w:w="160" w:type="dxa"/>
            <w:vAlign w:val="bottom"/>
          </w:tcPr>
          <w:p>
            <w:pPr>
              <w:spacing w:after="0"/>
              <w:rPr>
                <w:sz w:val="13"/>
                <w:szCs w:val="13"/>
                <w:color w:val="auto"/>
              </w:rPr>
            </w:pPr>
          </w:p>
        </w:tc>
        <w:tc>
          <w:tcPr>
            <w:tcW w:w="780" w:type="dxa"/>
            <w:vAlign w:val="bottom"/>
          </w:tcPr>
          <w:p>
            <w:pPr>
              <w:jc w:val="center"/>
              <w:ind w:right="64"/>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rPr>
              <w:t>(Loss) as</w:t>
            </w: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Impact of</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Net Income</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center"/>
              <w:ind w:right="45"/>
              <w:spacing w:after="0"/>
              <w:rPr>
                <w:sz w:val="20"/>
                <w:szCs w:val="20"/>
                <w:color w:val="auto"/>
              </w:rPr>
            </w:pPr>
            <w:r>
              <w:rPr>
                <w:rFonts w:ascii="Arial" w:cs="Arial" w:eastAsia="Arial" w:hAnsi="Arial"/>
                <w:sz w:val="13"/>
                <w:szCs w:val="13"/>
                <w:b w:val="1"/>
                <w:bCs w:val="1"/>
                <w:color w:val="auto"/>
              </w:rPr>
              <w:t>Previously</w:t>
            </w: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Revenues as</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3"/>
                <w:szCs w:val="13"/>
                <w:b w:val="1"/>
                <w:bCs w:val="1"/>
                <w:color w:val="auto"/>
              </w:rPr>
              <w:t>Previously</w:t>
            </w: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(Loss) as</w:t>
            </w:r>
          </w:p>
        </w:tc>
        <w:tc>
          <w:tcPr>
            <w:tcW w:w="0" w:type="dxa"/>
            <w:vAlign w:val="bottom"/>
          </w:tcPr>
          <w:p>
            <w:pPr>
              <w:spacing w:after="0"/>
              <w:rPr>
                <w:sz w:val="1"/>
                <w:szCs w:val="1"/>
                <w:color w:val="auto"/>
              </w:rPr>
            </w:pPr>
          </w:p>
        </w:tc>
      </w:tr>
      <w:tr>
        <w:trPr>
          <w:trHeight w:val="72"/>
        </w:trPr>
        <w:tc>
          <w:tcPr>
            <w:tcW w:w="3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Changes</w:t>
            </w:r>
          </w:p>
        </w:tc>
        <w:tc>
          <w:tcPr>
            <w:tcW w:w="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Changes</w:t>
            </w: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ind w:right="25"/>
              <w:spacing w:after="0"/>
              <w:rPr>
                <w:sz w:val="20"/>
                <w:szCs w:val="20"/>
                <w:color w:val="auto"/>
              </w:rPr>
            </w:pPr>
            <w:r>
              <w:rPr>
                <w:rFonts w:ascii="Arial" w:cs="Arial" w:eastAsia="Arial" w:hAnsi="Arial"/>
                <w:sz w:val="13"/>
                <w:szCs w:val="13"/>
                <w:b w:val="1"/>
                <w:bCs w:val="1"/>
                <w:color w:val="auto"/>
              </w:rPr>
              <w:t>Reported</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Reclassified</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3"/>
                <w:szCs w:val="13"/>
                <w:b w:val="1"/>
                <w:bCs w:val="1"/>
                <w:color w:val="auto"/>
              </w:rPr>
              <w:t>Reported</w:t>
            </w:r>
          </w:p>
        </w:tc>
        <w:tc>
          <w:tcPr>
            <w:tcW w:w="1040" w:type="dxa"/>
            <w:vAlign w:val="bottom"/>
            <w:gridSpan w:val="2"/>
            <w:vMerge w:val="continue"/>
          </w:tcPr>
          <w:p>
            <w:pPr>
              <w:spacing w:after="0"/>
              <w:rPr>
                <w:sz w:val="9"/>
                <w:szCs w:val="9"/>
                <w:color w:val="auto"/>
              </w:rPr>
            </w:pP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Reclassified</w:t>
            </w:r>
          </w:p>
        </w:tc>
        <w:tc>
          <w:tcPr>
            <w:tcW w:w="0" w:type="dxa"/>
            <w:vAlign w:val="bottom"/>
          </w:tcPr>
          <w:p>
            <w:pPr>
              <w:spacing w:after="0"/>
              <w:rPr>
                <w:sz w:val="1"/>
                <w:szCs w:val="1"/>
                <w:color w:val="auto"/>
              </w:rPr>
            </w:pPr>
          </w:p>
        </w:tc>
      </w:tr>
      <w:tr>
        <w:trPr>
          <w:trHeight w:val="72"/>
        </w:trPr>
        <w:tc>
          <w:tcPr>
            <w:tcW w:w="3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6"/>
          </w:tcPr>
          <w:p>
            <w:pPr>
              <w:jc w:val="center"/>
              <w:ind w:right="500"/>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586,605</w:t>
            </w:r>
          </w:p>
        </w:tc>
        <w:tc>
          <w:tcPr>
            <w:tcW w:w="2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586,605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205,741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(6,008)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199,733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1,239,300</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(2,550)</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1,236,750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521,749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(20,254 )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501,495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676,176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29,707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705,883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314,284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190,761</w:t>
            </w:r>
          </w:p>
        </w:tc>
        <w:tc>
          <w:tcPr>
            <w:tcW w:w="14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(39,866 )</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150,895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103,283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(30,448 )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346,409</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346,409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(2,095)</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1,523,992</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1,523,992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379,688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(13,243 )</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366,445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1,106,405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12,709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1,119,114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(333,481 )</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(286,374 )</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5,669,648</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5,669,648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1,226,292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1,226,292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gridSpan w:val="2"/>
          </w:tcPr>
          <w:p>
            <w:pPr>
              <w:jc w:val="right"/>
              <w:ind w:right="328"/>
              <w:spacing w:after="0"/>
              <w:rPr>
                <w:sz w:val="20"/>
                <w:szCs w:val="20"/>
                <w:color w:val="auto"/>
              </w:rPr>
            </w:pPr>
            <w:r>
              <w:rPr>
                <w:rFonts w:ascii="Arial" w:cs="Arial" w:eastAsia="Arial" w:hAnsi="Arial"/>
                <w:sz w:val="16"/>
                <w:szCs w:val="16"/>
                <w:color w:val="auto"/>
              </w:rPr>
              <w:t>- 45 -</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76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0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40" w:top="562" w:right="660" w:bottom="1440" w:gutter="0" w:footer="0" w:header="0"/>
        </w:sectPr>
      </w:pPr>
    </w:p>
    <w:bookmarkStart w:id="45" w:name="page46"/>
    <w:bookmarkEnd w:id="45"/>
    <w:p>
      <w:pPr>
        <w:ind w:left="20"/>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about the Company's segments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6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2280" w:type="dxa"/>
            <w:vAlign w:val="bottom"/>
            <w:gridSpan w:val="6"/>
          </w:tcPr>
          <w:p>
            <w:pPr>
              <w:jc w:val="center"/>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34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Inter-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Inter-</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segment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segment</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Revenues(a)</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Revenues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Revenues(a)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Revenues</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jc w:val="center"/>
              <w:ind w:right="284"/>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291,839</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980</w:t>
            </w:r>
          </w:p>
        </w:tc>
        <w:tc>
          <w:tcPr>
            <w:tcW w:w="80" w:type="dxa"/>
            <w:vAlign w:val="bottom"/>
          </w:tcPr>
          <w:p>
            <w:pPr>
              <w:spacing w:after="0"/>
              <w:rPr>
                <w:sz w:val="24"/>
                <w:szCs w:val="24"/>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117,290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241,629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92,618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453,326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8,224</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167,714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509,376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231,303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72,442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247,114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110,034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(20,672 )</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(14,110 )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(21,586 )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(23,044 )</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100,444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(14,422 )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95,091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17"/>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876,002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342,700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650,227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182,794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402,727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(14,620 )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486,692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(14,312 )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2,334,969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689,941</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2,241,770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646,596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jc w:val="center"/>
              <w:ind w:right="6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24"/>
                <w:szCs w:val="24"/>
                <w:color w:val="auto"/>
              </w:rPr>
            </w:pPr>
          </w:p>
        </w:tc>
        <w:tc>
          <w:tcPr>
            <w:tcW w:w="2280" w:type="dxa"/>
            <w:vAlign w:val="bottom"/>
            <w:gridSpan w:val="6"/>
          </w:tcPr>
          <w:p>
            <w:pPr>
              <w:jc w:val="center"/>
              <w:spacing w:after="0"/>
              <w:rPr>
                <w:sz w:val="20"/>
                <w:szCs w:val="20"/>
                <w:color w:val="auto"/>
              </w:rPr>
            </w:pPr>
            <w:r>
              <w:rPr>
                <w:rFonts w:ascii="Arial" w:cs="Arial" w:eastAsia="Arial" w:hAnsi="Arial"/>
                <w:sz w:val="13"/>
                <w:szCs w:val="13"/>
                <w:b w:val="1"/>
                <w:bCs w:val="1"/>
                <w:color w:val="auto"/>
              </w:rPr>
              <w:t>Nine Months Ended 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restart"/>
          </w:tcPr>
          <w:p>
            <w:pPr>
              <w:jc w:val="right"/>
              <w:ind w:right="346"/>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Inter-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Inter-</w:t>
            </w: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segment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860" w:type="dxa"/>
            <w:vAlign w:val="bottom"/>
          </w:tcPr>
          <w:p>
            <w:pPr>
              <w:jc w:val="center"/>
              <w:ind w:right="24"/>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segment</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Revenues(a)</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Revenues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Revenues(a)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Revenues</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4"/>
          </w:tcPr>
          <w:p>
            <w:pPr>
              <w:jc w:val="center"/>
              <w:ind w:right="284"/>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376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842,571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2,904</w:t>
            </w:r>
          </w:p>
        </w:tc>
        <w:tc>
          <w:tcPr>
            <w:tcW w:w="80" w:type="dxa"/>
            <w:vAlign w:val="bottom"/>
          </w:tcPr>
          <w:p>
            <w:pPr>
              <w:spacing w:after="0"/>
              <w:rPr>
                <w:sz w:val="24"/>
                <w:szCs w:val="24"/>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346,704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586,605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2,060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199,733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1,420,971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27,742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553,255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1,236,750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501,495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674,276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192,539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705,883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339,225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(78,005 )</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(44,124 )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(93,678 )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150,895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(74,952 )</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760" w:type="dxa"/>
            <w:vAlign w:val="bottom"/>
          </w:tcPr>
          <w:p>
            <w:pPr>
              <w:ind w:left="20"/>
              <w:spacing w:after="0" w:line="161" w:lineRule="exact"/>
              <w:rPr>
                <w:sz w:val="20"/>
                <w:szCs w:val="20"/>
                <w:color w:val="auto"/>
              </w:rPr>
            </w:pPr>
            <w:r>
              <w:rPr>
                <w:rFonts w:ascii="Arial" w:cs="Arial" w:eastAsia="Arial" w:hAnsi="Arial"/>
                <w:sz w:val="16"/>
                <w:szCs w:val="16"/>
                <w:color w:val="auto"/>
              </w:rPr>
              <w:t>Residential Mortgage Banking</w:t>
            </w:r>
          </w:p>
        </w:tc>
        <w:tc>
          <w:tcPr>
            <w:tcW w:w="10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280,654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60,599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(41,676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346,409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6"/>
                <w:szCs w:val="16"/>
                <w:color w:val="auto"/>
              </w:rPr>
              <w:t>110,986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32,933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2,572,410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995,927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1,523,992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366,445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1,629,789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(47,753 )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305,528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1,119,114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(41,374 )</w:t>
            </w:r>
          </w:p>
        </w:tc>
        <w:tc>
          <w:tcPr>
            <w:tcW w:w="1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(286,374 )</w:t>
            </w:r>
          </w:p>
        </w:tc>
        <w:tc>
          <w:tcPr>
            <w:tcW w:w="0" w:type="dxa"/>
            <w:vAlign w:val="bottom"/>
          </w:tcPr>
          <w:p>
            <w:pPr>
              <w:spacing w:after="0"/>
              <w:rPr>
                <w:sz w:val="1"/>
                <w:szCs w:val="1"/>
                <w:color w:val="auto"/>
              </w:rPr>
            </w:pPr>
          </w:p>
        </w:tc>
      </w:tr>
      <w:tr>
        <w:trPr>
          <w:trHeight w:val="244"/>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7,342,666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2,258,599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5,669,648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u w:val="single" w:color="auto"/>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5"/>
              </w:rPr>
              <w:t>1,226,292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Average Total Assets</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3"/>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880" w:type="dxa"/>
            <w:vAlign w:val="bottom"/>
          </w:tcPr>
          <w:p>
            <w:pPr>
              <w:spacing w:after="0"/>
              <w:rPr>
                <w:sz w:val="15"/>
                <w:szCs w:val="15"/>
                <w:color w:val="auto"/>
              </w:rPr>
            </w:pPr>
          </w:p>
        </w:tc>
        <w:tc>
          <w:tcPr>
            <w:tcW w:w="2600" w:type="dxa"/>
            <w:vAlign w:val="bottom"/>
            <w:gridSpan w:val="6"/>
          </w:tcPr>
          <w:p>
            <w:pPr>
              <w:ind w:left="100"/>
              <w:spacing w:after="0"/>
              <w:rPr>
                <w:sz w:val="20"/>
                <w:szCs w:val="20"/>
                <w:color w:val="auto"/>
              </w:rPr>
            </w:pPr>
            <w:r>
              <w:rPr>
                <w:rFonts w:ascii="Arial" w:cs="Arial" w:eastAsia="Arial" w:hAnsi="Arial"/>
                <w:sz w:val="13"/>
                <w:szCs w:val="13"/>
                <w:b w:val="1"/>
                <w:bCs w:val="1"/>
                <w:color w:val="auto"/>
              </w:rPr>
              <w:t>Nine Months Ended September 30</w:t>
            </w: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3"/>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6880" w:type="dxa"/>
            <w:vAlign w:val="bottom"/>
          </w:tcPr>
          <w:p>
            <w:pPr>
              <w:ind w:left="20"/>
              <w:spacing w:after="0"/>
              <w:rPr>
                <w:sz w:val="20"/>
                <w:szCs w:val="20"/>
                <w:color w:val="auto"/>
              </w:rPr>
            </w:pPr>
            <w:r>
              <w:rPr>
                <w:rFonts w:ascii="Arial" w:cs="Arial" w:eastAsia="Arial" w:hAnsi="Arial"/>
                <w:sz w:val="16"/>
                <w:szCs w:val="16"/>
                <w:color w:val="auto"/>
              </w:rPr>
              <w:t>Business Banking</w:t>
            </w:r>
          </w:p>
        </w:tc>
        <w:tc>
          <w:tcPr>
            <w:tcW w:w="240" w:type="dxa"/>
            <w:vAlign w:val="bottom"/>
          </w:tcPr>
          <w:p>
            <w:pPr>
              <w:jc w:val="right"/>
              <w:ind w:right="66"/>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7,968</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7,515</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Banking (b)</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49,373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20"/>
              <w:spacing w:after="0"/>
              <w:rPr>
                <w:sz w:val="20"/>
                <w:szCs w:val="20"/>
                <w:color w:val="auto"/>
              </w:rPr>
            </w:pPr>
            <w:r>
              <w:rPr>
                <w:rFonts w:ascii="Arial" w:cs="Arial" w:eastAsia="Arial" w:hAnsi="Arial"/>
                <w:sz w:val="16"/>
                <w:szCs w:val="16"/>
                <w:color w:val="auto"/>
              </w:rPr>
              <w:t>Commercial Real Estate (b)</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31,878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6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Discretionary Portfolio</w:t>
            </w:r>
          </w:p>
        </w:tc>
        <w:tc>
          <w:tcPr>
            <w:tcW w:w="24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50,900</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40,987</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42,657</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20"/>
              <w:spacing w:after="0"/>
              <w:rPr>
                <w:sz w:val="20"/>
                <w:szCs w:val="20"/>
                <w:color w:val="auto"/>
              </w:rPr>
            </w:pPr>
            <w:r>
              <w:rPr>
                <w:rFonts w:ascii="Arial" w:cs="Arial" w:eastAsia="Arial" w:hAnsi="Arial"/>
                <w:sz w:val="16"/>
                <w:szCs w:val="16"/>
                <w:color w:val="auto"/>
              </w:rPr>
              <w:t>Residential Mortgage Banking</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Banking</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21,261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20,063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80" w:type="dxa"/>
            <w:vAlign w:val="bottom"/>
          </w:tcPr>
          <w:p>
            <w:pPr>
              <w:ind w:left="20"/>
              <w:spacing w:after="0"/>
              <w:rPr>
                <w:sz w:val="20"/>
                <w:szCs w:val="20"/>
                <w:color w:val="auto"/>
              </w:rPr>
            </w:pPr>
            <w:r>
              <w:rPr>
                <w:rFonts w:ascii="Arial" w:cs="Arial" w:eastAsia="Arial" w:hAnsi="Arial"/>
                <w:sz w:val="16"/>
                <w:szCs w:val="16"/>
                <w:color w:val="auto"/>
              </w:rPr>
              <w:t>All Other</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40,140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45,185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204,266</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187,395</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190,252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0"/>
        <w:spacing w:after="0" w:line="254" w:lineRule="auto"/>
        <w:rPr>
          <w:sz w:val="20"/>
          <w:szCs w:val="20"/>
          <w:color w:val="auto"/>
        </w:rPr>
      </w:pPr>
      <w:r>
        <w:rPr>
          <w:rFonts w:ascii="Arial" w:cs="Arial" w:eastAsia="Arial" w:hAnsi="Arial"/>
          <w:sz w:val="13"/>
          <w:szCs w:val="13"/>
          <w:i w:val="1"/>
          <w:iCs w:val="1"/>
          <w:color w:val="auto"/>
        </w:rPr>
        <w:t>(a)Total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$14.3 million and $11.8 million for the three-month periods ended September 30, 2023 and 2022, respectively, and $41.7 million and $25.8 million for the nine-month periods ended September 30, 2023 and 2022 and is eliminated in "All Other" total revenues. Intersegment revenues are included in total revenues of the reportable segments. The elimination of intersegment revenues is included in the determination of "All Other" total revenues.</w:t>
      </w:r>
    </w:p>
    <w:p>
      <w:pPr>
        <w:spacing w:after="0" w:line="1" w:lineRule="exact"/>
        <w:rPr>
          <w:sz w:val="20"/>
          <w:szCs w:val="20"/>
          <w:color w:val="auto"/>
        </w:rPr>
      </w:pPr>
    </w:p>
    <w:p>
      <w:pPr>
        <w:ind w:left="20" w:right="420"/>
        <w:spacing w:after="0" w:line="263" w:lineRule="auto"/>
        <w:rPr>
          <w:sz w:val="20"/>
          <w:szCs w:val="20"/>
          <w:color w:val="auto"/>
        </w:rPr>
      </w:pPr>
      <w:r>
        <w:rPr>
          <w:rFonts w:ascii="Arial" w:cs="Arial" w:eastAsia="Arial" w:hAnsi="Arial"/>
          <w:sz w:val="13"/>
          <w:szCs w:val="13"/>
          <w:i w:val="1"/>
          <w:iCs w:val="1"/>
          <w:color w:val="auto"/>
        </w:rPr>
        <w:t>(b)For the nine months ended September 30, 2022, average total assets totaling approximately $1.17 billion were reclassified to the Commercial Real Estate segment from the Commercial Banking segment as a result of the realignment of certain lending relationships within the hospitality sector.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40" w:top="562" w:right="640"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BLG and Bayview Financial</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M&amp;T holds a 20% minority interest in BLG, a privately-held commercial mortgage company. That investment had no remaining carrying value at September 30, 2023 as a result of cumulative losses recognized and cash distributions received in prior years. Cash distributions now received from BLG are recognized as income by M&amp;T and included in other revenues from operations. That income totaled $20 million and $30 million for the nine-month periods ended September 30, 2023 and 2022, respectively. There were no cash distributions during the three-month periods ended September 30, 2023 and 2022.</w:t>
      </w:r>
    </w:p>
    <w:p>
      <w:pPr>
        <w:spacing w:after="0" w:line="72"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$1.2 billion and $1.4 billion at September 30, 2023 and December 31, 2022, respectively. Revenues from those servicing rights were $1 million and $3 million in the three-month periods ended September 30, 2023 and 2022, respectively, and $5 million and $7 million for the nine-month periods ended September 30, 2023 and 2022, respectively. The Company sub-services residential mortgage loans for Bayview Financial having outstanding principal balances of $114.6 billion and $96.0 billion at September 30, 2023 and December 31, 2022, respectively. Revenues earned for sub-servicing loans for Bayview Financial were $30 million and $33 million for the three-month periods ended September 30, 2023 and 2022, respectively, and $94 million and $119 million in the nine-month periods ended September 30, 2023 and 2022, respectively. In addition, the Company held $44 million and $50 million of mortgage-backed securities in its held- to- maturity portfolio at September 30, 2023 and December 31, 2022, respectively, that were securitized by Bayview Financial. At September 30, 2023, the Company held $765 million of Bayview Financial's $3.1 billion syndicated loan facility.</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developments</w:t>
      </w:r>
    </w:p>
    <w:p>
      <w:pPr>
        <w:spacing w:after="0" w:line="11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table provides a description of accounting standards that were adopted by the Company in 2023 as well as standards that are not effective that could have an impact to the Company’s consolidated financial statements upon adoption.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360" w:type="dxa"/>
            <w:vAlign w:val="bottom"/>
          </w:tcPr>
          <w:p>
            <w:pPr>
              <w:jc w:val="center"/>
              <w:ind w:left="54"/>
              <w:spacing w:after="0"/>
              <w:rPr>
                <w:sz w:val="20"/>
                <w:szCs w:val="20"/>
                <w:color w:val="auto"/>
              </w:rPr>
            </w:pPr>
            <w:r>
              <w:rPr>
                <w:rFonts w:ascii="Arial" w:cs="Arial" w:eastAsia="Arial" w:hAnsi="Arial"/>
                <w:sz w:val="13"/>
                <w:szCs w:val="13"/>
                <w:b w:val="1"/>
                <w:bCs w:val="1"/>
                <w:color w:val="auto"/>
              </w:rPr>
              <w:t>Required date</w:t>
            </w:r>
          </w:p>
        </w:tc>
        <w:tc>
          <w:tcPr>
            <w:tcW w:w="3500" w:type="dxa"/>
            <w:vAlign w:val="bottom"/>
          </w:tcPr>
          <w:p>
            <w:pPr>
              <w:spacing w:after="0"/>
              <w:rPr>
                <w:sz w:val="13"/>
                <w:szCs w:val="13"/>
                <w:color w:val="auto"/>
              </w:rPr>
            </w:pPr>
          </w:p>
        </w:tc>
      </w:tr>
      <w:tr>
        <w:trPr>
          <w:trHeight w:val="183"/>
        </w:trPr>
        <w:tc>
          <w:tcPr>
            <w:tcW w:w="1360" w:type="dxa"/>
            <w:vAlign w:val="bottom"/>
          </w:tcPr>
          <w:p>
            <w:pPr>
              <w:ind w:left="400"/>
              <w:spacing w:after="0"/>
              <w:rPr>
                <w:sz w:val="20"/>
                <w:szCs w:val="20"/>
                <w:color w:val="auto"/>
              </w:rPr>
            </w:pPr>
            <w:r>
              <w:rPr>
                <w:rFonts w:ascii="Arial" w:cs="Arial" w:eastAsia="Arial" w:hAnsi="Arial"/>
                <w:sz w:val="13"/>
                <w:szCs w:val="13"/>
                <w:b w:val="1"/>
                <w:bCs w:val="1"/>
                <w:color w:val="auto"/>
              </w:rPr>
              <w:t>Standard</w:t>
            </w:r>
          </w:p>
        </w:tc>
        <w:tc>
          <w:tcPr>
            <w:tcW w:w="4340" w:type="dxa"/>
            <w:vAlign w:val="bottom"/>
          </w:tcPr>
          <w:p>
            <w:pPr>
              <w:ind w:left="1820"/>
              <w:spacing w:after="0"/>
              <w:rPr>
                <w:sz w:val="20"/>
                <w:szCs w:val="20"/>
                <w:color w:val="auto"/>
              </w:rPr>
            </w:pPr>
            <w:r>
              <w:rPr>
                <w:rFonts w:ascii="Arial" w:cs="Arial" w:eastAsia="Arial" w:hAnsi="Arial"/>
                <w:sz w:val="13"/>
                <w:szCs w:val="13"/>
                <w:b w:val="1"/>
                <w:bCs w:val="1"/>
                <w:color w:val="auto"/>
              </w:rPr>
              <w:t>Description</w:t>
            </w:r>
          </w:p>
        </w:tc>
        <w:tc>
          <w:tcPr>
            <w:tcW w:w="1360" w:type="dxa"/>
            <w:vAlign w:val="bottom"/>
          </w:tcPr>
          <w:p>
            <w:pPr>
              <w:jc w:val="center"/>
              <w:ind w:left="54"/>
              <w:spacing w:after="0"/>
              <w:rPr>
                <w:sz w:val="20"/>
                <w:szCs w:val="20"/>
                <w:color w:val="auto"/>
              </w:rPr>
            </w:pPr>
            <w:r>
              <w:rPr>
                <w:rFonts w:ascii="Arial" w:cs="Arial" w:eastAsia="Arial" w:hAnsi="Arial"/>
                <w:sz w:val="13"/>
                <w:szCs w:val="13"/>
                <w:b w:val="1"/>
                <w:bCs w:val="1"/>
                <w:color w:val="auto"/>
              </w:rPr>
              <w:t>of adoption</w:t>
            </w:r>
          </w:p>
        </w:tc>
        <w:tc>
          <w:tcPr>
            <w:tcW w:w="3500" w:type="dxa"/>
            <w:vAlign w:val="bottom"/>
          </w:tcPr>
          <w:p>
            <w:pPr>
              <w:ind w:left="440"/>
              <w:spacing w:after="0"/>
              <w:rPr>
                <w:sz w:val="20"/>
                <w:szCs w:val="20"/>
                <w:color w:val="auto"/>
              </w:rPr>
            </w:pPr>
            <w:r>
              <w:rPr>
                <w:rFonts w:ascii="Arial" w:cs="Arial" w:eastAsia="Arial" w:hAnsi="Arial"/>
                <w:sz w:val="13"/>
                <w:szCs w:val="13"/>
                <w:b w:val="1"/>
                <w:bCs w:val="1"/>
                <w:color w:val="auto"/>
              </w:rPr>
              <w:t>Effect on consolidated financial statements</w:t>
            </w:r>
          </w:p>
        </w:tc>
      </w:tr>
      <w:tr>
        <w:trPr>
          <w:trHeight w:val="240"/>
        </w:trPr>
        <w:tc>
          <w:tcPr>
            <w:tcW w:w="5700" w:type="dxa"/>
            <w:vAlign w:val="bottom"/>
            <w:gridSpan w:val="2"/>
          </w:tcPr>
          <w:p>
            <w:pPr>
              <w:ind w:left="120"/>
              <w:spacing w:after="0"/>
              <w:rPr>
                <w:sz w:val="20"/>
                <w:szCs w:val="20"/>
                <w:color w:val="auto"/>
              </w:rPr>
            </w:pPr>
            <w:r>
              <w:rPr>
                <w:rFonts w:ascii="Arial" w:cs="Arial" w:eastAsia="Arial" w:hAnsi="Arial"/>
                <w:sz w:val="13"/>
                <w:szCs w:val="13"/>
                <w:b w:val="1"/>
                <w:bCs w:val="1"/>
                <w:color w:val="auto"/>
              </w:rPr>
              <w:t>Standards Adopted in 2023</w:t>
            </w:r>
          </w:p>
        </w:tc>
        <w:tc>
          <w:tcPr>
            <w:tcW w:w="13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33"/>
        </w:trPr>
        <w:tc>
          <w:tcPr>
            <w:tcW w:w="1360" w:type="dxa"/>
            <w:vAlign w:val="bottom"/>
          </w:tcPr>
          <w:p>
            <w:pPr>
              <w:ind w:left="120"/>
              <w:spacing w:after="0"/>
              <w:rPr>
                <w:sz w:val="20"/>
                <w:szCs w:val="20"/>
                <w:color w:val="auto"/>
              </w:rPr>
            </w:pPr>
            <w:r>
              <w:rPr>
                <w:rFonts w:ascii="Arial" w:cs="Arial" w:eastAsia="Arial" w:hAnsi="Arial"/>
                <w:sz w:val="13"/>
                <w:szCs w:val="13"/>
                <w:color w:val="auto"/>
              </w:rPr>
              <w:t>Accounting for</w:t>
            </w:r>
          </w:p>
        </w:tc>
        <w:tc>
          <w:tcPr>
            <w:tcW w:w="4340" w:type="dxa"/>
            <w:vAlign w:val="bottom"/>
          </w:tcPr>
          <w:p>
            <w:pPr>
              <w:ind w:left="120"/>
              <w:spacing w:after="0"/>
              <w:rPr>
                <w:sz w:val="20"/>
                <w:szCs w:val="20"/>
                <w:color w:val="auto"/>
              </w:rPr>
            </w:pPr>
            <w:r>
              <w:rPr>
                <w:rFonts w:ascii="Arial" w:cs="Arial" w:eastAsia="Arial" w:hAnsi="Arial"/>
                <w:sz w:val="13"/>
                <w:szCs w:val="13"/>
                <w:color w:val="auto"/>
              </w:rPr>
              <w:t>The amendments require that an entity (acquirer) recognize and</w:t>
            </w:r>
          </w:p>
        </w:tc>
        <w:tc>
          <w:tcPr>
            <w:tcW w:w="1360" w:type="dxa"/>
            <w:vAlign w:val="bottom"/>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tcPr>
          <w:p>
            <w:pPr>
              <w:ind w:left="180"/>
              <w:spacing w:after="0"/>
              <w:rPr>
                <w:sz w:val="20"/>
                <w:szCs w:val="20"/>
                <w:color w:val="auto"/>
              </w:rPr>
            </w:pPr>
            <w:r>
              <w:rPr>
                <w:rFonts w:ascii="Arial" w:cs="Arial" w:eastAsia="Arial" w:hAnsi="Arial"/>
                <w:sz w:val="13"/>
                <w:szCs w:val="13"/>
                <w:color w:val="auto"/>
              </w:rPr>
              <w:t>The Company adopted the amended guidance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Contract Assets</w:t>
            </w:r>
          </w:p>
        </w:tc>
        <w:tc>
          <w:tcPr>
            <w:tcW w:w="4340" w:type="dxa"/>
            <w:vAlign w:val="bottom"/>
          </w:tcPr>
          <w:p>
            <w:pPr>
              <w:ind w:left="120"/>
              <w:spacing w:after="0"/>
              <w:rPr>
                <w:sz w:val="20"/>
                <w:szCs w:val="20"/>
                <w:color w:val="auto"/>
              </w:rPr>
            </w:pPr>
            <w:r>
              <w:rPr>
                <w:rFonts w:ascii="Arial" w:cs="Arial" w:eastAsia="Arial" w:hAnsi="Arial"/>
                <w:sz w:val="13"/>
                <w:szCs w:val="13"/>
                <w:color w:val="auto"/>
              </w:rPr>
              <w:t>measure contract assets and contract liabilities acquired in a business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effective January 1, 2023 using a prospective transition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and Contract</w:t>
            </w:r>
          </w:p>
        </w:tc>
        <w:tc>
          <w:tcPr>
            <w:tcW w:w="4340" w:type="dxa"/>
            <w:vAlign w:val="bottom"/>
          </w:tcPr>
          <w:p>
            <w:pPr>
              <w:ind w:left="120"/>
              <w:spacing w:after="0"/>
              <w:rPr>
                <w:sz w:val="20"/>
                <w:szCs w:val="20"/>
                <w:color w:val="auto"/>
              </w:rPr>
            </w:pPr>
            <w:r>
              <w:rPr>
                <w:rFonts w:ascii="Arial" w:cs="Arial" w:eastAsia="Arial" w:hAnsi="Arial"/>
                <w:sz w:val="13"/>
                <w:szCs w:val="13"/>
                <w:color w:val="auto"/>
              </w:rPr>
              <w:t>combination in accordance with specified revenue recognition</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method and the guidance will be applied, as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Liabilities from</w:t>
            </w:r>
          </w:p>
        </w:tc>
        <w:tc>
          <w:tcPr>
            <w:tcW w:w="4340" w:type="dxa"/>
            <w:vAlign w:val="bottom"/>
          </w:tcPr>
          <w:p>
            <w:pPr>
              <w:ind w:left="120"/>
              <w:spacing w:after="0"/>
              <w:rPr>
                <w:sz w:val="20"/>
                <w:szCs w:val="20"/>
                <w:color w:val="auto"/>
              </w:rPr>
            </w:pPr>
            <w:r>
              <w:rPr>
                <w:rFonts w:ascii="Arial" w:cs="Arial" w:eastAsia="Arial" w:hAnsi="Arial"/>
                <w:sz w:val="13"/>
                <w:szCs w:val="13"/>
                <w:color w:val="auto"/>
              </w:rPr>
              <w:t>guidance. At the acquisition date, an acquirer should account for the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applicable, to future acquisitions. The Company does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Contracts with</w:t>
            </w:r>
          </w:p>
        </w:tc>
        <w:tc>
          <w:tcPr>
            <w:tcW w:w="4340" w:type="dxa"/>
            <w:vAlign w:val="bottom"/>
          </w:tcPr>
          <w:p>
            <w:pPr>
              <w:ind w:left="120"/>
              <w:spacing w:after="0"/>
              <w:rPr>
                <w:sz w:val="20"/>
                <w:szCs w:val="20"/>
                <w:color w:val="auto"/>
              </w:rPr>
            </w:pPr>
            <w:r>
              <w:rPr>
                <w:rFonts w:ascii="Arial" w:cs="Arial" w:eastAsia="Arial" w:hAnsi="Arial"/>
                <w:sz w:val="13"/>
                <w:szCs w:val="13"/>
                <w:color w:val="auto"/>
              </w:rPr>
              <w:t>related revenue contracts as if it had originated the contracts and may</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not expect the guidance will have a material impact 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Customers in a</w:t>
            </w:r>
          </w:p>
        </w:tc>
        <w:tc>
          <w:tcPr>
            <w:tcW w:w="4340" w:type="dxa"/>
            <w:vAlign w:val="bottom"/>
          </w:tcPr>
          <w:p>
            <w:pPr>
              <w:ind w:left="120"/>
              <w:spacing w:after="0"/>
              <w:rPr>
                <w:sz w:val="20"/>
                <w:szCs w:val="20"/>
                <w:color w:val="auto"/>
              </w:rPr>
            </w:pPr>
            <w:r>
              <w:rPr>
                <w:rFonts w:ascii="Arial" w:cs="Arial" w:eastAsia="Arial" w:hAnsi="Arial"/>
                <w:sz w:val="13"/>
                <w:szCs w:val="13"/>
                <w:color w:val="auto"/>
              </w:rPr>
              <w:t>assess how the acquiree applied the revenue guidance to determine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its consolidated financial statements.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Business</w:t>
            </w:r>
          </w:p>
        </w:tc>
        <w:tc>
          <w:tcPr>
            <w:tcW w:w="4340" w:type="dxa"/>
            <w:vAlign w:val="bottom"/>
          </w:tcPr>
          <w:p>
            <w:pPr>
              <w:ind w:left="120"/>
              <w:spacing w:after="0"/>
              <w:rPr>
                <w:sz w:val="20"/>
                <w:szCs w:val="20"/>
                <w:color w:val="auto"/>
              </w:rPr>
            </w:pPr>
            <w:r>
              <w:rPr>
                <w:rFonts w:ascii="Arial" w:cs="Arial" w:eastAsia="Arial" w:hAnsi="Arial"/>
                <w:sz w:val="13"/>
                <w:szCs w:val="13"/>
                <w:color w:val="auto"/>
              </w:rPr>
              <w:t>what to record for such contracts. The guidance is generally expected</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Combination</w:t>
            </w:r>
          </w:p>
        </w:tc>
        <w:tc>
          <w:tcPr>
            <w:tcW w:w="4340" w:type="dxa"/>
            <w:vAlign w:val="bottom"/>
          </w:tcPr>
          <w:p>
            <w:pPr>
              <w:ind w:left="120"/>
              <w:spacing w:after="0"/>
              <w:rPr>
                <w:sz w:val="20"/>
                <w:szCs w:val="20"/>
                <w:color w:val="auto"/>
              </w:rPr>
            </w:pPr>
            <w:r>
              <w:rPr>
                <w:rFonts w:ascii="Arial" w:cs="Arial" w:eastAsia="Arial" w:hAnsi="Arial"/>
                <w:sz w:val="13"/>
                <w:szCs w:val="13"/>
                <w:color w:val="auto"/>
              </w:rPr>
              <w:t>to result in an acquirer recognizing and measuring the acquired</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56"/>
        </w:trPr>
        <w:tc>
          <w:tcPr>
            <w:tcW w:w="1360" w:type="dxa"/>
            <w:vAlign w:val="bottom"/>
          </w:tcPr>
          <w:p>
            <w:pPr>
              <w:spacing w:after="0"/>
              <w:rPr>
                <w:sz w:val="13"/>
                <w:szCs w:val="13"/>
                <w:color w:val="auto"/>
              </w:rPr>
            </w:pPr>
          </w:p>
        </w:tc>
        <w:tc>
          <w:tcPr>
            <w:tcW w:w="4340" w:type="dxa"/>
            <w:vAlign w:val="bottom"/>
          </w:tcPr>
          <w:p>
            <w:pPr>
              <w:ind w:left="120"/>
              <w:spacing w:after="0"/>
              <w:rPr>
                <w:sz w:val="20"/>
                <w:szCs w:val="20"/>
                <w:color w:val="auto"/>
              </w:rPr>
            </w:pPr>
            <w:r>
              <w:rPr>
                <w:rFonts w:ascii="Arial" w:cs="Arial" w:eastAsia="Arial" w:hAnsi="Arial"/>
                <w:sz w:val="13"/>
                <w:szCs w:val="13"/>
                <w:color w:val="auto"/>
              </w:rPr>
              <w:t>contract assets and contract liabilities consistent with how they were</w:t>
            </w: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64"/>
        </w:trPr>
        <w:tc>
          <w:tcPr>
            <w:tcW w:w="136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3"/>
                <w:szCs w:val="13"/>
                <w:color w:val="auto"/>
              </w:rPr>
              <w:t>recognized and measured in the acquiree’s financial statements.</w:t>
            </w:r>
          </w:p>
        </w:tc>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245"/>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Fair Value Hedging</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The amendments allow multiple hedged layers to be designated for a</w:t>
            </w:r>
          </w:p>
        </w:tc>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At January 1, 2023 the Company did not have any</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of Multiple Hedge</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single closed portfolio of financial assets or one or more beneficial</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designated hedging relationships under the portfolio</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Layers under</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interests secured by a portfolio of financial instruments. If multiple</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layer method and, therefore, the adoption had no</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Layer</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hedged layers are designated, the amendments require an analysis to</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impact on its consolidated financial statements.</w:t>
            </w:r>
          </w:p>
        </w:tc>
      </w:tr>
      <w:tr>
        <w:trPr>
          <w:trHeight w:val="156"/>
        </w:trPr>
        <w:tc>
          <w:tcPr>
            <w:tcW w:w="13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Method</w:t>
            </w: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be performed to support the expectation that the aggregate amount of</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the hedged layers is anticipated to be outstanding for the designated</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hedge periods. Only closed portfolios may be hedged under the</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layer method (that is, no assets can be added to the closed</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portfolio once established), however designating new hedging</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relationships and dedesignating existing hedging relationships</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56"/>
        </w:trPr>
        <w:tc>
          <w:tcPr>
            <w:tcW w:w="1360" w:type="dxa"/>
            <w:vAlign w:val="bottom"/>
            <w:shd w:val="clear" w:color="auto" w:fill="CFF0FC"/>
          </w:tcPr>
          <w:p>
            <w:pPr>
              <w:spacing w:after="0"/>
              <w:rPr>
                <w:sz w:val="13"/>
                <w:szCs w:val="13"/>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associated with the closed portfolio any time after the closed portfolio</w:t>
            </w:r>
          </w:p>
        </w:tc>
        <w:tc>
          <w:tcPr>
            <w:tcW w:w="1360" w:type="dxa"/>
            <w:vAlign w:val="bottom"/>
            <w:shd w:val="clear" w:color="auto" w:fill="CFF0FC"/>
          </w:tcPr>
          <w:p>
            <w:pPr>
              <w:spacing w:after="0"/>
              <w:rPr>
                <w:sz w:val="13"/>
                <w:szCs w:val="13"/>
                <w:color w:val="auto"/>
              </w:rPr>
            </w:pPr>
          </w:p>
        </w:tc>
        <w:tc>
          <w:tcPr>
            <w:tcW w:w="3500" w:type="dxa"/>
            <w:vAlign w:val="bottom"/>
            <w:shd w:val="clear" w:color="auto" w:fill="CFF0FC"/>
          </w:tcPr>
          <w:p>
            <w:pPr>
              <w:spacing w:after="0"/>
              <w:rPr>
                <w:sz w:val="13"/>
                <w:szCs w:val="13"/>
                <w:color w:val="auto"/>
              </w:rPr>
            </w:pPr>
          </w:p>
        </w:tc>
      </w:tr>
      <w:tr>
        <w:trPr>
          <w:trHeight w:val="164"/>
        </w:trPr>
        <w:tc>
          <w:tcPr>
            <w:tcW w:w="1360" w:type="dxa"/>
            <w:vAlign w:val="bottom"/>
            <w:shd w:val="clear" w:color="auto" w:fill="CFF0FC"/>
          </w:tcPr>
          <w:p>
            <w:pPr>
              <w:spacing w:after="0"/>
              <w:rPr>
                <w:sz w:val="14"/>
                <w:szCs w:val="14"/>
                <w:color w:val="auto"/>
              </w:rPr>
            </w:pPr>
          </w:p>
        </w:tc>
        <w:tc>
          <w:tcPr>
            <w:tcW w:w="43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is established is permitted.</w:t>
            </w:r>
          </w:p>
        </w:tc>
        <w:tc>
          <w:tcPr>
            <w:tcW w:w="1360" w:type="dxa"/>
            <w:vAlign w:val="bottom"/>
            <w:shd w:val="clear" w:color="auto" w:fill="CFF0FC"/>
          </w:tcPr>
          <w:p>
            <w:pPr>
              <w:spacing w:after="0"/>
              <w:rPr>
                <w:sz w:val="14"/>
                <w:szCs w:val="14"/>
                <w:color w:val="auto"/>
              </w:rPr>
            </w:pPr>
          </w:p>
        </w:tc>
        <w:tc>
          <w:tcPr>
            <w:tcW w:w="3500" w:type="dxa"/>
            <w:vAlign w:val="bottom"/>
            <w:shd w:val="clear" w:color="auto" w:fill="CFF0FC"/>
          </w:tcPr>
          <w:p>
            <w:pPr>
              <w:spacing w:after="0"/>
              <w:rPr>
                <w:sz w:val="14"/>
                <w:szCs w:val="14"/>
                <w:color w:val="auto"/>
              </w:rPr>
            </w:pPr>
          </w:p>
        </w:tc>
      </w:tr>
      <w:tr>
        <w:trPr>
          <w:trHeight w:val="245"/>
        </w:trPr>
        <w:tc>
          <w:tcPr>
            <w:tcW w:w="1360" w:type="dxa"/>
            <w:vAlign w:val="bottom"/>
          </w:tcPr>
          <w:p>
            <w:pPr>
              <w:ind w:left="120"/>
              <w:spacing w:after="0"/>
              <w:rPr>
                <w:sz w:val="20"/>
                <w:szCs w:val="20"/>
                <w:color w:val="auto"/>
              </w:rPr>
            </w:pPr>
            <w:r>
              <w:rPr>
                <w:rFonts w:ascii="Arial" w:cs="Arial" w:eastAsia="Arial" w:hAnsi="Arial"/>
                <w:sz w:val="13"/>
                <w:szCs w:val="13"/>
                <w:color w:val="auto"/>
              </w:rPr>
              <w:t>Accounting for</w:t>
            </w:r>
          </w:p>
        </w:tc>
        <w:tc>
          <w:tcPr>
            <w:tcW w:w="4340" w:type="dxa"/>
            <w:vAlign w:val="bottom"/>
          </w:tcPr>
          <w:p>
            <w:pPr>
              <w:ind w:left="120"/>
              <w:spacing w:after="0"/>
              <w:rPr>
                <w:sz w:val="20"/>
                <w:szCs w:val="20"/>
                <w:color w:val="auto"/>
              </w:rPr>
            </w:pPr>
            <w:r>
              <w:rPr>
                <w:rFonts w:ascii="Arial" w:cs="Arial" w:eastAsia="Arial" w:hAnsi="Arial"/>
                <w:sz w:val="13"/>
                <w:szCs w:val="13"/>
                <w:color w:val="auto"/>
              </w:rPr>
              <w:t>The amendments (1) eliminate the accounting guidance for TDRs and</w:t>
            </w:r>
          </w:p>
        </w:tc>
        <w:tc>
          <w:tcPr>
            <w:tcW w:w="1360" w:type="dxa"/>
            <w:vAlign w:val="bottom"/>
          </w:tcPr>
          <w:p>
            <w:pPr>
              <w:ind w:left="120"/>
              <w:spacing w:after="0"/>
              <w:rPr>
                <w:sz w:val="20"/>
                <w:szCs w:val="20"/>
                <w:color w:val="auto"/>
              </w:rPr>
            </w:pPr>
            <w:r>
              <w:rPr>
                <w:rFonts w:ascii="Arial" w:cs="Arial" w:eastAsia="Arial" w:hAnsi="Arial"/>
                <w:sz w:val="13"/>
                <w:szCs w:val="13"/>
                <w:color w:val="auto"/>
              </w:rPr>
              <w:t>January 1, 2023</w:t>
            </w:r>
          </w:p>
        </w:tc>
        <w:tc>
          <w:tcPr>
            <w:tcW w:w="3500" w:type="dxa"/>
            <w:vAlign w:val="bottom"/>
          </w:tcPr>
          <w:p>
            <w:pPr>
              <w:ind w:left="180"/>
              <w:spacing w:after="0"/>
              <w:rPr>
                <w:sz w:val="20"/>
                <w:szCs w:val="20"/>
                <w:color w:val="auto"/>
              </w:rPr>
            </w:pPr>
            <w:r>
              <w:rPr>
                <w:rFonts w:ascii="Arial" w:cs="Arial" w:eastAsia="Arial" w:hAnsi="Arial"/>
                <w:sz w:val="13"/>
                <w:szCs w:val="13"/>
                <w:color w:val="auto"/>
              </w:rPr>
              <w:t>The Company adopted the amended guidance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Troubled Debt</w:t>
            </w:r>
          </w:p>
        </w:tc>
        <w:tc>
          <w:tcPr>
            <w:tcW w:w="4340" w:type="dxa"/>
            <w:vAlign w:val="bottom"/>
          </w:tcPr>
          <w:p>
            <w:pPr>
              <w:ind w:left="120"/>
              <w:spacing w:after="0"/>
              <w:rPr>
                <w:sz w:val="20"/>
                <w:szCs w:val="20"/>
                <w:color w:val="auto"/>
              </w:rPr>
            </w:pPr>
            <w:r>
              <w:rPr>
                <w:rFonts w:ascii="Arial" w:cs="Arial" w:eastAsia="Arial" w:hAnsi="Arial"/>
                <w:sz w:val="13"/>
                <w:szCs w:val="13"/>
                <w:color w:val="auto"/>
              </w:rPr>
              <w:t>require enhanced disclosure for certain loan refinancings by creditors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effective January 1, 2023 using a prospective transition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Restructurings</w:t>
            </w:r>
          </w:p>
        </w:tc>
        <w:tc>
          <w:tcPr>
            <w:tcW w:w="4340" w:type="dxa"/>
            <w:vAlign w:val="bottom"/>
          </w:tcPr>
          <w:p>
            <w:pPr>
              <w:ind w:left="120"/>
              <w:spacing w:after="0"/>
              <w:rPr>
                <w:sz w:val="20"/>
                <w:szCs w:val="20"/>
                <w:color w:val="auto"/>
              </w:rPr>
            </w:pPr>
            <w:r>
              <w:rPr>
                <w:rFonts w:ascii="Arial" w:cs="Arial" w:eastAsia="Arial" w:hAnsi="Arial"/>
                <w:sz w:val="13"/>
                <w:szCs w:val="13"/>
                <w:color w:val="auto"/>
              </w:rPr>
              <w:t>when a borrower is experiencing financial difficulty and (2) require</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method and will no longer be required to identify TDRs</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(TDRs) and</w:t>
            </w:r>
          </w:p>
        </w:tc>
        <w:tc>
          <w:tcPr>
            <w:tcW w:w="4340" w:type="dxa"/>
            <w:vAlign w:val="bottom"/>
          </w:tcPr>
          <w:p>
            <w:pPr>
              <w:ind w:left="120"/>
              <w:spacing w:after="0"/>
              <w:rPr>
                <w:sz w:val="20"/>
                <w:szCs w:val="20"/>
                <w:color w:val="auto"/>
              </w:rPr>
            </w:pPr>
            <w:r>
              <w:rPr>
                <w:rFonts w:ascii="Arial" w:cs="Arial" w:eastAsia="Arial" w:hAnsi="Arial"/>
                <w:sz w:val="13"/>
                <w:szCs w:val="13"/>
                <w:color w:val="auto"/>
              </w:rPr>
              <w:t>disclosure of current-period gross write-offs by year of origination for</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and apply specialized accounting to such loans. The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Expansion of</w:t>
            </w:r>
          </w:p>
        </w:tc>
        <w:tc>
          <w:tcPr>
            <w:tcW w:w="4340" w:type="dxa"/>
            <w:vAlign w:val="bottom"/>
          </w:tcPr>
          <w:p>
            <w:pPr>
              <w:ind w:left="120"/>
              <w:spacing w:after="0"/>
              <w:rPr>
                <w:sz w:val="20"/>
                <w:szCs w:val="20"/>
                <w:color w:val="auto"/>
              </w:rPr>
            </w:pPr>
            <w:r>
              <w:rPr>
                <w:rFonts w:ascii="Arial" w:cs="Arial" w:eastAsia="Arial" w:hAnsi="Arial"/>
                <w:sz w:val="13"/>
                <w:szCs w:val="13"/>
                <w:color w:val="auto"/>
              </w:rPr>
              <w:t>financing receivables and net investments in leases within credit loss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Company has complied with the modified disclosure</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Vintage</w:t>
            </w:r>
          </w:p>
        </w:tc>
        <w:tc>
          <w:tcPr>
            <w:tcW w:w="4340" w:type="dxa"/>
            <w:vAlign w:val="bottom"/>
          </w:tcPr>
          <w:p>
            <w:pPr>
              <w:ind w:left="120"/>
              <w:spacing w:after="0"/>
              <w:rPr>
                <w:sz w:val="20"/>
                <w:szCs w:val="20"/>
                <w:color w:val="auto"/>
              </w:rPr>
            </w:pPr>
            <w:r>
              <w:rPr>
                <w:rFonts w:ascii="Arial" w:cs="Arial" w:eastAsia="Arial" w:hAnsi="Arial"/>
                <w:sz w:val="13"/>
                <w:szCs w:val="13"/>
                <w:color w:val="auto"/>
              </w:rPr>
              <w:t>disclosures.</w:t>
            </w: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requirements in note 4 of Notes to Financial</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Disclosures</w:t>
            </w:r>
          </w:p>
        </w:tc>
        <w:tc>
          <w:tcPr>
            <w:tcW w:w="4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Statements herein.</w:t>
            </w:r>
          </w:p>
        </w:tc>
      </w:tr>
      <w:tr>
        <w:trPr>
          <w:trHeight w:val="156"/>
        </w:trPr>
        <w:tc>
          <w:tcPr>
            <w:tcW w:w="1360" w:type="dxa"/>
            <w:vAlign w:val="bottom"/>
          </w:tcPr>
          <w:p>
            <w:pPr>
              <w:ind w:left="120"/>
              <w:spacing w:after="0"/>
              <w:rPr>
                <w:sz w:val="20"/>
                <w:szCs w:val="20"/>
                <w:color w:val="auto"/>
              </w:rPr>
            </w:pPr>
            <w:r>
              <w:rPr>
                <w:rFonts w:ascii="Arial" w:cs="Arial" w:eastAsia="Arial" w:hAnsi="Arial"/>
                <w:sz w:val="13"/>
                <w:szCs w:val="13"/>
                <w:color w:val="auto"/>
              </w:rPr>
              <w:t>Applicable to Credit</w:t>
            </w:r>
          </w:p>
        </w:tc>
        <w:tc>
          <w:tcPr>
            <w:tcW w:w="4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165"/>
        </w:trPr>
        <w:tc>
          <w:tcPr>
            <w:tcW w:w="1360" w:type="dxa"/>
            <w:vAlign w:val="bottom"/>
          </w:tcPr>
          <w:p>
            <w:pPr>
              <w:ind w:left="120"/>
              <w:spacing w:after="0"/>
              <w:rPr>
                <w:sz w:val="20"/>
                <w:szCs w:val="20"/>
                <w:color w:val="auto"/>
              </w:rPr>
            </w:pPr>
            <w:r>
              <w:rPr>
                <w:rFonts w:ascii="Arial" w:cs="Arial" w:eastAsia="Arial" w:hAnsi="Arial"/>
                <w:sz w:val="13"/>
                <w:szCs w:val="13"/>
                <w:color w:val="auto"/>
              </w:rPr>
              <w:t>Losses</w:t>
            </w:r>
          </w:p>
        </w:tc>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developments, continued</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160" w:type="dxa"/>
            <w:vAlign w:val="bottom"/>
          </w:tcPr>
          <w:p>
            <w:pPr>
              <w:ind w:left="280"/>
              <w:spacing w:after="0"/>
              <w:rPr>
                <w:sz w:val="20"/>
                <w:szCs w:val="20"/>
                <w:color w:val="auto"/>
              </w:rPr>
            </w:pPr>
            <w:r>
              <w:rPr>
                <w:rFonts w:ascii="Arial" w:cs="Arial" w:eastAsia="Arial" w:hAnsi="Arial"/>
                <w:sz w:val="13"/>
                <w:szCs w:val="13"/>
                <w:b w:val="1"/>
                <w:bCs w:val="1"/>
                <w:color w:val="auto"/>
              </w:rPr>
              <w:t>Standard</w:t>
            </w:r>
          </w:p>
        </w:tc>
        <w:tc>
          <w:tcPr>
            <w:tcW w:w="340" w:type="dxa"/>
            <w:vAlign w:val="bottom"/>
          </w:tcPr>
          <w:p>
            <w:pPr>
              <w:spacing w:after="0"/>
              <w:rPr>
                <w:sz w:val="15"/>
                <w:szCs w:val="15"/>
                <w:color w:val="auto"/>
              </w:rPr>
            </w:pPr>
          </w:p>
        </w:tc>
        <w:tc>
          <w:tcPr>
            <w:tcW w:w="3960" w:type="dxa"/>
            <w:vAlign w:val="bottom"/>
          </w:tcPr>
          <w:p>
            <w:pPr>
              <w:ind w:left="1560"/>
              <w:spacing w:after="0"/>
              <w:rPr>
                <w:sz w:val="20"/>
                <w:szCs w:val="20"/>
                <w:color w:val="auto"/>
              </w:rPr>
            </w:pPr>
            <w:r>
              <w:rPr>
                <w:rFonts w:ascii="Arial" w:cs="Arial" w:eastAsia="Arial" w:hAnsi="Arial"/>
                <w:sz w:val="13"/>
                <w:szCs w:val="13"/>
                <w:b w:val="1"/>
                <w:bCs w:val="1"/>
                <w:color w:val="auto"/>
              </w:rPr>
              <w:t>Description</w:t>
            </w:r>
          </w:p>
        </w:tc>
      </w:tr>
      <w:tr>
        <w:trPr>
          <w:trHeight w:val="240"/>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Standards Not Yet Adopted as of September 30, 2023</w:t>
            </w:r>
          </w:p>
        </w:tc>
      </w:tr>
      <w:tr>
        <w:trPr>
          <w:trHeight w:val="233"/>
        </w:trPr>
        <w:tc>
          <w:tcPr>
            <w:tcW w:w="1160" w:type="dxa"/>
            <w:vAlign w:val="bottom"/>
          </w:tcPr>
          <w:p>
            <w:pPr>
              <w:spacing w:after="0"/>
              <w:rPr>
                <w:sz w:val="20"/>
                <w:szCs w:val="20"/>
                <w:color w:val="auto"/>
              </w:rPr>
            </w:pPr>
            <w:r>
              <w:rPr>
                <w:rFonts w:ascii="Arial" w:cs="Arial" w:eastAsia="Arial" w:hAnsi="Arial"/>
                <w:sz w:val="13"/>
                <w:szCs w:val="13"/>
                <w:color w:val="auto"/>
              </w:rPr>
              <w:t>Fair Value</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The amendments clarify that a contractual restriction on the sale of an</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Measurement of</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equity security is not considered part of the unit of account of the</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Equity Securities</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equity security and, therefore, is not considered in measuring fair</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Subject to</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value. The amendments also clarify that an entity cannot, as a</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Contractual Sale</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separate unit of account, recognize and measure a contractual sale</w:t>
            </w:r>
          </w:p>
        </w:tc>
      </w:tr>
      <w:tr>
        <w:trPr>
          <w:trHeight w:val="156"/>
        </w:trPr>
        <w:tc>
          <w:tcPr>
            <w:tcW w:w="1160" w:type="dxa"/>
            <w:vAlign w:val="bottom"/>
          </w:tcPr>
          <w:p>
            <w:pPr>
              <w:spacing w:after="0"/>
              <w:rPr>
                <w:sz w:val="20"/>
                <w:szCs w:val="20"/>
                <w:color w:val="auto"/>
              </w:rPr>
            </w:pPr>
            <w:r>
              <w:rPr>
                <w:rFonts w:ascii="Arial" w:cs="Arial" w:eastAsia="Arial" w:hAnsi="Arial"/>
                <w:sz w:val="13"/>
                <w:szCs w:val="13"/>
                <w:color w:val="auto"/>
              </w:rPr>
              <w:t>Restrictions</w:t>
            </w: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restriction. In addition, the amendments require the following</w:t>
            </w:r>
          </w:p>
        </w:tc>
      </w:tr>
      <w:tr>
        <w:trPr>
          <w:trHeight w:val="156"/>
        </w:trPr>
        <w:tc>
          <w:tcPr>
            <w:tcW w:w="1160" w:type="dxa"/>
            <w:vAlign w:val="bottom"/>
          </w:tcPr>
          <w:p>
            <w:pPr>
              <w:spacing w:after="0"/>
              <w:rPr>
                <w:sz w:val="13"/>
                <w:szCs w:val="13"/>
                <w:color w:val="auto"/>
              </w:rPr>
            </w:pP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disclosures for equity securities subject to contractual sale restrictions:</w:t>
            </w:r>
          </w:p>
        </w:tc>
      </w:tr>
      <w:tr>
        <w:trPr>
          <w:trHeight w:val="156"/>
        </w:trPr>
        <w:tc>
          <w:tcPr>
            <w:tcW w:w="116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1.</w:t>
            </w:r>
          </w:p>
        </w:tc>
        <w:tc>
          <w:tcPr>
            <w:tcW w:w="3960" w:type="dxa"/>
            <w:vAlign w:val="bottom"/>
          </w:tcPr>
          <w:p>
            <w:pPr>
              <w:spacing w:after="0"/>
              <w:rPr>
                <w:sz w:val="20"/>
                <w:szCs w:val="20"/>
                <w:color w:val="auto"/>
              </w:rPr>
            </w:pPr>
            <w:r>
              <w:rPr>
                <w:rFonts w:ascii="Arial" w:cs="Arial" w:eastAsia="Arial" w:hAnsi="Arial"/>
                <w:sz w:val="13"/>
                <w:szCs w:val="13"/>
                <w:color w:val="auto"/>
              </w:rPr>
              <w:t>The fair value of equity securities subject to contractual sale</w:t>
            </w:r>
          </w:p>
        </w:tc>
      </w:tr>
      <w:tr>
        <w:trPr>
          <w:trHeight w:val="156"/>
        </w:trPr>
        <w:tc>
          <w:tcPr>
            <w:tcW w:w="1160" w:type="dxa"/>
            <w:vAlign w:val="bottom"/>
          </w:tcPr>
          <w:p>
            <w:pPr>
              <w:spacing w:after="0"/>
              <w:rPr>
                <w:sz w:val="13"/>
                <w:szCs w:val="13"/>
                <w:color w:val="auto"/>
              </w:rPr>
            </w:pPr>
          </w:p>
        </w:tc>
        <w:tc>
          <w:tcPr>
            <w:tcW w:w="4300" w:type="dxa"/>
            <w:vAlign w:val="bottom"/>
            <w:gridSpan w:val="2"/>
          </w:tcPr>
          <w:p>
            <w:pPr>
              <w:ind w:left="200"/>
              <w:spacing w:after="0"/>
              <w:rPr>
                <w:sz w:val="20"/>
                <w:szCs w:val="20"/>
                <w:color w:val="auto"/>
              </w:rPr>
            </w:pPr>
            <w:r>
              <w:rPr>
                <w:rFonts w:ascii="Arial" w:cs="Arial" w:eastAsia="Arial" w:hAnsi="Arial"/>
                <w:sz w:val="13"/>
                <w:szCs w:val="13"/>
                <w:color w:val="auto"/>
              </w:rPr>
              <w:t>restrictions reflected in the balance sheet;</w:t>
            </w:r>
          </w:p>
        </w:tc>
      </w:tr>
      <w:tr>
        <w:trPr>
          <w:trHeight w:val="156"/>
        </w:trPr>
        <w:tc>
          <w:tcPr>
            <w:tcW w:w="1160" w:type="dxa"/>
            <w:vAlign w:val="bottom"/>
          </w:tcPr>
          <w:p>
            <w:pPr>
              <w:spacing w:after="0"/>
              <w:rPr>
                <w:sz w:val="13"/>
                <w:szCs w:val="13"/>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2.</w:t>
            </w:r>
          </w:p>
        </w:tc>
        <w:tc>
          <w:tcPr>
            <w:tcW w:w="3960" w:type="dxa"/>
            <w:vAlign w:val="bottom"/>
          </w:tcPr>
          <w:p>
            <w:pPr>
              <w:spacing w:after="0"/>
              <w:rPr>
                <w:sz w:val="20"/>
                <w:szCs w:val="20"/>
                <w:color w:val="auto"/>
              </w:rPr>
            </w:pPr>
            <w:r>
              <w:rPr>
                <w:rFonts w:ascii="Arial" w:cs="Arial" w:eastAsia="Arial" w:hAnsi="Arial"/>
                <w:sz w:val="13"/>
                <w:szCs w:val="13"/>
                <w:color w:val="auto"/>
              </w:rPr>
              <w:t>The nature and remaining duration of the restriction(s); and</w:t>
            </w:r>
          </w:p>
        </w:tc>
      </w:tr>
      <w:tr>
        <w:trPr>
          <w:trHeight w:val="164"/>
        </w:trPr>
        <w:tc>
          <w:tcPr>
            <w:tcW w:w="116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3.</w:t>
            </w:r>
          </w:p>
        </w:tc>
        <w:tc>
          <w:tcPr>
            <w:tcW w:w="3960" w:type="dxa"/>
            <w:vAlign w:val="bottom"/>
          </w:tcPr>
          <w:p>
            <w:pPr>
              <w:spacing w:after="0"/>
              <w:rPr>
                <w:sz w:val="20"/>
                <w:szCs w:val="20"/>
                <w:color w:val="auto"/>
              </w:rPr>
            </w:pPr>
            <w:r>
              <w:rPr>
                <w:rFonts w:ascii="Arial" w:cs="Arial" w:eastAsia="Arial" w:hAnsi="Arial"/>
                <w:sz w:val="13"/>
                <w:szCs w:val="13"/>
                <w:color w:val="auto"/>
              </w:rPr>
              <w:t>The circumstances that could cause a lapse in the restriction(s).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-1150620</wp:posOffset>
            </wp:positionV>
            <wp:extent cx="6707505" cy="1151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151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Required date</w:t>
      </w:r>
    </w:p>
    <w:p>
      <w:pPr>
        <w:spacing w:after="0" w:line="23"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3"/>
          <w:szCs w:val="13"/>
          <w:b w:val="1"/>
          <w:bCs w:val="1"/>
          <w:color w:val="auto"/>
        </w:rPr>
        <w:t>of adoption</w:t>
      </w:r>
      <w:r>
        <w:rPr>
          <w:sz w:val="20"/>
          <w:szCs w:val="20"/>
          <w:color w:val="auto"/>
        </w:rPr>
        <w:tab/>
      </w:r>
      <w:r>
        <w:rPr>
          <w:rFonts w:ascii="Arial" w:cs="Arial" w:eastAsia="Arial" w:hAnsi="Arial"/>
          <w:sz w:val="13"/>
          <w:szCs w:val="13"/>
          <w:b w:val="1"/>
          <w:bCs w:val="1"/>
          <w:color w:val="auto"/>
        </w:rPr>
        <w:t>Effect on consolidated financial statements</w:t>
      </w:r>
    </w:p>
    <w:p>
      <w:pPr>
        <w:spacing w:after="0" w:line="335" w:lineRule="exact"/>
        <w:rPr>
          <w:sz w:val="20"/>
          <w:szCs w:val="20"/>
          <w:color w:val="auto"/>
        </w:rPr>
      </w:pPr>
    </w:p>
    <w:p>
      <w:pPr>
        <w:jc w:val="right"/>
        <w:ind w:right="100"/>
        <w:spacing w:after="0" w:line="256" w:lineRule="auto"/>
        <w:rPr>
          <w:sz w:val="20"/>
          <w:szCs w:val="20"/>
          <w:color w:val="auto"/>
        </w:rPr>
      </w:pPr>
      <w:r>
        <w:rPr>
          <w:rFonts w:ascii="Arial" w:cs="Arial" w:eastAsia="Arial" w:hAnsi="Arial"/>
          <w:sz w:val="13"/>
          <w:szCs w:val="13"/>
          <w:color w:val="auto"/>
        </w:rPr>
        <w:t>January 1, 2024     The amendments should be applied prospectively with any adjustments from the adoption of the amendments</w:t>
      </w:r>
    </w:p>
    <w:p>
      <w:pPr>
        <w:spacing w:after="0" w:line="1"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3"/>
          <w:szCs w:val="13"/>
          <w:color w:val="auto"/>
        </w:rPr>
        <w:t>Early adoption</w:t>
      </w:r>
      <w:r>
        <w:rPr>
          <w:sz w:val="20"/>
          <w:szCs w:val="20"/>
          <w:color w:val="auto"/>
        </w:rPr>
        <w:tab/>
      </w:r>
      <w:r>
        <w:rPr>
          <w:rFonts w:ascii="Arial" w:cs="Arial" w:eastAsia="Arial" w:hAnsi="Arial"/>
          <w:sz w:val="13"/>
          <w:szCs w:val="13"/>
          <w:color w:val="auto"/>
        </w:rPr>
        <w:t>recognized in earnings and disclosed on the date of</w:t>
      </w:r>
    </w:p>
    <w:p>
      <w:pPr>
        <w:spacing w:after="0" w:line="7"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3"/>
          <w:szCs w:val="13"/>
          <w:color w:val="auto"/>
        </w:rPr>
        <w:t>permitted</w:t>
      </w:r>
      <w:r>
        <w:rPr>
          <w:sz w:val="20"/>
          <w:szCs w:val="20"/>
          <w:color w:val="auto"/>
        </w:rPr>
        <w:tab/>
      </w:r>
      <w:r>
        <w:rPr>
          <w:rFonts w:ascii="Arial" w:cs="Arial" w:eastAsia="Arial" w:hAnsi="Arial"/>
          <w:sz w:val="13"/>
          <w:szCs w:val="13"/>
          <w:color w:val="auto"/>
        </w:rPr>
        <w:t>adoption.</w:t>
      </w:r>
    </w:p>
    <w:p>
      <w:pPr>
        <w:spacing w:after="0" w:line="155" w:lineRule="exact"/>
        <w:rPr>
          <w:sz w:val="20"/>
          <w:szCs w:val="20"/>
          <w:color w:val="auto"/>
        </w:rPr>
      </w:pPr>
    </w:p>
    <w:p>
      <w:pPr>
        <w:jc w:val="both"/>
        <w:ind w:left="1260" w:right="20"/>
        <w:spacing w:after="0" w:line="276" w:lineRule="auto"/>
        <w:rPr>
          <w:sz w:val="20"/>
          <w:szCs w:val="20"/>
          <w:color w:val="auto"/>
        </w:rPr>
      </w:pPr>
      <w:r>
        <w:rPr>
          <w:rFonts w:ascii="Arial" w:cs="Arial" w:eastAsia="Arial" w:hAnsi="Arial"/>
          <w:sz w:val="13"/>
          <w:szCs w:val="13"/>
          <w:color w:val="auto"/>
        </w:rPr>
        <w:t>The Company does not expect the guidance will have a material impact on its consolidated financial statements.</w:t>
      </w:r>
    </w:p>
    <w:p>
      <w:pPr>
        <w:spacing w:after="0" w:line="601" w:lineRule="exact"/>
        <w:rPr>
          <w:sz w:val="20"/>
          <w:szCs w:val="20"/>
          <w:color w:val="auto"/>
        </w:rPr>
      </w:pPr>
    </w:p>
    <w:p>
      <w:pPr>
        <w:sectPr>
          <w:pgSz w:w="11900" w:h="16840" w:orient="portrait"/>
          <w:cols w:equalWidth="0" w:num="2">
            <w:col w:w="5580" w:space="360"/>
            <w:col w:w="4540"/>
          </w:cols>
          <w:pgMar w:left="660" w:top="562" w:right="760" w:bottom="1440" w:gutter="0" w:footer="0" w:header="0"/>
        </w:sectPr>
      </w:pPr>
    </w:p>
    <w:p>
      <w:pPr>
        <w:ind w:left="120"/>
        <w:spacing w:after="0"/>
        <w:tabs>
          <w:tab w:leader="none" w:pos="1460" w:val="left"/>
        </w:tabs>
        <w:rPr>
          <w:sz w:val="20"/>
          <w:szCs w:val="20"/>
          <w:color w:val="auto"/>
        </w:rPr>
      </w:pPr>
      <w:r>
        <w:rPr>
          <w:rFonts w:ascii="Arial" w:cs="Arial" w:eastAsia="Arial" w:hAnsi="Arial"/>
          <w:sz w:val="13"/>
          <w:szCs w:val="13"/>
          <w:color w:val="auto"/>
        </w:rPr>
        <w:t>Accounting for</w:t>
      </w:r>
      <w:r>
        <w:rPr>
          <w:sz w:val="20"/>
          <w:szCs w:val="20"/>
          <w:color w:val="auto"/>
        </w:rPr>
        <w:tab/>
      </w:r>
      <w:r>
        <w:rPr>
          <w:rFonts w:ascii="Arial" w:cs="Arial" w:eastAsia="Arial" w:hAnsi="Arial"/>
          <w:sz w:val="13"/>
          <w:szCs w:val="13"/>
          <w:color w:val="auto"/>
        </w:rPr>
        <w:t>The amendments permit an election to account for tax equity</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Investments in Tax</w:t>
      </w:r>
      <w:r>
        <w:rPr>
          <w:sz w:val="20"/>
          <w:szCs w:val="20"/>
          <w:color w:val="auto"/>
        </w:rPr>
        <w:tab/>
      </w:r>
      <w:r>
        <w:rPr>
          <w:rFonts w:ascii="Arial" w:cs="Arial" w:eastAsia="Arial" w:hAnsi="Arial"/>
          <w:sz w:val="13"/>
          <w:szCs w:val="13"/>
          <w:color w:val="auto"/>
        </w:rPr>
        <w:t>investments, regardless of the tax credit program from which the</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Credit Structures</w:t>
      </w:r>
      <w:r>
        <w:rPr>
          <w:sz w:val="20"/>
          <w:szCs w:val="20"/>
          <w:color w:val="auto"/>
        </w:rPr>
        <w:tab/>
      </w:r>
      <w:r>
        <w:rPr>
          <w:rFonts w:ascii="Arial" w:cs="Arial" w:eastAsia="Arial" w:hAnsi="Arial"/>
          <w:sz w:val="13"/>
          <w:szCs w:val="13"/>
          <w:color w:val="auto"/>
        </w:rPr>
        <w:t>income tax credits are received, using the proportional amortization</w:t>
      </w:r>
    </w:p>
    <w:p>
      <w:pPr>
        <w:spacing w:after="0" w:line="7"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color w:val="auto"/>
        </w:rPr>
        <w:t>Using the</w:t>
      </w:r>
      <w:r>
        <w:rPr>
          <w:sz w:val="20"/>
          <w:szCs w:val="20"/>
          <w:color w:val="auto"/>
        </w:rPr>
        <w:tab/>
      </w:r>
      <w:r>
        <w:rPr>
          <w:rFonts w:ascii="Arial" w:cs="Arial" w:eastAsia="Arial" w:hAnsi="Arial"/>
          <w:sz w:val="13"/>
          <w:szCs w:val="13"/>
          <w:color w:val="auto"/>
        </w:rPr>
        <w:t>method if certain conditions are met.</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Proportional</w:t>
            </w: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Under the proportional amortization method, the initial cost of the</w:t>
            </w:r>
          </w:p>
        </w:tc>
        <w:tc>
          <w:tcPr>
            <w:tcW w:w="0" w:type="dxa"/>
            <w:vAlign w:val="bottom"/>
          </w:tcPr>
          <w:p>
            <w:pPr>
              <w:spacing w:after="0"/>
              <w:rPr>
                <w:sz w:val="1"/>
                <w:szCs w:val="1"/>
                <w:color w:val="auto"/>
              </w:rPr>
            </w:pPr>
          </w:p>
        </w:tc>
      </w:tr>
      <w:tr>
        <w:trPr>
          <w:trHeight w:val="96"/>
        </w:trPr>
        <w:tc>
          <w:tcPr>
            <w:tcW w:w="1040" w:type="dxa"/>
            <w:vAlign w:val="bottom"/>
            <w:vMerge w:val="restart"/>
          </w:tcPr>
          <w:p>
            <w:pPr>
              <w:spacing w:after="0"/>
              <w:rPr>
                <w:sz w:val="20"/>
                <w:szCs w:val="20"/>
                <w:color w:val="auto"/>
              </w:rPr>
            </w:pPr>
            <w:r>
              <w:rPr>
                <w:rFonts w:ascii="Arial" w:cs="Arial" w:eastAsia="Arial" w:hAnsi="Arial"/>
                <w:sz w:val="13"/>
                <w:szCs w:val="13"/>
                <w:color w:val="auto"/>
              </w:rPr>
              <w:t>Amortization</w:t>
            </w: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40" w:type="dxa"/>
            <w:vAlign w:val="bottom"/>
            <w:vMerge w:val="continue"/>
          </w:tcPr>
          <w:p>
            <w:pPr>
              <w:spacing w:after="0"/>
              <w:rPr>
                <w:sz w:val="5"/>
                <w:szCs w:val="5"/>
                <w:color w:val="auto"/>
              </w:rPr>
            </w:pP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investment is amortized in proportion to the income tax credits and</w:t>
            </w:r>
          </w:p>
        </w:tc>
        <w:tc>
          <w:tcPr>
            <w:tcW w:w="0" w:type="dxa"/>
            <w:vAlign w:val="bottom"/>
          </w:tcPr>
          <w:p>
            <w:pPr>
              <w:spacing w:after="0"/>
              <w:rPr>
                <w:sz w:val="1"/>
                <w:szCs w:val="1"/>
                <w:color w:val="auto"/>
              </w:rPr>
            </w:pPr>
          </w:p>
        </w:tc>
      </w:tr>
      <w:tr>
        <w:trPr>
          <w:trHeight w:val="96"/>
        </w:trPr>
        <w:tc>
          <w:tcPr>
            <w:tcW w:w="1040" w:type="dxa"/>
            <w:vAlign w:val="bottom"/>
            <w:vMerge w:val="restart"/>
          </w:tcPr>
          <w:p>
            <w:pPr>
              <w:spacing w:after="0"/>
              <w:rPr>
                <w:sz w:val="20"/>
                <w:szCs w:val="20"/>
                <w:color w:val="auto"/>
              </w:rPr>
            </w:pPr>
            <w:r>
              <w:rPr>
                <w:rFonts w:ascii="Arial" w:cs="Arial" w:eastAsia="Arial" w:hAnsi="Arial"/>
                <w:sz w:val="13"/>
                <w:szCs w:val="13"/>
                <w:color w:val="auto"/>
              </w:rPr>
              <w:t>Method</w:t>
            </w:r>
          </w:p>
        </w:tc>
        <w:tc>
          <w:tcPr>
            <w:tcW w:w="4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40" w:type="dxa"/>
            <w:vAlign w:val="bottom"/>
            <w:vMerge w:val="continue"/>
          </w:tcPr>
          <w:p>
            <w:pPr>
              <w:spacing w:after="0"/>
              <w:rPr>
                <w:sz w:val="6"/>
                <w:szCs w:val="6"/>
                <w:color w:val="auto"/>
              </w:rPr>
            </w:pPr>
          </w:p>
        </w:tc>
        <w:tc>
          <w:tcPr>
            <w:tcW w:w="4460" w:type="dxa"/>
            <w:vAlign w:val="bottom"/>
            <w:vMerge w:val="restart"/>
          </w:tcPr>
          <w:p>
            <w:pPr>
              <w:ind w:left="320"/>
              <w:spacing w:after="0"/>
              <w:rPr>
                <w:sz w:val="20"/>
                <w:szCs w:val="20"/>
                <w:color w:val="auto"/>
              </w:rPr>
            </w:pPr>
            <w:r>
              <w:rPr>
                <w:rFonts w:ascii="Arial" w:cs="Arial" w:eastAsia="Arial" w:hAnsi="Arial"/>
                <w:sz w:val="13"/>
                <w:szCs w:val="13"/>
                <w:color w:val="auto"/>
              </w:rPr>
              <w:t>other income tax benefits received and the net amortization and</w:t>
            </w:r>
          </w:p>
        </w:tc>
        <w:tc>
          <w:tcPr>
            <w:tcW w:w="0" w:type="dxa"/>
            <w:vAlign w:val="bottom"/>
          </w:tcPr>
          <w:p>
            <w:pPr>
              <w:spacing w:after="0"/>
              <w:rPr>
                <w:sz w:val="1"/>
                <w:szCs w:val="1"/>
                <w:color w:val="auto"/>
              </w:rPr>
            </w:pPr>
          </w:p>
        </w:tc>
      </w:tr>
      <w:tr>
        <w:trPr>
          <w:trHeight w:val="87"/>
        </w:trPr>
        <w:tc>
          <w:tcPr>
            <w:tcW w:w="104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income tax credits and other income tax benefits are recognized in the</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income statement as a component of income tax expense (benefit).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All of the following conditions must be met to qualify for the</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proportional amortization method:</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1. It is probable that the income tax credits allocable to the tax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investor will be available.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2. The tax equity investor does not have the ability to exercise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significant influence over the operating and financial policies of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underlying project.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3. Substantially all of the projected benefits are from income tax credits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and other income tax benefits. Projected benefits include income tax</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credits, other income tax benefits, and other non-income-tax-related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benefits. The projected benefits are determined on a discounted basis,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using a discount rate that is consistent with the cash flow assumptions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used by the tax equity investor in making its decision to invest in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project.</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4. The tax equity investor’s projected yield based solely on the cash</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flows from the income tax credits and other income tax benefits is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positive.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5. The tax equity investor is a limited liability investor in the limited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liability entity for both legal and tax purposes, and the tax equity</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investor’s liability is limited to its capital investment.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To apply the proportional amortization method, an accounting policy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election must be made on a tax-credit-program-by-tax-credit-program</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basis rather than electing to apply the proportional amortization</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method at the reporting entity level or to individual investments. When</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applying the proportional amortization method to qualifying tax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investments the receipt of the investment tax credits must be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accounted for using the flow-through method as prescribed by GAAP,</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even if the deferral method is applied to other investment tax credits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received. In addition, all tax equity investments accounted for using</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the proportional amortization method must use the delayed equity</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contribution guidance (which requires that a liability be recognized for</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delayed equity contributions that are unconditional and legally binding</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or for equity contributions that are contingent upon a future event when</w:t>
            </w: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4460" w:type="dxa"/>
            <w:vAlign w:val="bottom"/>
          </w:tcPr>
          <w:p>
            <w:pPr>
              <w:ind w:left="320"/>
              <w:spacing w:after="0"/>
              <w:rPr>
                <w:sz w:val="20"/>
                <w:szCs w:val="20"/>
                <w:color w:val="auto"/>
              </w:rPr>
            </w:pPr>
            <w:r>
              <w:rPr>
                <w:rFonts w:ascii="Arial" w:cs="Arial" w:eastAsia="Arial" w:hAnsi="Arial"/>
                <w:sz w:val="13"/>
                <w:szCs w:val="13"/>
                <w:color w:val="auto"/>
              </w:rPr>
              <w:t>that contingent event becomes probable).</w:t>
            </w:r>
          </w:p>
        </w:tc>
        <w:tc>
          <w:tcPr>
            <w:tcW w:w="0" w:type="dxa"/>
            <w:vAlign w:val="bottom"/>
          </w:tcPr>
          <w:p>
            <w:pPr>
              <w:spacing w:after="0"/>
              <w:rPr>
                <w:sz w:val="1"/>
                <w:szCs w:val="1"/>
                <w:color w:val="auto"/>
              </w:rPr>
            </w:pPr>
          </w:p>
        </w:tc>
      </w:tr>
      <w:tr>
        <w:trPr>
          <w:trHeight w:val="536"/>
        </w:trPr>
        <w:tc>
          <w:tcPr>
            <w:tcW w:w="1040" w:type="dxa"/>
            <w:vAlign w:val="bottom"/>
          </w:tcPr>
          <w:p>
            <w:pPr>
              <w:spacing w:after="0"/>
              <w:rPr>
                <w:sz w:val="24"/>
                <w:szCs w:val="24"/>
                <w:color w:val="auto"/>
              </w:rPr>
            </w:pPr>
          </w:p>
        </w:tc>
        <w:tc>
          <w:tcPr>
            <w:tcW w:w="4460" w:type="dxa"/>
            <w:vAlign w:val="bottom"/>
          </w:tcPr>
          <w:p>
            <w:pPr>
              <w:ind w:left="3940"/>
              <w:spacing w:after="0"/>
              <w:rPr>
                <w:sz w:val="20"/>
                <w:szCs w:val="20"/>
                <w:color w:val="auto"/>
              </w:rPr>
            </w:pPr>
            <w:r>
              <w:rPr>
                <w:rFonts w:ascii="Arial" w:cs="Arial" w:eastAsia="Arial" w:hAnsi="Arial"/>
                <w:sz w:val="16"/>
                <w:szCs w:val="16"/>
                <w:color w:val="auto"/>
              </w:rPr>
              <w:t>- 49 -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January 1, 2024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Early adoption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permitted</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3"/>
          <w:szCs w:val="13"/>
          <w:color w:val="auto"/>
        </w:rPr>
        <w:t>The amendments should be applied on either a modified retrospective or a retrospective basis. Under a modified retrospective transition, all investments for which income tax credits or other income tax benefits are still expected to be received must be evaluated as of the beginning of the period of adoption. The assessment of whether the investment qualifies for the proportional amortization method is performed as of the date the investment was entered into. A cumulative-effect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period of adoption.</w:t>
      </w:r>
    </w:p>
    <w:p>
      <w:pPr>
        <w:spacing w:after="0" w:line="300"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Under a retrospective transition, all investments for which income tax credits or other income tax benefits are still expected to be received must be evaluated as of the beginning of the earliest period presented. The assessment of whether the investment qualifies for the proportional amortization method is performed as of the date the investment was entered into. A cumulative - 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earliest period presented.</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3"/>
          <w:szCs w:val="13"/>
          <w:color w:val="auto"/>
        </w:rPr>
        <w:t>The Company does not expect the guidance will have a material impact on its consolidated financial statements.</w:t>
      </w:r>
    </w:p>
    <w:p>
      <w:pPr>
        <w:sectPr>
          <w:pgSz w:w="11900" w:h="16840" w:orient="portrait"/>
          <w:cols w:equalWidth="0" w:num="3">
            <w:col w:w="5620" w:space="320"/>
            <w:col w:w="940" w:space="320"/>
            <w:col w:w="3280"/>
          </w:cols>
          <w:pgMar w:left="660" w:top="562" w:right="76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NOTES TO FINANCIAL STATEMENTS,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developments, continued</w:t>
      </w:r>
    </w:p>
    <w:p>
      <w:pPr>
        <w:sectPr>
          <w:pgSz w:w="11900" w:h="16840" w:orient="portrait"/>
          <w:cols w:equalWidth="0" w:num="1">
            <w:col w:w="10440"/>
          </w:cols>
          <w:pgMar w:left="660" w:top="562" w:right="800" w:bottom="1440" w:gutter="0" w:footer="0" w:header="0"/>
        </w:sect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Business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Combinations Joint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Venture Formations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amendments require that a joint venture apply the following key adaptations from the business combinations guidance upon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-212725</wp:posOffset>
            </wp:positionV>
            <wp:extent cx="6707505" cy="257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2576195"/>
                    </a:xfrm>
                    <a:prstGeom prst="rect">
                      <a:avLst/>
                    </a:prstGeom>
                    <a:noFill/>
                  </pic:spPr>
                </pic:pic>
              </a:graphicData>
            </a:graphic>
          </wp:anchor>
        </w:drawing>
      </w:r>
    </w:p>
    <w:p>
      <w:pPr>
        <w:spacing w:after="0" w:line="104" w:lineRule="exact"/>
        <w:rPr>
          <w:sz w:val="20"/>
          <w:szCs w:val="20"/>
          <w:color w:val="auto"/>
        </w:rPr>
      </w:pPr>
    </w:p>
    <w:p>
      <w:pPr>
        <w:ind w:firstLine="2"/>
        <w:spacing w:after="0" w:line="252" w:lineRule="auto"/>
        <w:tabs>
          <w:tab w:leader="none" w:pos="147" w:val="left"/>
        </w:tabs>
        <w:numPr>
          <w:ilvl w:val="0"/>
          <w:numId w:val="8"/>
        </w:numPr>
        <w:rPr>
          <w:rFonts w:ascii="Arial" w:cs="Arial" w:eastAsia="Arial" w:hAnsi="Arial"/>
          <w:sz w:val="13"/>
          <w:szCs w:val="13"/>
          <w:color w:val="auto"/>
        </w:rPr>
      </w:pPr>
      <w:r>
        <w:rPr>
          <w:rFonts w:ascii="Arial" w:cs="Arial" w:eastAsia="Arial" w:hAnsi="Arial"/>
          <w:sz w:val="13"/>
          <w:szCs w:val="13"/>
          <w:color w:val="auto"/>
        </w:rPr>
        <w:t>A joint venture is the formation of a new entity without an accounting acquirer. The formation of a joint venture is the creation of a new reporting entity, and none of the assets and/or businesses contributed to the joint venture are viewed as having survived the combination as an independent entity—that is, an accounting acquirer will not be identified.</w:t>
      </w:r>
    </w:p>
    <w:p>
      <w:pPr>
        <w:spacing w:after="0" w:line="2" w:lineRule="exact"/>
        <w:rPr>
          <w:rFonts w:ascii="Arial" w:cs="Arial" w:eastAsia="Arial" w:hAnsi="Arial"/>
          <w:sz w:val="13"/>
          <w:szCs w:val="13"/>
          <w:color w:val="auto"/>
        </w:rPr>
      </w:pPr>
    </w:p>
    <w:p>
      <w:pPr>
        <w:ind w:right="40" w:firstLine="2"/>
        <w:spacing w:after="0" w:line="250" w:lineRule="auto"/>
        <w:tabs>
          <w:tab w:leader="none" w:pos="144" w:val="left"/>
        </w:tabs>
        <w:numPr>
          <w:ilvl w:val="0"/>
          <w:numId w:val="8"/>
        </w:numPr>
        <w:rPr>
          <w:rFonts w:ascii="Arial" w:cs="Arial" w:eastAsia="Arial" w:hAnsi="Arial"/>
          <w:sz w:val="13"/>
          <w:szCs w:val="13"/>
          <w:color w:val="auto"/>
        </w:rPr>
      </w:pPr>
      <w:r>
        <w:rPr>
          <w:rFonts w:ascii="Arial" w:cs="Arial" w:eastAsia="Arial" w:hAnsi="Arial"/>
          <w:sz w:val="13"/>
          <w:szCs w:val="13"/>
          <w:color w:val="auto"/>
        </w:rPr>
        <w:t>A joint venture measures its identifiable net assets and goodwill, if any, at the formation date. The joint venture formation date is the date on which an entity initially meets the definition of a joint venture.</w:t>
      </w:r>
    </w:p>
    <w:p>
      <w:pPr>
        <w:ind w:right="120" w:firstLine="2"/>
        <w:spacing w:after="0" w:line="250" w:lineRule="auto"/>
        <w:tabs>
          <w:tab w:leader="none" w:pos="147" w:val="left"/>
        </w:tabs>
        <w:numPr>
          <w:ilvl w:val="0"/>
          <w:numId w:val="8"/>
        </w:numPr>
        <w:rPr>
          <w:rFonts w:ascii="Arial" w:cs="Arial" w:eastAsia="Arial" w:hAnsi="Arial"/>
          <w:sz w:val="13"/>
          <w:szCs w:val="13"/>
          <w:color w:val="auto"/>
        </w:rPr>
      </w:pPr>
      <w:r>
        <w:rPr>
          <w:rFonts w:ascii="Arial" w:cs="Arial" w:eastAsia="Arial" w:hAnsi="Arial"/>
          <w:sz w:val="13"/>
          <w:szCs w:val="13"/>
          <w:color w:val="auto"/>
        </w:rPr>
        <w:t>Initial measurement of a joint venture’s total net assets is equal to the fair value of 100 percent of the joint venture’s equity. The amendments require that a joint venture measure its total net assets upon formation as the fair value of the joint venture as a whole. The fair value of the joint venture as a whole equals the fair value of 100 percent of a joint venture’s equity immediately following formation (including any noncontrolling interest in the net assets recognized by the joint venture).</w:t>
      </w:r>
    </w:p>
    <w:p>
      <w:pPr>
        <w:spacing w:after="0" w:line="2" w:lineRule="exact"/>
        <w:rPr>
          <w:rFonts w:ascii="Arial" w:cs="Arial" w:eastAsia="Arial" w:hAnsi="Arial"/>
          <w:sz w:val="13"/>
          <w:szCs w:val="13"/>
          <w:color w:val="auto"/>
        </w:rPr>
      </w:pPr>
    </w:p>
    <w:p>
      <w:pPr>
        <w:ind w:right="260" w:firstLine="2"/>
        <w:spacing w:after="0" w:line="253" w:lineRule="auto"/>
        <w:tabs>
          <w:tab w:leader="none" w:pos="147" w:val="left"/>
        </w:tabs>
        <w:numPr>
          <w:ilvl w:val="0"/>
          <w:numId w:val="8"/>
        </w:numPr>
        <w:rPr>
          <w:rFonts w:ascii="Arial" w:cs="Arial" w:eastAsia="Arial" w:hAnsi="Arial"/>
          <w:sz w:val="13"/>
          <w:szCs w:val="13"/>
          <w:color w:val="auto"/>
        </w:rPr>
      </w:pPr>
      <w:r>
        <w:rPr>
          <w:rFonts w:ascii="Arial" w:cs="Arial" w:eastAsia="Arial" w:hAnsi="Arial"/>
          <w:sz w:val="13"/>
          <w:szCs w:val="13"/>
          <w:color w:val="auto"/>
        </w:rPr>
        <w:t>A joint venture provides relevant disclosures. The amendments require disclosures to help a user of a joint venture’s financial statements understand the nature and financial effect of the joint venture formation in the period in which the formation date occurs. Joint venture disclosure requirements upon formation are different from the requirements for business combinations.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January 1, 2025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Early adoption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permitted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The amendments should be applied on a prospective basis for all joint venture formations with a formation date on or after January 1, 2025. A joint venture that was formed before January 1, 2025 may elect to apply the amendments retrospectively if sufficient information is available. The Company does not expect the guidance will have a material impact on its consolidated financial statements.</w:t>
      </w:r>
    </w:p>
    <w:p>
      <w:pPr>
        <w:spacing w:after="0" w:line="3008" w:lineRule="exact"/>
        <w:rPr>
          <w:sz w:val="20"/>
          <w:szCs w:val="20"/>
          <w:color w:val="auto"/>
        </w:rPr>
      </w:pPr>
    </w:p>
    <w:p>
      <w:pPr>
        <w:sectPr>
          <w:pgSz w:w="11900" w:h="16840" w:orient="portrait"/>
          <w:cols w:equalWidth="0" w:num="4">
            <w:col w:w="1280" w:space="200"/>
            <w:col w:w="4120" w:space="340"/>
            <w:col w:w="940" w:space="320"/>
            <w:col w:w="3240"/>
          </w:cols>
          <w:pgMar w:left="660" w:top="562" w:right="800" w:bottom="1440" w:gutter="0" w:footer="0" w:header="0"/>
          <w:type w:val="continuous"/>
        </w:sectPr>
      </w:pP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562" w:right="80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ind w:left="80" w:right="20"/>
        <w:spacing w:after="0" w:line="254" w:lineRule="auto"/>
        <w:rPr>
          <w:sz w:val="20"/>
          <w:szCs w:val="20"/>
          <w:color w:val="auto"/>
        </w:rPr>
      </w:pPr>
      <w:r>
        <w:rPr>
          <w:rFonts w:ascii="Arial" w:cs="Arial" w:eastAsia="Arial" w:hAnsi="Arial"/>
          <w:sz w:val="18"/>
          <w:szCs w:val="18"/>
          <w:color w:val="auto"/>
        </w:rPr>
        <w:t>The results of the Company’s operations for the three and nine months ended September 30, 2023 continue to be impacted by multiple hikes by the FOMC of its federal funds target rate totaling 5.25% from March of 2022 through September of 2023 in response to inflationary pressures. The higher interest rate environment has resulted in increased yields on the Company’s earning assets, higher costs of interest-bearing liabilities and a shift in the mix of those liabilities, including from noninterest-bearing deposits to higher cost deposit products. The provision for credit losses reflects continued downward pressure on commercial real estate values. The Company recognized a gain on the sale of a trust-related business in the second quarter of 2023. A summary of financial results for the Company is provided below:</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SUMMARY OF FINANCIAL RESULTS</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4"/>
          </w:tcPr>
          <w:p>
            <w:pPr>
              <w:ind w:left="660"/>
              <w:spacing w:after="0"/>
              <w:rPr>
                <w:sz w:val="20"/>
                <w:szCs w:val="20"/>
                <w:color w:val="auto"/>
              </w:rPr>
            </w:pPr>
            <w:r>
              <w:rPr>
                <w:rFonts w:ascii="Arial" w:cs="Arial" w:eastAsia="Arial" w:hAnsi="Arial"/>
                <w:sz w:val="12"/>
                <w:szCs w:val="12"/>
                <w:b w:val="1"/>
                <w:bCs w:val="1"/>
                <w:color w:val="auto"/>
              </w:rPr>
              <w:t>Three Months Ended</w:t>
            </w:r>
          </w:p>
        </w:tc>
        <w:tc>
          <w:tcPr>
            <w:tcW w:w="880" w:type="dxa"/>
            <w:vAlign w:val="bottom"/>
          </w:tcPr>
          <w:p>
            <w:pPr>
              <w:spacing w:after="0"/>
              <w:rPr>
                <w:sz w:val="15"/>
                <w:szCs w:val="15"/>
                <w:color w:val="auto"/>
              </w:rPr>
            </w:pPr>
          </w:p>
        </w:tc>
        <w:tc>
          <w:tcPr>
            <w:tcW w:w="1920" w:type="dxa"/>
            <w:vAlign w:val="bottom"/>
            <w:gridSpan w:val="2"/>
          </w:tcPr>
          <w:p>
            <w:pPr>
              <w:ind w:left="200"/>
              <w:spacing w:after="0"/>
              <w:rPr>
                <w:sz w:val="20"/>
                <w:szCs w:val="20"/>
                <w:color w:val="auto"/>
              </w:rPr>
            </w:pPr>
            <w:r>
              <w:rPr>
                <w:rFonts w:ascii="Arial" w:cs="Arial" w:eastAsia="Arial" w:hAnsi="Arial"/>
                <w:sz w:val="13"/>
                <w:szCs w:val="13"/>
                <w:b w:val="1"/>
                <w:bCs w:val="1"/>
                <w:color w:val="auto"/>
              </w:rPr>
              <w:t>Percent Change from</w:t>
            </w:r>
          </w:p>
        </w:tc>
        <w:tc>
          <w:tcPr>
            <w:tcW w:w="140" w:type="dxa"/>
            <w:vAlign w:val="bottom"/>
          </w:tcPr>
          <w:p>
            <w:pPr>
              <w:spacing w:after="0"/>
              <w:rPr>
                <w:sz w:val="15"/>
                <w:szCs w:val="15"/>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rPr>
              <w:t>Nine Months Ended</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3"/>
                <w:szCs w:val="13"/>
                <w:b w:val="1"/>
                <w:bCs w:val="1"/>
                <w:color w:val="auto"/>
              </w:rPr>
              <w:t>Third</w:t>
            </w:r>
          </w:p>
        </w:tc>
        <w:tc>
          <w:tcPr>
            <w:tcW w:w="940" w:type="dxa"/>
            <w:vAlign w:val="bottom"/>
          </w:tcPr>
          <w:p>
            <w:pPr>
              <w:jc w:val="center"/>
              <w:ind w:right="155"/>
              <w:spacing w:after="0"/>
              <w:rPr>
                <w:sz w:val="20"/>
                <w:szCs w:val="20"/>
                <w:color w:val="auto"/>
              </w:rPr>
            </w:pPr>
            <w:r>
              <w:rPr>
                <w:rFonts w:ascii="Arial" w:cs="Arial" w:eastAsia="Arial" w:hAnsi="Arial"/>
                <w:sz w:val="13"/>
                <w:szCs w:val="13"/>
                <w:b w:val="1"/>
                <w:bCs w:val="1"/>
                <w:color w:val="auto"/>
              </w:rPr>
              <w:t>Second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26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September</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September</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jc w:val="right"/>
              <w:ind w:right="335"/>
              <w:spacing w:after="0"/>
              <w:rPr>
                <w:sz w:val="20"/>
                <w:szCs w:val="20"/>
                <w:color w:val="auto"/>
              </w:rPr>
            </w:pPr>
            <w:r>
              <w:rPr>
                <w:rFonts w:ascii="Arial" w:cs="Arial" w:eastAsia="Arial" w:hAnsi="Arial"/>
                <w:sz w:val="13"/>
                <w:szCs w:val="13"/>
                <w:b w:val="1"/>
                <w:bCs w:val="1"/>
                <w:color w:val="auto"/>
              </w:rPr>
              <w:t>Quarter</w:t>
            </w:r>
          </w:p>
        </w:tc>
        <w:tc>
          <w:tcPr>
            <w:tcW w:w="940" w:type="dxa"/>
            <w:vAlign w:val="bottom"/>
          </w:tcPr>
          <w:p>
            <w:pPr>
              <w:jc w:val="center"/>
              <w:ind w:right="155"/>
              <w:spacing w:after="0"/>
              <w:rPr>
                <w:sz w:val="20"/>
                <w:szCs w:val="20"/>
                <w:color w:val="auto"/>
              </w:rPr>
            </w:pPr>
            <w:r>
              <w:rPr>
                <w:rFonts w:ascii="Arial" w:cs="Arial" w:eastAsia="Arial" w:hAnsi="Arial"/>
                <w:sz w:val="13"/>
                <w:szCs w:val="13"/>
                <w:b w:val="1"/>
                <w:bCs w:val="1"/>
                <w:color w:val="auto"/>
              </w:rPr>
              <w:t>Quarter</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September</w:t>
            </w:r>
          </w:p>
        </w:tc>
        <w:tc>
          <w:tcPr>
            <w:tcW w:w="100" w:type="dxa"/>
            <w:vAlign w:val="bottom"/>
          </w:tcPr>
          <w:p>
            <w:pPr>
              <w:spacing w:after="0"/>
              <w:rPr>
                <w:sz w:val="13"/>
                <w:szCs w:val="13"/>
                <w:color w:val="auto"/>
              </w:rPr>
            </w:pPr>
          </w:p>
        </w:tc>
        <w:tc>
          <w:tcPr>
            <w:tcW w:w="940" w:type="dxa"/>
            <w:vAlign w:val="bottom"/>
          </w:tcPr>
          <w:p>
            <w:pPr>
              <w:jc w:val="right"/>
              <w:ind w:right="260"/>
              <w:spacing w:after="0"/>
              <w:rPr>
                <w:sz w:val="20"/>
                <w:szCs w:val="20"/>
                <w:color w:val="auto"/>
              </w:rPr>
            </w:pPr>
            <w:r>
              <w:rPr>
                <w:rFonts w:ascii="Arial" w:cs="Arial" w:eastAsia="Arial" w:hAnsi="Arial"/>
                <w:sz w:val="12"/>
                <w:szCs w:val="12"/>
                <w:b w:val="1"/>
                <w:bCs w:val="1"/>
                <w:color w:val="auto"/>
                <w:w w:val="96"/>
              </w:rPr>
              <w:t>September</w:t>
            </w: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Percent</w:t>
            </w:r>
          </w:p>
        </w:tc>
      </w:tr>
      <w:tr>
        <w:trPr>
          <w:trHeight w:val="183"/>
        </w:trPr>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40"/>
              <w:spacing w:after="0"/>
              <w:rPr>
                <w:sz w:val="20"/>
                <w:szCs w:val="20"/>
                <w:color w:val="auto"/>
              </w:rPr>
            </w:pPr>
            <w:r>
              <w:rPr>
                <w:rFonts w:ascii="Arial" w:cs="Arial" w:eastAsia="Arial" w:hAnsi="Arial"/>
                <w:sz w:val="12"/>
                <w:szCs w:val="12"/>
                <w:b w:val="1"/>
                <w:bCs w:val="1"/>
                <w:color w:val="auto"/>
              </w:rPr>
              <w:t>30, 2023</w:t>
            </w:r>
          </w:p>
        </w:tc>
        <w:tc>
          <w:tcPr>
            <w:tcW w:w="140" w:type="dxa"/>
            <w:vAlign w:val="bottom"/>
          </w:tcPr>
          <w:p>
            <w:pPr>
              <w:spacing w:after="0"/>
              <w:rPr>
                <w:sz w:val="15"/>
                <w:szCs w:val="15"/>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b w:val="1"/>
                <w:bCs w:val="1"/>
                <w:color w:val="auto"/>
              </w:rPr>
              <w:t>30, 2022</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June 30, 2023</w:t>
            </w:r>
          </w:p>
        </w:tc>
        <w:tc>
          <w:tcPr>
            <w:tcW w:w="980" w:type="dxa"/>
            <w:vAlign w:val="bottom"/>
          </w:tcPr>
          <w:p>
            <w:pPr>
              <w:ind w:left="200"/>
              <w:spacing w:after="0"/>
              <w:rPr>
                <w:sz w:val="20"/>
                <w:szCs w:val="20"/>
                <w:color w:val="auto"/>
              </w:rPr>
            </w:pPr>
            <w:r>
              <w:rPr>
                <w:rFonts w:ascii="Arial" w:cs="Arial" w:eastAsia="Arial" w:hAnsi="Arial"/>
                <w:sz w:val="13"/>
                <w:szCs w:val="13"/>
                <w:b w:val="1"/>
                <w:bCs w:val="1"/>
                <w:color w:val="auto"/>
              </w:rPr>
              <w:t>2022</w:t>
            </w:r>
          </w:p>
        </w:tc>
        <w:tc>
          <w:tcPr>
            <w:tcW w:w="940" w:type="dxa"/>
            <w:vAlign w:val="bottom"/>
          </w:tcPr>
          <w:p>
            <w:pPr>
              <w:jc w:val="center"/>
              <w:ind w:right="155"/>
              <w:spacing w:after="0"/>
              <w:rPr>
                <w:sz w:val="20"/>
                <w:szCs w:val="20"/>
                <w:color w:val="auto"/>
              </w:rPr>
            </w:pPr>
            <w:r>
              <w:rPr>
                <w:rFonts w:ascii="Arial" w:cs="Arial" w:eastAsia="Arial" w:hAnsi="Arial"/>
                <w:sz w:val="13"/>
                <w:szCs w:val="13"/>
                <w:b w:val="1"/>
                <w:bCs w:val="1"/>
                <w:color w:val="auto"/>
                <w:w w:val="96"/>
              </w:rPr>
              <w:t>2023</w:t>
            </w:r>
          </w:p>
        </w:tc>
        <w:tc>
          <w:tcPr>
            <w:tcW w:w="140" w:type="dxa"/>
            <w:vAlign w:val="bottom"/>
          </w:tcPr>
          <w:p>
            <w:pPr>
              <w:spacing w:after="0"/>
              <w:rPr>
                <w:sz w:val="15"/>
                <w:szCs w:val="15"/>
                <w:color w:val="auto"/>
              </w:rPr>
            </w:pPr>
          </w:p>
        </w:tc>
        <w:tc>
          <w:tcPr>
            <w:tcW w:w="780" w:type="dxa"/>
            <w:vAlign w:val="bottom"/>
          </w:tcPr>
          <w:p>
            <w:pPr>
              <w:jc w:val="right"/>
              <w:ind w:right="240"/>
              <w:spacing w:after="0"/>
              <w:rPr>
                <w:sz w:val="20"/>
                <w:szCs w:val="20"/>
                <w:color w:val="auto"/>
              </w:rPr>
            </w:pPr>
            <w:r>
              <w:rPr>
                <w:rFonts w:ascii="Arial" w:cs="Arial" w:eastAsia="Arial" w:hAnsi="Arial"/>
                <w:sz w:val="12"/>
                <w:szCs w:val="12"/>
                <w:b w:val="1"/>
                <w:bCs w:val="1"/>
                <w:color w:val="auto"/>
                <w:w w:val="98"/>
              </w:rPr>
              <w:t>30, 2023</w:t>
            </w:r>
          </w:p>
        </w:tc>
        <w:tc>
          <w:tcPr>
            <w:tcW w:w="100" w:type="dxa"/>
            <w:vAlign w:val="bottom"/>
          </w:tcPr>
          <w:p>
            <w:pPr>
              <w:spacing w:after="0"/>
              <w:rPr>
                <w:sz w:val="15"/>
                <w:szCs w:val="15"/>
                <w:color w:val="auto"/>
              </w:rPr>
            </w:pPr>
          </w:p>
        </w:tc>
        <w:tc>
          <w:tcPr>
            <w:tcW w:w="940" w:type="dxa"/>
            <w:vAlign w:val="bottom"/>
          </w:tcPr>
          <w:p>
            <w:pPr>
              <w:jc w:val="right"/>
              <w:ind w:right="320"/>
              <w:spacing w:after="0"/>
              <w:rPr>
                <w:sz w:val="20"/>
                <w:szCs w:val="20"/>
                <w:color w:val="auto"/>
              </w:rPr>
            </w:pPr>
            <w:r>
              <w:rPr>
                <w:rFonts w:ascii="Arial" w:cs="Arial" w:eastAsia="Arial" w:hAnsi="Arial"/>
                <w:sz w:val="12"/>
                <w:szCs w:val="12"/>
                <w:b w:val="1"/>
                <w:bCs w:val="1"/>
                <w:color w:val="auto"/>
              </w:rPr>
              <w:t>30, 2022</w:t>
            </w:r>
          </w:p>
        </w:tc>
        <w:tc>
          <w:tcPr>
            <w:tcW w:w="8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Change</w:t>
            </w:r>
          </w:p>
        </w:tc>
      </w:tr>
      <w:tr>
        <w:trPr>
          <w:trHeight w:val="180"/>
        </w:trPr>
        <w:tc>
          <w:tcPr>
            <w:tcW w:w="2680" w:type="dxa"/>
            <w:vAlign w:val="bottom"/>
            <w:shd w:val="clear" w:color="auto" w:fill="CFF0FC"/>
          </w:tcPr>
          <w:p>
            <w:pPr>
              <w:ind w:left="20"/>
              <w:spacing w:after="0"/>
              <w:rPr>
                <w:sz w:val="20"/>
                <w:szCs w:val="20"/>
                <w:color w:val="auto"/>
              </w:rPr>
            </w:pPr>
            <w:r>
              <w:rPr>
                <w:rFonts w:ascii="Arial" w:cs="Arial" w:eastAsia="Arial" w:hAnsi="Arial"/>
                <w:sz w:val="12"/>
                <w:szCs w:val="12"/>
                <w:color w:val="auto"/>
              </w:rPr>
              <w:t>(Dollars in thousands, except per share)</w:t>
            </w: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2680" w:type="dxa"/>
            <w:vAlign w:val="bottom"/>
          </w:tcPr>
          <w:p>
            <w:pPr>
              <w:ind w:left="20"/>
              <w:spacing w:after="0"/>
              <w:rPr>
                <w:sz w:val="20"/>
                <w:szCs w:val="20"/>
                <w:color w:val="auto"/>
              </w:rPr>
            </w:pPr>
            <w:r>
              <w:rPr>
                <w:rFonts w:ascii="Arial" w:cs="Arial" w:eastAsia="Arial" w:hAnsi="Arial"/>
                <w:sz w:val="12"/>
                <w:szCs w:val="12"/>
                <w:color w:val="auto"/>
              </w:rPr>
              <w:t>Net interest income</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1,775,388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1,678,691</w:t>
            </w:r>
          </w:p>
        </w:tc>
        <w:tc>
          <w:tcPr>
            <w:tcW w:w="20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1,799,129</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6 %</w:t>
            </w:r>
          </w:p>
        </w:tc>
        <w:tc>
          <w:tcPr>
            <w:tcW w:w="94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5,392,781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3,994,582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35 %</w:t>
            </w:r>
          </w:p>
        </w:tc>
      </w:tr>
      <w:tr>
        <w:trPr>
          <w:trHeight w:val="180"/>
        </w:trPr>
        <w:tc>
          <w:tcPr>
            <w:tcW w:w="2680" w:type="dxa"/>
            <w:vAlign w:val="bottom"/>
          </w:tcPr>
          <w:p>
            <w:pPr>
              <w:ind w:left="20"/>
              <w:spacing w:after="0"/>
              <w:rPr>
                <w:sz w:val="20"/>
                <w:szCs w:val="20"/>
                <w:color w:val="auto"/>
              </w:rPr>
            </w:pPr>
            <w:r>
              <w:rPr>
                <w:rFonts w:ascii="Arial" w:cs="Arial" w:eastAsia="Arial" w:hAnsi="Arial"/>
                <w:sz w:val="12"/>
                <w:szCs w:val="12"/>
                <w:color w:val="auto"/>
              </w:rPr>
              <w:t>Taxable-equivalent adjustment</w:t>
            </w:r>
          </w:p>
        </w:tc>
        <w:tc>
          <w:tcPr>
            <w:tcW w:w="32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14,335</w:t>
            </w:r>
          </w:p>
        </w:tc>
        <w:tc>
          <w:tcPr>
            <w:tcW w:w="140" w:type="dxa"/>
            <w:vAlign w:val="bottom"/>
          </w:tcPr>
          <w:p>
            <w:pPr>
              <w:spacing w:after="0"/>
              <w:rPr>
                <w:sz w:val="15"/>
                <w:szCs w:val="15"/>
                <w:color w:val="auto"/>
              </w:rPr>
            </w:pP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11,827</w:t>
            </w:r>
          </w:p>
        </w:tc>
        <w:tc>
          <w:tcPr>
            <w:tcW w:w="20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13,886</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21 %</w:t>
            </w:r>
          </w:p>
        </w:tc>
        <w:tc>
          <w:tcPr>
            <w:tcW w:w="940" w:type="dxa"/>
            <w:vAlign w:val="bottom"/>
          </w:tcPr>
          <w:p>
            <w:pPr>
              <w:jc w:val="right"/>
              <w:spacing w:after="0"/>
              <w:rPr>
                <w:sz w:val="20"/>
                <w:szCs w:val="20"/>
                <w:color w:val="auto"/>
              </w:rPr>
            </w:pPr>
            <w:r>
              <w:rPr>
                <w:rFonts w:ascii="Arial" w:cs="Arial" w:eastAsia="Arial" w:hAnsi="Arial"/>
                <w:sz w:val="13"/>
                <w:szCs w:val="13"/>
                <w:color w:val="auto"/>
              </w:rPr>
              <w:t>3 %</w:t>
            </w:r>
          </w:p>
        </w:tc>
        <w:tc>
          <w:tcPr>
            <w:tcW w:w="14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41,683</w:t>
            </w:r>
          </w:p>
        </w:tc>
        <w:tc>
          <w:tcPr>
            <w:tcW w:w="10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25,787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62 %</w:t>
            </w:r>
          </w:p>
        </w:tc>
      </w:tr>
      <w:tr>
        <w:trPr>
          <w:trHeight w:val="180"/>
        </w:trPr>
        <w:tc>
          <w:tcPr>
            <w:tcW w:w="2680" w:type="dxa"/>
            <w:vAlign w:val="bottom"/>
          </w:tcPr>
          <w:p>
            <w:pPr>
              <w:ind w:left="20"/>
              <w:spacing w:after="0"/>
              <w:rPr>
                <w:sz w:val="20"/>
                <w:szCs w:val="20"/>
                <w:color w:val="auto"/>
              </w:rPr>
            </w:pPr>
            <w:r>
              <w:rPr>
                <w:rFonts w:ascii="Arial" w:cs="Arial" w:eastAsia="Arial" w:hAnsi="Arial"/>
                <w:sz w:val="12"/>
                <w:szCs w:val="12"/>
                <w:color w:val="auto"/>
              </w:rPr>
              <w:t>Net interest income (taxable-equivalent basis)</w:t>
            </w:r>
          </w:p>
        </w:tc>
        <w:tc>
          <w:tcPr>
            <w:tcW w:w="320" w:type="dxa"/>
            <w:vAlign w:val="bottom"/>
          </w:tcPr>
          <w:p>
            <w:pPr>
              <w:spacing w:after="0"/>
              <w:rPr>
                <w:sz w:val="15"/>
                <w:szCs w:val="15"/>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1,789,723</w:t>
            </w:r>
          </w:p>
        </w:tc>
        <w:tc>
          <w:tcPr>
            <w:tcW w:w="140" w:type="dxa"/>
            <w:vAlign w:val="bottom"/>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1,690,518</w:t>
            </w:r>
          </w:p>
        </w:tc>
        <w:tc>
          <w:tcPr>
            <w:tcW w:w="200" w:type="dxa"/>
            <w:vAlign w:val="bottom"/>
          </w:tcPr>
          <w:p>
            <w:pPr>
              <w:spacing w:after="0"/>
              <w:rPr>
                <w:sz w:val="15"/>
                <w:szCs w:val="15"/>
                <w:color w:val="auto"/>
              </w:rPr>
            </w:pP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1,813,015</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6 %</w:t>
            </w:r>
          </w:p>
        </w:tc>
        <w:tc>
          <w:tcPr>
            <w:tcW w:w="94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5,434,464</w:t>
            </w:r>
          </w:p>
        </w:tc>
        <w:tc>
          <w:tcPr>
            <w:tcW w:w="10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4,020,369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35 %</w:t>
            </w:r>
          </w:p>
        </w:tc>
      </w:tr>
      <w:tr>
        <w:trPr>
          <w:trHeight w:val="186"/>
        </w:trPr>
        <w:tc>
          <w:tcPr>
            <w:tcW w:w="2680" w:type="dxa"/>
            <w:vAlign w:val="bottom"/>
          </w:tcPr>
          <w:p>
            <w:pPr>
              <w:ind w:left="20"/>
              <w:spacing w:after="0"/>
              <w:rPr>
                <w:sz w:val="20"/>
                <w:szCs w:val="20"/>
                <w:color w:val="auto"/>
              </w:rPr>
            </w:pPr>
            <w:r>
              <w:rPr>
                <w:rFonts w:ascii="Arial" w:cs="Arial" w:eastAsia="Arial" w:hAnsi="Arial"/>
                <w:sz w:val="12"/>
                <w:szCs w:val="12"/>
                <w:color w:val="auto"/>
              </w:rPr>
              <w:t>Provision for credit losses</w:t>
            </w:r>
          </w:p>
        </w:tc>
        <w:tc>
          <w:tcPr>
            <w:tcW w:w="320" w:type="dxa"/>
            <w:vAlign w:val="bottom"/>
          </w:tcPr>
          <w:p>
            <w:pPr>
              <w:spacing w:after="0"/>
              <w:rPr>
                <w:sz w:val="16"/>
                <w:szCs w:val="16"/>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150,000</w:t>
            </w:r>
          </w:p>
        </w:tc>
        <w:tc>
          <w:tcPr>
            <w:tcW w:w="140" w:type="dxa"/>
            <w:vAlign w:val="bottom"/>
          </w:tcPr>
          <w:p>
            <w:pPr>
              <w:spacing w:after="0"/>
              <w:rPr>
                <w:sz w:val="16"/>
                <w:szCs w:val="16"/>
                <w:color w:val="auto"/>
              </w:rPr>
            </w:pP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115,000</w:t>
            </w:r>
          </w:p>
        </w:tc>
        <w:tc>
          <w:tcPr>
            <w:tcW w:w="20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150,000</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30 %</w:t>
            </w:r>
          </w:p>
        </w:tc>
        <w:tc>
          <w:tcPr>
            <w:tcW w:w="940" w:type="dxa"/>
            <w:vAlign w:val="bottom"/>
          </w:tcPr>
          <w:p>
            <w:pPr>
              <w:jc w:val="right"/>
              <w:ind w:right="13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420,000</w:t>
            </w:r>
          </w:p>
        </w:tc>
        <w:tc>
          <w:tcPr>
            <w:tcW w:w="100" w:type="dxa"/>
            <w:vAlign w:val="bottom"/>
          </w:tcPr>
          <w:p>
            <w:pPr>
              <w:spacing w:after="0"/>
              <w:rPr>
                <w:sz w:val="16"/>
                <w:szCs w:val="16"/>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427,000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-2 %</w:t>
            </w:r>
          </w:p>
        </w:tc>
      </w:tr>
      <w:tr>
        <w:trPr>
          <w:trHeight w:val="174"/>
        </w:trPr>
        <w:tc>
          <w:tcPr>
            <w:tcW w:w="268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32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559,581</w:t>
            </w:r>
          </w:p>
        </w:tc>
        <w:tc>
          <w:tcPr>
            <w:tcW w:w="140" w:type="dxa"/>
            <w:vAlign w:val="bottom"/>
          </w:tcPr>
          <w:p>
            <w:pPr>
              <w:spacing w:after="0"/>
              <w:rPr>
                <w:sz w:val="15"/>
                <w:szCs w:val="15"/>
                <w:color w:val="auto"/>
              </w:rPr>
            </w:pP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563,079</w:t>
            </w:r>
          </w:p>
        </w:tc>
        <w:tc>
          <w:tcPr>
            <w:tcW w:w="20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803,171</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-1 %</w:t>
            </w:r>
          </w:p>
        </w:tc>
        <w:tc>
          <w:tcPr>
            <w:tcW w:w="940" w:type="dxa"/>
            <w:vAlign w:val="bottom"/>
          </w:tcPr>
          <w:p>
            <w:pPr>
              <w:jc w:val="right"/>
              <w:spacing w:after="0"/>
              <w:rPr>
                <w:sz w:val="20"/>
                <w:szCs w:val="20"/>
                <w:color w:val="auto"/>
              </w:rPr>
            </w:pPr>
            <w:r>
              <w:rPr>
                <w:rFonts w:ascii="Arial" w:cs="Arial" w:eastAsia="Arial" w:hAnsi="Arial"/>
                <w:sz w:val="13"/>
                <w:szCs w:val="13"/>
                <w:color w:val="auto"/>
              </w:rPr>
              <w:t>-30 %</w:t>
            </w:r>
          </w:p>
        </w:tc>
        <w:tc>
          <w:tcPr>
            <w:tcW w:w="14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1,949,885</w:t>
            </w:r>
          </w:p>
        </w:tc>
        <w:tc>
          <w:tcPr>
            <w:tcW w:w="10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1,675,066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16 %</w:t>
            </w:r>
          </w:p>
        </w:tc>
      </w:tr>
      <w:tr>
        <w:trPr>
          <w:trHeight w:val="186"/>
        </w:trPr>
        <w:tc>
          <w:tcPr>
            <w:tcW w:w="2680" w:type="dxa"/>
            <w:vAlign w:val="bottom"/>
          </w:tcPr>
          <w:p>
            <w:pPr>
              <w:ind w:left="20"/>
              <w:spacing w:after="0"/>
              <w:rPr>
                <w:sz w:val="20"/>
                <w:szCs w:val="20"/>
                <w:color w:val="auto"/>
              </w:rPr>
            </w:pPr>
            <w:r>
              <w:rPr>
                <w:rFonts w:ascii="Arial" w:cs="Arial" w:eastAsia="Arial" w:hAnsi="Arial"/>
                <w:sz w:val="12"/>
                <w:szCs w:val="12"/>
                <w:color w:val="auto"/>
              </w:rPr>
              <w:t>Other expense</w:t>
            </w:r>
          </w:p>
        </w:tc>
        <w:tc>
          <w:tcPr>
            <w:tcW w:w="320" w:type="dxa"/>
            <w:vAlign w:val="bottom"/>
          </w:tcPr>
          <w:p>
            <w:pPr>
              <w:spacing w:after="0"/>
              <w:rPr>
                <w:sz w:val="16"/>
                <w:szCs w:val="16"/>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1,277,538</w:t>
            </w:r>
          </w:p>
        </w:tc>
        <w:tc>
          <w:tcPr>
            <w:tcW w:w="14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1,279,253</w:t>
            </w:r>
          </w:p>
        </w:tc>
        <w:tc>
          <w:tcPr>
            <w:tcW w:w="200" w:type="dxa"/>
            <w:vAlign w:val="bottom"/>
          </w:tcPr>
          <w:p>
            <w:pPr>
              <w:spacing w:after="0"/>
              <w:rPr>
                <w:sz w:val="16"/>
                <w:szCs w:val="16"/>
                <w:color w:val="auto"/>
              </w:rPr>
            </w:pP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1,292,559</w:t>
            </w:r>
          </w:p>
        </w:tc>
        <w:tc>
          <w:tcPr>
            <w:tcW w:w="980" w:type="dxa"/>
            <w:vAlign w:val="bottom"/>
          </w:tcPr>
          <w:p>
            <w:pPr>
              <w:jc w:val="right"/>
              <w:ind w:right="215"/>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3,929,327</w:t>
            </w:r>
          </w:p>
        </w:tc>
        <w:tc>
          <w:tcPr>
            <w:tcW w:w="100" w:type="dxa"/>
            <w:vAlign w:val="bottom"/>
          </w:tcPr>
          <w:p>
            <w:pPr>
              <w:spacing w:after="0"/>
              <w:rPr>
                <w:sz w:val="16"/>
                <w:szCs w:val="16"/>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3,642,148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8 %</w:t>
            </w:r>
          </w:p>
        </w:tc>
      </w:tr>
      <w:tr>
        <w:trPr>
          <w:trHeight w:val="179"/>
        </w:trPr>
        <w:tc>
          <w:tcPr>
            <w:tcW w:w="26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32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Arial" w:cs="Arial" w:eastAsia="Arial" w:hAnsi="Arial"/>
                <w:sz w:val="12"/>
                <w:szCs w:val="12"/>
                <w:color w:val="auto"/>
              </w:rPr>
              <w:t>689,941</w:t>
            </w:r>
          </w:p>
        </w:tc>
        <w:tc>
          <w:tcPr>
            <w:tcW w:w="140" w:type="dxa"/>
            <w:vAlign w:val="bottom"/>
          </w:tcPr>
          <w:p>
            <w:pPr>
              <w:spacing w:after="0"/>
              <w:rPr>
                <w:sz w:val="15"/>
                <w:szCs w:val="15"/>
                <w:color w:val="auto"/>
              </w:rPr>
            </w:pP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646,596</w:t>
            </w:r>
          </w:p>
        </w:tc>
        <w:tc>
          <w:tcPr>
            <w:tcW w:w="20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Arial" w:cs="Arial" w:eastAsia="Arial" w:hAnsi="Arial"/>
                <w:sz w:val="12"/>
                <w:szCs w:val="12"/>
                <w:color w:val="auto"/>
              </w:rPr>
              <w:t>867,034</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7 %</w:t>
            </w:r>
          </w:p>
        </w:tc>
        <w:tc>
          <w:tcPr>
            <w:tcW w:w="940" w:type="dxa"/>
            <w:vAlign w:val="bottom"/>
          </w:tcPr>
          <w:p>
            <w:pPr>
              <w:jc w:val="right"/>
              <w:spacing w:after="0"/>
              <w:rPr>
                <w:sz w:val="20"/>
                <w:szCs w:val="20"/>
                <w:color w:val="auto"/>
              </w:rPr>
            </w:pPr>
            <w:r>
              <w:rPr>
                <w:rFonts w:ascii="Arial" w:cs="Arial" w:eastAsia="Arial" w:hAnsi="Arial"/>
                <w:sz w:val="13"/>
                <w:szCs w:val="13"/>
                <w:color w:val="auto"/>
              </w:rPr>
              <w:t>-20 %</w:t>
            </w:r>
          </w:p>
        </w:tc>
        <w:tc>
          <w:tcPr>
            <w:tcW w:w="14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2,258,599</w:t>
            </w:r>
          </w:p>
        </w:tc>
        <w:tc>
          <w:tcPr>
            <w:tcW w:w="10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1,226,292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84 %</w:t>
            </w:r>
          </w:p>
        </w:tc>
      </w:tr>
      <w:tr>
        <w:trPr>
          <w:trHeight w:val="185"/>
        </w:trPr>
        <w:tc>
          <w:tcPr>
            <w:tcW w:w="2680" w:type="dxa"/>
            <w:vAlign w:val="bottom"/>
            <w:shd w:val="clear" w:color="auto" w:fill="CFF0FC"/>
          </w:tcPr>
          <w:p>
            <w:pPr>
              <w:ind w:left="20"/>
              <w:spacing w:after="0"/>
              <w:rPr>
                <w:sz w:val="20"/>
                <w:szCs w:val="20"/>
                <w:color w:val="auto"/>
              </w:rPr>
            </w:pPr>
            <w:r>
              <w:rPr>
                <w:rFonts w:ascii="Arial" w:cs="Arial" w:eastAsia="Arial" w:hAnsi="Arial"/>
                <w:sz w:val="12"/>
                <w:szCs w:val="12"/>
                <w:color w:val="auto"/>
              </w:rPr>
              <w:t>Per common share data</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2680" w:type="dxa"/>
            <w:vAlign w:val="bottom"/>
          </w:tcPr>
          <w:p>
            <w:pPr>
              <w:ind w:left="180"/>
              <w:spacing w:after="0"/>
              <w:rPr>
                <w:sz w:val="20"/>
                <w:szCs w:val="20"/>
                <w:color w:val="auto"/>
              </w:rPr>
            </w:pPr>
            <w:r>
              <w:rPr>
                <w:rFonts w:ascii="Arial" w:cs="Arial" w:eastAsia="Arial" w:hAnsi="Arial"/>
                <w:sz w:val="12"/>
                <w:szCs w:val="12"/>
                <w:color w:val="auto"/>
              </w:rPr>
              <w:t>Basic earnings</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4.00</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3.55</w:t>
            </w:r>
          </w:p>
        </w:tc>
        <w:tc>
          <w:tcPr>
            <w:tcW w:w="200" w:type="dxa"/>
            <w:vAlign w:val="bottom"/>
          </w:tcPr>
          <w:p>
            <w:pPr>
              <w:ind w:left="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5.07</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13 %</w:t>
            </w:r>
          </w:p>
        </w:tc>
        <w:tc>
          <w:tcPr>
            <w:tcW w:w="940" w:type="dxa"/>
            <w:vAlign w:val="bottom"/>
          </w:tcPr>
          <w:p>
            <w:pPr>
              <w:jc w:val="right"/>
              <w:spacing w:after="0"/>
              <w:rPr>
                <w:sz w:val="20"/>
                <w:szCs w:val="20"/>
                <w:color w:val="auto"/>
              </w:rPr>
            </w:pPr>
            <w:r>
              <w:rPr>
                <w:rFonts w:ascii="Arial" w:cs="Arial" w:eastAsia="Arial" w:hAnsi="Arial"/>
                <w:sz w:val="13"/>
                <w:szCs w:val="13"/>
                <w:color w:val="auto"/>
              </w:rPr>
              <w:t>-21 %</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13.09</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7.18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82 %</w:t>
            </w:r>
          </w:p>
        </w:tc>
      </w:tr>
      <w:tr>
        <w:trPr>
          <w:trHeight w:val="180"/>
        </w:trPr>
        <w:tc>
          <w:tcPr>
            <w:tcW w:w="2680" w:type="dxa"/>
            <w:vAlign w:val="bottom"/>
          </w:tcPr>
          <w:p>
            <w:pPr>
              <w:ind w:left="180"/>
              <w:spacing w:after="0"/>
              <w:rPr>
                <w:sz w:val="20"/>
                <w:szCs w:val="20"/>
                <w:color w:val="auto"/>
              </w:rPr>
            </w:pPr>
            <w:r>
              <w:rPr>
                <w:rFonts w:ascii="Arial" w:cs="Arial" w:eastAsia="Arial" w:hAnsi="Arial"/>
                <w:sz w:val="12"/>
                <w:szCs w:val="12"/>
                <w:color w:val="auto"/>
              </w:rPr>
              <w:t>Diluted earnings</w:t>
            </w:r>
          </w:p>
        </w:tc>
        <w:tc>
          <w:tcPr>
            <w:tcW w:w="320" w:type="dxa"/>
            <w:vAlign w:val="bottom"/>
          </w:tcPr>
          <w:p>
            <w:pPr>
              <w:spacing w:after="0"/>
              <w:rPr>
                <w:sz w:val="15"/>
                <w:szCs w:val="15"/>
                <w:color w:val="auto"/>
              </w:rPr>
            </w:pP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3.98</w:t>
            </w:r>
          </w:p>
        </w:tc>
        <w:tc>
          <w:tcPr>
            <w:tcW w:w="140" w:type="dxa"/>
            <w:vAlign w:val="bottom"/>
          </w:tcPr>
          <w:p>
            <w:pPr>
              <w:spacing w:after="0"/>
              <w:rPr>
                <w:sz w:val="15"/>
                <w:szCs w:val="15"/>
                <w:color w:val="auto"/>
              </w:rPr>
            </w:pP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3.53</w:t>
            </w:r>
          </w:p>
        </w:tc>
        <w:tc>
          <w:tcPr>
            <w:tcW w:w="200" w:type="dxa"/>
            <w:vAlign w:val="bottom"/>
          </w:tcPr>
          <w:p>
            <w:pPr>
              <w:spacing w:after="0"/>
              <w:rPr>
                <w:sz w:val="15"/>
                <w:szCs w:val="15"/>
                <w:color w:val="auto"/>
              </w:rPr>
            </w:pPr>
          </w:p>
        </w:tc>
        <w:tc>
          <w:tcPr>
            <w:tcW w:w="880" w:type="dxa"/>
            <w:vAlign w:val="bottom"/>
          </w:tcPr>
          <w:p>
            <w:pPr>
              <w:jc w:val="right"/>
              <w:ind w:right="180"/>
              <w:spacing w:after="0"/>
              <w:rPr>
                <w:sz w:val="20"/>
                <w:szCs w:val="20"/>
                <w:color w:val="auto"/>
              </w:rPr>
            </w:pPr>
            <w:r>
              <w:rPr>
                <w:rFonts w:ascii="Arial" w:cs="Arial" w:eastAsia="Arial" w:hAnsi="Arial"/>
                <w:sz w:val="12"/>
                <w:szCs w:val="12"/>
                <w:color w:val="auto"/>
              </w:rPr>
              <w:t>5.05</w:t>
            </w:r>
          </w:p>
        </w:tc>
        <w:tc>
          <w:tcPr>
            <w:tcW w:w="980" w:type="dxa"/>
            <w:vAlign w:val="bottom"/>
          </w:tcPr>
          <w:p>
            <w:pPr>
              <w:jc w:val="right"/>
              <w:ind w:right="75"/>
              <w:spacing w:after="0"/>
              <w:rPr>
                <w:sz w:val="20"/>
                <w:szCs w:val="20"/>
                <w:color w:val="auto"/>
              </w:rPr>
            </w:pPr>
            <w:r>
              <w:rPr>
                <w:rFonts w:ascii="Arial" w:cs="Arial" w:eastAsia="Arial" w:hAnsi="Arial"/>
                <w:sz w:val="13"/>
                <w:szCs w:val="13"/>
                <w:color w:val="auto"/>
              </w:rPr>
              <w:t>13 %</w:t>
            </w:r>
          </w:p>
        </w:tc>
        <w:tc>
          <w:tcPr>
            <w:tcW w:w="940" w:type="dxa"/>
            <w:vAlign w:val="bottom"/>
          </w:tcPr>
          <w:p>
            <w:pPr>
              <w:jc w:val="right"/>
              <w:spacing w:after="0"/>
              <w:rPr>
                <w:sz w:val="20"/>
                <w:szCs w:val="20"/>
                <w:color w:val="auto"/>
              </w:rPr>
            </w:pPr>
            <w:r>
              <w:rPr>
                <w:rFonts w:ascii="Arial" w:cs="Arial" w:eastAsia="Arial" w:hAnsi="Arial"/>
                <w:sz w:val="13"/>
                <w:szCs w:val="13"/>
                <w:color w:val="auto"/>
              </w:rPr>
              <w:t>-21 %</w:t>
            </w:r>
          </w:p>
        </w:tc>
        <w:tc>
          <w:tcPr>
            <w:tcW w:w="140" w:type="dxa"/>
            <w:vAlign w:val="bottom"/>
          </w:tcPr>
          <w:p>
            <w:pPr>
              <w:spacing w:after="0"/>
              <w:rPr>
                <w:sz w:val="15"/>
                <w:szCs w:val="15"/>
                <w:color w:val="auto"/>
              </w:rPr>
            </w:pP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13.05</w:t>
            </w:r>
          </w:p>
        </w:tc>
        <w:tc>
          <w:tcPr>
            <w:tcW w:w="100" w:type="dxa"/>
            <w:vAlign w:val="bottom"/>
          </w:tcPr>
          <w:p>
            <w:pPr>
              <w:spacing w:after="0"/>
              <w:rPr>
                <w:sz w:val="15"/>
                <w:szCs w:val="15"/>
                <w:color w:val="auto"/>
              </w:rPr>
            </w:pPr>
          </w:p>
        </w:tc>
        <w:tc>
          <w:tcPr>
            <w:tcW w:w="940" w:type="dxa"/>
            <w:vAlign w:val="bottom"/>
          </w:tcPr>
          <w:p>
            <w:pPr>
              <w:jc w:val="right"/>
              <w:ind w:right="180"/>
              <w:spacing w:after="0"/>
              <w:rPr>
                <w:sz w:val="20"/>
                <w:szCs w:val="20"/>
                <w:color w:val="auto"/>
              </w:rPr>
            </w:pPr>
            <w:r>
              <w:rPr>
                <w:rFonts w:ascii="Arial" w:cs="Arial" w:eastAsia="Arial" w:hAnsi="Arial"/>
                <w:sz w:val="12"/>
                <w:szCs w:val="12"/>
                <w:color w:val="auto"/>
              </w:rPr>
              <w:t>7.14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83 %</w:t>
            </w:r>
          </w:p>
        </w:tc>
      </w:tr>
      <w:tr>
        <w:trPr>
          <w:trHeight w:val="188"/>
        </w:trPr>
        <w:tc>
          <w:tcPr>
            <w:tcW w:w="2680" w:type="dxa"/>
            <w:vAlign w:val="bottom"/>
          </w:tcPr>
          <w:p>
            <w:pPr>
              <w:ind w:left="20"/>
              <w:spacing w:after="0"/>
              <w:rPr>
                <w:sz w:val="20"/>
                <w:szCs w:val="20"/>
                <w:color w:val="auto"/>
              </w:rPr>
            </w:pPr>
            <w:r>
              <w:rPr>
                <w:rFonts w:ascii="Arial" w:cs="Arial" w:eastAsia="Arial" w:hAnsi="Arial"/>
                <w:sz w:val="12"/>
                <w:szCs w:val="12"/>
                <w:b w:val="1"/>
                <w:bCs w:val="1"/>
                <w:color w:val="auto"/>
              </w:rPr>
              <w:t>Performance ratios, annualized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268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Return on</w:t>
            </w:r>
          </w:p>
        </w:tc>
        <w:tc>
          <w:tcPr>
            <w:tcW w:w="3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4"/>
        </w:trPr>
        <w:tc>
          <w:tcPr>
            <w:tcW w:w="2680" w:type="dxa"/>
            <w:vAlign w:val="bottom"/>
          </w:tcPr>
          <w:p>
            <w:pPr>
              <w:ind w:left="180"/>
              <w:spacing w:after="0"/>
              <w:rPr>
                <w:sz w:val="20"/>
                <w:szCs w:val="20"/>
                <w:color w:val="auto"/>
              </w:rPr>
            </w:pPr>
            <w:r>
              <w:rPr>
                <w:rFonts w:ascii="Arial" w:cs="Arial" w:eastAsia="Arial" w:hAnsi="Arial"/>
                <w:sz w:val="12"/>
                <w:szCs w:val="12"/>
                <w:color w:val="auto"/>
              </w:rPr>
              <w:t>Average assets</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1.33 %</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1.28 %</w:t>
            </w:r>
          </w:p>
        </w:tc>
        <w:tc>
          <w:tcPr>
            <w:tcW w:w="20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1.70 %</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1.48 %</w:t>
            </w:r>
          </w:p>
        </w:tc>
        <w:tc>
          <w:tcPr>
            <w:tcW w:w="100" w:type="dxa"/>
            <w:vAlign w:val="bottom"/>
          </w:tcPr>
          <w:p>
            <w:pPr>
              <w:spacing w:after="0"/>
              <w:rPr>
                <w:sz w:val="15"/>
                <w:szCs w:val="15"/>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.87 %</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6"/>
        </w:trPr>
        <w:tc>
          <w:tcPr>
            <w:tcW w:w="2680" w:type="dxa"/>
            <w:vAlign w:val="bottom"/>
            <w:shd w:val="clear" w:color="auto" w:fill="CFF0FC"/>
          </w:tcPr>
          <w:p>
            <w:pPr>
              <w:ind w:left="180"/>
              <w:spacing w:after="0"/>
              <w:rPr>
                <w:sz w:val="20"/>
                <w:szCs w:val="20"/>
                <w:color w:val="auto"/>
              </w:rPr>
            </w:pPr>
            <w:r>
              <w:rPr>
                <w:rFonts w:ascii="Arial" w:cs="Arial" w:eastAsia="Arial" w:hAnsi="Arial"/>
                <w:sz w:val="12"/>
                <w:szCs w:val="12"/>
                <w:color w:val="auto"/>
              </w:rPr>
              <w:t>Average common shareholders’ equity</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10.99 %</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10.43 %</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14.27 %</w:t>
            </w:r>
          </w:p>
        </w:tc>
        <w:tc>
          <w:tcPr>
            <w:tcW w:w="9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12.33 %</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7.24 %</w:t>
            </w:r>
          </w:p>
        </w:tc>
        <w:tc>
          <w:tcPr>
            <w:tcW w:w="8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68"/>
        </w:trPr>
        <w:tc>
          <w:tcPr>
            <w:tcW w:w="2680" w:type="dxa"/>
            <w:vAlign w:val="bottom"/>
          </w:tcPr>
          <w:p>
            <w:pPr>
              <w:ind w:left="20"/>
              <w:spacing w:after="0"/>
              <w:rPr>
                <w:sz w:val="20"/>
                <w:szCs w:val="20"/>
                <w:color w:val="auto"/>
              </w:rPr>
            </w:pPr>
            <w:r>
              <w:rPr>
                <w:rFonts w:ascii="Arial" w:cs="Arial" w:eastAsia="Arial" w:hAnsi="Arial"/>
                <w:sz w:val="12"/>
                <w:szCs w:val="12"/>
                <w:color w:val="auto"/>
              </w:rPr>
              <w:t>Net interest margin</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3.79 %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3.68 %</w:t>
            </w:r>
          </w:p>
        </w:tc>
        <w:tc>
          <w:tcPr>
            <w:tcW w:w="20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3.91 %</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3.91 %</w:t>
            </w:r>
          </w:p>
        </w:tc>
        <w:tc>
          <w:tcPr>
            <w:tcW w:w="1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3.15 %</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-1592580</wp:posOffset>
            </wp:positionV>
            <wp:extent cx="6707505"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-1363980</wp:posOffset>
            </wp:positionV>
            <wp:extent cx="6707505"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-1134745</wp:posOffset>
            </wp:positionV>
            <wp:extent cx="6707505"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-677545</wp:posOffset>
            </wp:positionV>
            <wp:extent cx="6707505"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81" w:lineRule="exact"/>
        <w:rPr>
          <w:sz w:val="20"/>
          <w:szCs w:val="20"/>
          <w:color w:val="auto"/>
        </w:rPr>
      </w:pPr>
    </w:p>
    <w:p>
      <w:pPr>
        <w:ind w:left="80" w:right="100" w:firstLine="468"/>
        <w:spacing w:after="0" w:line="256" w:lineRule="auto"/>
        <w:rPr>
          <w:sz w:val="20"/>
          <w:szCs w:val="20"/>
          <w:color w:val="auto"/>
        </w:rPr>
      </w:pPr>
      <w:r>
        <w:rPr>
          <w:rFonts w:ascii="Arial" w:cs="Arial" w:eastAsia="Arial" w:hAnsi="Arial"/>
          <w:sz w:val="18"/>
          <w:szCs w:val="18"/>
          <w:color w:val="auto"/>
        </w:rPr>
        <w:t>On April 1, 2022, M&amp;T closed the acquisition of People's United resulting in the issuance of 50,325,004 common shares. Pursuant to the terms of the merger agreement, People’s United shareholders received consideration valued at .118 of an M&amp;T common share in exchange for each common share of People’s United. The purchase price totaled approximately $8.4 billion (with the price based on M&amp;T’s closing price of $164.66 per share as of April 1, 2022). Additionally, People’s United outstanding preferred stock was converted into new shares of Series H Preferred Stock of M&amp;T.</w:t>
      </w:r>
    </w:p>
    <w:p>
      <w:pPr>
        <w:spacing w:after="0" w:line="72" w:lineRule="exact"/>
        <w:rPr>
          <w:sz w:val="20"/>
          <w:szCs w:val="20"/>
          <w:color w:val="auto"/>
        </w:rPr>
      </w:pPr>
    </w:p>
    <w:p>
      <w:pPr>
        <w:ind w:left="80" w:right="220" w:firstLine="468"/>
        <w:spacing w:after="0" w:line="254" w:lineRule="auto"/>
        <w:rPr>
          <w:sz w:val="20"/>
          <w:szCs w:val="20"/>
          <w:color w:val="auto"/>
        </w:rPr>
      </w:pPr>
      <w:r>
        <w:rPr>
          <w:rFonts w:ascii="Arial" w:cs="Arial" w:eastAsia="Arial" w:hAnsi="Arial"/>
          <w:sz w:val="18"/>
          <w:szCs w:val="18"/>
          <w:color w:val="auto"/>
        </w:rPr>
        <w:t>The People's United transaction has been accounted for using the acquisition method of accounting and, accordingly, assets acquired, liabilities assumed, and consideration exchanged were recorded at estimated fair value on the acquisition date. The Company recorded assets acquired of $64.2 billion, including $35.8 billion of loans and leases and $11.6 billion of investment securities, and liabilities assumed totaling $55.5 billion, including $ 53.0 billion of deposits. The transaction added $8.4 billion to M&amp;T's common shareholders' equity and $261 million to preferred equity. In connection with the acquisition the Company recorded $3.9 billion of goodwill and $261 million of core deposit and other intangible assets. The acquisition of People's United formed a banking franchise with approximately $200 billion in assets serving communities in the Northeast and Mid-Atlantic from Maine to Virginia, including Washington, D.C.</w:t>
      </w:r>
    </w:p>
    <w:p>
      <w:pPr>
        <w:spacing w:after="0" w:line="72" w:lineRule="exact"/>
        <w:rPr>
          <w:sz w:val="20"/>
          <w:szCs w:val="20"/>
          <w:color w:val="auto"/>
        </w:rPr>
      </w:pPr>
    </w:p>
    <w:p>
      <w:pPr>
        <w:ind w:left="80" w:right="100" w:firstLine="468"/>
        <w:spacing w:after="0" w:line="254" w:lineRule="auto"/>
        <w:rPr>
          <w:sz w:val="20"/>
          <w:szCs w:val="20"/>
          <w:color w:val="auto"/>
        </w:rPr>
      </w:pPr>
      <w:r>
        <w:rPr>
          <w:rFonts w:ascii="Arial" w:cs="Arial" w:eastAsia="Arial" w:hAnsi="Arial"/>
          <w:sz w:val="18"/>
          <w:szCs w:val="18"/>
          <w:color w:val="auto"/>
        </w:rPr>
        <w:t>Merger-related expenses incurred in 2022 and associated with the People's United acquisition generally consisted of professional services, temporary help fees and other costs associated with actual or planned conversions of systems and/or integration of operations and the introduction of M&amp;T to its new customers, costs related to terminations of existing contractual arrangements to purchase various services, severance, travel costs, and, in the second quarter of 2022, an initial provision for credit losses on loans not deemed to be PCD on the April 1, 2022 acquisition date of People's United. The after-tax impact of merger-related expenses associated with M&amp;T’s acquisition of People’s United for the three- and nine-month periods ended September 30, 2022 was $39 million ($53 million pre-tax) or $.22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839" w:right="640" w:bottom="1440" w:gutter="0" w:footer="0" w:header="0"/>
        </w:sectPr>
      </w:pPr>
    </w:p>
    <w:bookmarkStart w:id="51" w:name="page52"/>
    <w:bookmarkEnd w:id="51"/>
    <w:p>
      <w:pPr>
        <w:ind w:right="600"/>
        <w:spacing w:after="0" w:line="275" w:lineRule="auto"/>
        <w:rPr>
          <w:sz w:val="20"/>
          <w:szCs w:val="20"/>
          <w:color w:val="auto"/>
        </w:rPr>
      </w:pPr>
      <w:r>
        <w:rPr>
          <w:rFonts w:ascii="Arial" w:cs="Arial" w:eastAsia="Arial" w:hAnsi="Arial"/>
          <w:sz w:val="18"/>
          <w:szCs w:val="18"/>
          <w:color w:val="auto"/>
        </w:rPr>
        <w:t>of diluted earnings per common share and $398 million ($535 million pre-tax) or $2.46 of diluted earnings per common share, respectively. The Company did not incur any merger-related expenses during 2023.</w:t>
      </w:r>
    </w:p>
    <w:p>
      <w:pPr>
        <w:spacing w:after="0" w:line="54" w:lineRule="exact"/>
        <w:rPr>
          <w:sz w:val="20"/>
          <w:szCs w:val="20"/>
          <w:color w:val="auto"/>
        </w:rPr>
      </w:pPr>
    </w:p>
    <w:p>
      <w:pPr>
        <w:ind w:right="120" w:firstLine="468"/>
        <w:spacing w:after="0" w:line="255" w:lineRule="auto"/>
        <w:rPr>
          <w:sz w:val="20"/>
          <w:szCs w:val="20"/>
          <w:color w:val="auto"/>
        </w:rPr>
      </w:pPr>
      <w:r>
        <w:rPr>
          <w:rFonts w:ascii="Arial" w:cs="Arial" w:eastAsia="Arial" w:hAnsi="Arial"/>
          <w:sz w:val="18"/>
          <w:szCs w:val="18"/>
          <w:color w:val="auto"/>
        </w:rPr>
        <w:t>Net income increased $43 million to $690 million in the third quarter of 2023, from $647 million in the third quarter of 2022. As compared with the third quarter of 2022, taxable-equivalent net interest income increased $99 million, reflecting higher yields on earnings assets, partially offset by higher costs of interest-bearing liabilities. The net interest margin expanded 11 basis points to</w:t>
      </w:r>
    </w:p>
    <w:p>
      <w:pPr>
        <w:ind w:right="180"/>
        <w:spacing w:after="0" w:line="256" w:lineRule="auto"/>
        <w:rPr>
          <w:sz w:val="20"/>
          <w:szCs w:val="20"/>
          <w:color w:val="auto"/>
        </w:rPr>
      </w:pPr>
      <w:r>
        <w:rPr>
          <w:rFonts w:ascii="Arial" w:cs="Arial" w:eastAsia="Arial" w:hAnsi="Arial"/>
          <w:sz w:val="18"/>
          <w:szCs w:val="18"/>
          <w:color w:val="auto"/>
        </w:rPr>
        <w:t>3.79% in the third quarter of 2023 from 3.68% in the corresponding quarter of 2022. The provision for credit losses was $35 million higher in the recent quarter as compared with the year-earlier quarter reflecting a softening of commercial real estate values. Merger-related expenses of $53 million were recognized in the third quarter of 2022.</w:t>
      </w:r>
    </w:p>
    <w:p>
      <w:pPr>
        <w:spacing w:after="0" w:line="70"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Net income in the recent quarter declined $177 million from $867 million in the second quarter of 2023. As compared with the second quarter of 2023, taxable-equivalent net interest income declined $23 million as rising costs on interest-bearing liabilities outpaced higher yields on earnings assets. The net interest margin narrowed 12 basis points in the recent quarter from 3.91% in the second quarter of 2023. Noninterest income in the third quarter of 2023 declined $244 million from the second quarter of 2023 reflecting a $225 million gain on the sale of the Company’s CIT business in April 2023 and lower CIT-related trust income as a result of that sale. Noninterest expense declined $15 million due largely to lower salaries and employee benefits expenses.</w:t>
      </w:r>
    </w:p>
    <w:p>
      <w:pPr>
        <w:spacing w:after="0" w:line="73" w:lineRule="exact"/>
        <w:rPr>
          <w:sz w:val="20"/>
          <w:szCs w:val="20"/>
          <w:color w:val="auto"/>
        </w:rPr>
      </w:pPr>
    </w:p>
    <w:p>
      <w:pPr>
        <w:ind w:right="100" w:firstLine="468"/>
        <w:spacing w:after="0" w:line="271" w:lineRule="auto"/>
        <w:rPr>
          <w:sz w:val="20"/>
          <w:szCs w:val="20"/>
          <w:color w:val="auto"/>
        </w:rPr>
      </w:pPr>
      <w:r>
        <w:rPr>
          <w:rFonts w:ascii="Arial" w:cs="Arial" w:eastAsia="Arial" w:hAnsi="Arial"/>
          <w:sz w:val="17"/>
          <w:szCs w:val="17"/>
          <w:color w:val="auto"/>
        </w:rPr>
        <w:t>For the first nine months of 2023, net income increased $1.03 billion to $2.26 billion as compared with $1.23 billion in the comparable 2022 period. The largest contributors to that increase were one additional quarter of operations acquired from People’s United in the first nine months of 2023 and higher yields on earning assets during that same period, partially offset by rising costs of interest-bearing liabilities. The net interest margin expanded 76 basis points to 3.91% in the first nine months of 2023 from 3.15% in the year -earlier period. Reflecting a decline in commercial real estate values, the provision for credit losses for the first nine months of 2023 was $420 million. The provision for credit losses in the first nine months of 2022 totaled $427 million and included a $242 million merger- related provision for credit losses on non-PCD loans. Additionally, merger-related expenses of $535 million were incurred in the first nine months of 2022 and a gain on the sale of the CIT business was recorded in the second quarter of 2023.</w:t>
      </w:r>
    </w:p>
    <w:p>
      <w:pPr>
        <w:spacing w:after="0" w:line="59" w:lineRule="exact"/>
        <w:rPr>
          <w:sz w:val="20"/>
          <w:szCs w:val="20"/>
          <w:color w:val="auto"/>
        </w:rPr>
      </w:pPr>
    </w:p>
    <w:p>
      <w:pPr>
        <w:ind w:firstLine="468"/>
        <w:spacing w:after="0" w:line="256" w:lineRule="auto"/>
        <w:rPr>
          <w:sz w:val="20"/>
          <w:szCs w:val="20"/>
          <w:color w:val="auto"/>
        </w:rPr>
      </w:pPr>
      <w:r>
        <w:rPr>
          <w:rFonts w:ascii="Arial" w:cs="Arial" w:eastAsia="Arial" w:hAnsi="Arial"/>
          <w:sz w:val="18"/>
          <w:szCs w:val="18"/>
          <w:color w:val="auto"/>
        </w:rPr>
        <w:t>M&amp;T repurchased 3,282,449 shares of its common stock at an average cost per share of $182.79 resulting in a total cost of $600 million in 2022's third quarter. No share repurchases occurred in the second and third quarters of 2023. During the first nine months of 2023, M&amp;T repurchased 3,838,157 shares of its common stock at an average cost per share of $154.76 resulting in a total cost, including the share repurchase excise tax, of $600 million. During the first nine months of 2022, M&amp;T repurchased 6,788,395 shares of its common stock at an average cost per share of $176.77 resulting in a total cost of $1.2 billion.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39" w:right="70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SUPPLEMENTAL REPORTING OF NON-GAAP 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80" w:type="dxa"/>
            <w:vAlign w:val="bottom"/>
            <w:gridSpan w:val="5"/>
          </w:tcPr>
          <w:p>
            <w:pPr>
              <w:jc w:val="right"/>
              <w:ind w:right="694"/>
              <w:spacing w:after="0"/>
              <w:rPr>
                <w:sz w:val="20"/>
                <w:szCs w:val="20"/>
                <w:color w:val="auto"/>
              </w:rPr>
            </w:pPr>
            <w:r>
              <w:rPr>
                <w:rFonts w:ascii="Arial" w:cs="Arial" w:eastAsia="Arial" w:hAnsi="Arial"/>
                <w:sz w:val="13"/>
                <w:szCs w:val="13"/>
                <w:b w:val="1"/>
                <w:bCs w:val="1"/>
                <w:color w:val="auto"/>
              </w:rPr>
              <w:t>Three Months Ended</w:t>
            </w:r>
          </w:p>
        </w:tc>
        <w:tc>
          <w:tcPr>
            <w:tcW w:w="1860" w:type="dxa"/>
            <w:vAlign w:val="bottom"/>
            <w:gridSpan w:val="2"/>
          </w:tcPr>
          <w:p>
            <w:pPr>
              <w:jc w:val="right"/>
              <w:ind w:right="314"/>
              <w:spacing w:after="0"/>
              <w:rPr>
                <w:sz w:val="20"/>
                <w:szCs w:val="20"/>
                <w:color w:val="auto"/>
              </w:rPr>
            </w:pPr>
            <w:r>
              <w:rPr>
                <w:rFonts w:ascii="Arial" w:cs="Arial" w:eastAsia="Arial" w:hAnsi="Arial"/>
                <w:sz w:val="13"/>
                <w:szCs w:val="13"/>
                <w:b w:val="1"/>
                <w:bCs w:val="1"/>
                <w:color w:val="auto"/>
              </w:rPr>
              <w:t>Percent Change from</w:t>
            </w:r>
          </w:p>
        </w:tc>
        <w:tc>
          <w:tcPr>
            <w:tcW w:w="200" w:type="dxa"/>
            <w:vAlign w:val="bottom"/>
          </w:tcPr>
          <w:p>
            <w:pPr>
              <w:spacing w:after="0"/>
              <w:rPr>
                <w:sz w:val="15"/>
                <w:szCs w:val="15"/>
                <w:color w:val="auto"/>
              </w:rPr>
            </w:pPr>
          </w:p>
        </w:tc>
        <w:tc>
          <w:tcPr>
            <w:tcW w:w="1620" w:type="dxa"/>
            <w:vAlign w:val="bottom"/>
            <w:gridSpan w:val="3"/>
          </w:tcPr>
          <w:p>
            <w:pPr>
              <w:ind w:left="40"/>
              <w:spacing w:after="0"/>
              <w:rPr>
                <w:sz w:val="20"/>
                <w:szCs w:val="20"/>
                <w:color w:val="auto"/>
              </w:rPr>
            </w:pPr>
            <w:r>
              <w:rPr>
                <w:rFonts w:ascii="Arial" w:cs="Arial" w:eastAsia="Arial" w:hAnsi="Arial"/>
                <w:sz w:val="13"/>
                <w:szCs w:val="13"/>
                <w:b w:val="1"/>
                <w:bCs w:val="1"/>
                <w:color w:val="auto"/>
              </w:rPr>
              <w:t>Nine Months Ended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120" w:type="dxa"/>
            <w:vAlign w:val="bottom"/>
            <w:gridSpan w:val="2"/>
          </w:tcPr>
          <w:p>
            <w:pPr>
              <w:ind w:left="360"/>
              <w:spacing w:after="0"/>
              <w:rPr>
                <w:sz w:val="20"/>
                <w:szCs w:val="20"/>
                <w:color w:val="auto"/>
              </w:rPr>
            </w:pPr>
            <w:r>
              <w:rPr>
                <w:rFonts w:ascii="Arial" w:cs="Arial" w:eastAsia="Arial" w:hAnsi="Arial"/>
                <w:sz w:val="13"/>
                <w:szCs w:val="13"/>
                <w:b w:val="1"/>
                <w:bCs w:val="1"/>
                <w:color w:val="auto"/>
              </w:rPr>
              <w:t>Septemb</w:t>
            </w:r>
          </w:p>
        </w:tc>
        <w:tc>
          <w:tcPr>
            <w:tcW w:w="840" w:type="dxa"/>
            <w:vAlign w:val="bottom"/>
            <w:gridSpan w:val="2"/>
          </w:tcPr>
          <w:p>
            <w:pPr>
              <w:jc w:val="center"/>
              <w:ind w:right="74"/>
              <w:spacing w:after="0"/>
              <w:rPr>
                <w:sz w:val="20"/>
                <w:szCs w:val="20"/>
                <w:color w:val="auto"/>
              </w:rPr>
            </w:pPr>
            <w:r>
              <w:rPr>
                <w:rFonts w:ascii="Arial" w:cs="Arial" w:eastAsia="Arial" w:hAnsi="Arial"/>
                <w:sz w:val="13"/>
                <w:szCs w:val="13"/>
                <w:b w:val="1"/>
                <w:bCs w:val="1"/>
                <w:color w:val="auto"/>
                <w:w w:val="98"/>
              </w:rPr>
              <w:t>Septemb</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center"/>
              <w:ind w:right="174"/>
              <w:spacing w:after="0"/>
              <w:rPr>
                <w:sz w:val="20"/>
                <w:szCs w:val="20"/>
                <w:color w:val="auto"/>
              </w:rPr>
            </w:pPr>
            <w:r>
              <w:rPr>
                <w:rFonts w:ascii="Arial" w:cs="Arial" w:eastAsia="Arial" w:hAnsi="Arial"/>
                <w:sz w:val="13"/>
                <w:szCs w:val="13"/>
                <w:b w:val="1"/>
                <w:bCs w:val="1"/>
                <w:color w:val="auto"/>
                <w:w w:val="98"/>
              </w:rPr>
              <w:t>Third</w:t>
            </w:r>
          </w:p>
        </w:tc>
        <w:tc>
          <w:tcPr>
            <w:tcW w:w="980" w:type="dxa"/>
            <w:vAlign w:val="bottom"/>
          </w:tcPr>
          <w:p>
            <w:pPr>
              <w:jc w:val="right"/>
              <w:ind w:right="314"/>
              <w:spacing w:after="0"/>
              <w:rPr>
                <w:sz w:val="20"/>
                <w:szCs w:val="20"/>
                <w:color w:val="auto"/>
              </w:rPr>
            </w:pPr>
            <w:r>
              <w:rPr>
                <w:rFonts w:ascii="Arial" w:cs="Arial" w:eastAsia="Arial" w:hAnsi="Arial"/>
                <w:sz w:val="13"/>
                <w:szCs w:val="13"/>
                <w:b w:val="1"/>
                <w:bCs w:val="1"/>
                <w:color w:val="auto"/>
              </w:rPr>
              <w:t>Second</w:t>
            </w:r>
          </w:p>
        </w:tc>
        <w:tc>
          <w:tcPr>
            <w:tcW w:w="82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Septem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ind w:right="254"/>
              <w:spacing w:after="0"/>
              <w:rPr>
                <w:sz w:val="20"/>
                <w:szCs w:val="20"/>
                <w:color w:val="auto"/>
              </w:rPr>
            </w:pPr>
            <w:r>
              <w:rPr>
                <w:rFonts w:ascii="Arial" w:cs="Arial" w:eastAsia="Arial" w:hAnsi="Arial"/>
                <w:sz w:val="13"/>
                <w:szCs w:val="13"/>
                <w:b w:val="1"/>
                <w:bCs w:val="1"/>
                <w:color w:val="auto"/>
                <w:w w:val="99"/>
              </w:rPr>
              <w:t>er 30,</w:t>
            </w:r>
          </w:p>
        </w:tc>
        <w:tc>
          <w:tcPr>
            <w:tcW w:w="140" w:type="dxa"/>
            <w:vAlign w:val="bottom"/>
          </w:tcPr>
          <w:p>
            <w:pPr>
              <w:spacing w:after="0"/>
              <w:rPr>
                <w:sz w:val="13"/>
                <w:szCs w:val="13"/>
                <w:color w:val="auto"/>
              </w:rPr>
            </w:pPr>
          </w:p>
        </w:tc>
        <w:tc>
          <w:tcPr>
            <w:tcW w:w="700" w:type="dxa"/>
            <w:vAlign w:val="bottom"/>
          </w:tcPr>
          <w:p>
            <w:pPr>
              <w:jc w:val="center"/>
              <w:ind w:right="214"/>
              <w:spacing w:after="0"/>
              <w:rPr>
                <w:sz w:val="20"/>
                <w:szCs w:val="20"/>
                <w:color w:val="auto"/>
              </w:rPr>
            </w:pPr>
            <w:r>
              <w:rPr>
                <w:rFonts w:ascii="Arial" w:cs="Arial" w:eastAsia="Arial" w:hAnsi="Arial"/>
                <w:sz w:val="13"/>
                <w:szCs w:val="13"/>
                <w:b w:val="1"/>
                <w:bCs w:val="1"/>
                <w:color w:val="auto"/>
                <w:w w:val="99"/>
              </w:rPr>
              <w:t>er 30,</w:t>
            </w:r>
          </w:p>
        </w:tc>
        <w:tc>
          <w:tcPr>
            <w:tcW w:w="120" w:type="dxa"/>
            <w:vAlign w:val="bottom"/>
          </w:tcPr>
          <w:p>
            <w:pPr>
              <w:spacing w:after="0"/>
              <w:rPr>
                <w:sz w:val="13"/>
                <w:szCs w:val="13"/>
                <w:color w:val="auto"/>
              </w:rPr>
            </w:pPr>
          </w:p>
        </w:tc>
        <w:tc>
          <w:tcPr>
            <w:tcW w:w="840" w:type="dxa"/>
            <w:vAlign w:val="bottom"/>
          </w:tcPr>
          <w:p>
            <w:pPr>
              <w:jc w:val="right"/>
              <w:ind w:right="234"/>
              <w:spacing w:after="0"/>
              <w:rPr>
                <w:sz w:val="20"/>
                <w:szCs w:val="20"/>
                <w:color w:val="auto"/>
              </w:rPr>
            </w:pPr>
            <w:r>
              <w:rPr>
                <w:rFonts w:ascii="Arial" w:cs="Arial" w:eastAsia="Arial" w:hAnsi="Arial"/>
                <w:sz w:val="13"/>
                <w:szCs w:val="13"/>
                <w:b w:val="1"/>
                <w:bCs w:val="1"/>
                <w:color w:val="auto"/>
                <w:w w:val="99"/>
              </w:rPr>
              <w:t>June 30,</w:t>
            </w:r>
          </w:p>
        </w:tc>
        <w:tc>
          <w:tcPr>
            <w:tcW w:w="8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Quarter</w:t>
            </w:r>
          </w:p>
        </w:tc>
        <w:tc>
          <w:tcPr>
            <w:tcW w:w="980" w:type="dxa"/>
            <w:vAlign w:val="bottom"/>
          </w:tcPr>
          <w:p>
            <w:pPr>
              <w:jc w:val="right"/>
              <w:ind w:right="314"/>
              <w:spacing w:after="0"/>
              <w:rPr>
                <w:sz w:val="20"/>
                <w:szCs w:val="20"/>
                <w:color w:val="auto"/>
              </w:rPr>
            </w:pPr>
            <w:r>
              <w:rPr>
                <w:rFonts w:ascii="Arial" w:cs="Arial" w:eastAsia="Arial" w:hAnsi="Arial"/>
                <w:sz w:val="13"/>
                <w:szCs w:val="13"/>
                <w:b w:val="1"/>
                <w:bCs w:val="1"/>
                <w:color w:val="auto"/>
              </w:rPr>
              <w:t>Quarter</w:t>
            </w:r>
          </w:p>
        </w:tc>
        <w:tc>
          <w:tcPr>
            <w:tcW w:w="82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ber 30,</w:t>
            </w:r>
          </w:p>
        </w:tc>
        <w:tc>
          <w:tcPr>
            <w:tcW w:w="100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September</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ind w:right="274"/>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700" w:type="dxa"/>
            <w:vAlign w:val="bottom"/>
          </w:tcPr>
          <w:p>
            <w:pPr>
              <w:jc w:val="center"/>
              <w:ind w:right="21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3"/>
                <w:szCs w:val="13"/>
                <w:b w:val="1"/>
                <w:bCs w:val="1"/>
                <w:color w:val="auto"/>
              </w:rPr>
              <w:t>2023</w:t>
            </w:r>
          </w:p>
        </w:tc>
        <w:tc>
          <w:tcPr>
            <w:tcW w:w="880" w:type="dxa"/>
            <w:vAlign w:val="bottom"/>
          </w:tcPr>
          <w:p>
            <w:pPr>
              <w:jc w:val="center"/>
              <w:ind w:right="194"/>
              <w:spacing w:after="0"/>
              <w:rPr>
                <w:sz w:val="20"/>
                <w:szCs w:val="20"/>
                <w:color w:val="auto"/>
              </w:rPr>
            </w:pPr>
            <w:r>
              <w:rPr>
                <w:rFonts w:ascii="Arial" w:cs="Arial" w:eastAsia="Arial" w:hAnsi="Arial"/>
                <w:sz w:val="13"/>
                <w:szCs w:val="13"/>
                <w:b w:val="1"/>
                <w:bCs w:val="1"/>
                <w:color w:val="auto"/>
              </w:rPr>
              <w:t>2022</w:t>
            </w:r>
          </w:p>
        </w:tc>
        <w:tc>
          <w:tcPr>
            <w:tcW w:w="980" w:type="dxa"/>
            <w:vAlign w:val="bottom"/>
          </w:tcPr>
          <w:p>
            <w:pPr>
              <w:jc w:val="right"/>
              <w:ind w:right="414"/>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3"/>
                <w:szCs w:val="13"/>
                <w:b w:val="1"/>
                <w:bCs w:val="1"/>
                <w:color w:val="auto"/>
              </w:rPr>
              <w:t>30, 2022</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3"/>
                <w:szCs w:val="13"/>
                <w:color w:val="auto"/>
              </w:rPr>
              <w:t>(Dollars in thousands, except per share data)</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vMerge w:val="restart"/>
          </w:tcPr>
          <w:p>
            <w:pPr>
              <w:ind w:left="20"/>
              <w:spacing w:after="0"/>
              <w:rPr>
                <w:sz w:val="20"/>
                <w:szCs w:val="20"/>
                <w:color w:val="auto"/>
              </w:rPr>
            </w:pPr>
            <w:r>
              <w:rPr>
                <w:rFonts w:ascii="Arial" w:cs="Arial" w:eastAsia="Arial" w:hAnsi="Arial"/>
                <w:sz w:val="13"/>
                <w:szCs w:val="13"/>
                <w:color w:val="auto"/>
              </w:rPr>
              <w:t>Net operating income</w:t>
            </w:r>
          </w:p>
        </w:tc>
        <w:tc>
          <w:tcPr>
            <w:tcW w:w="44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3"/>
                <w:szCs w:val="13"/>
                <w:color w:val="auto"/>
              </w:rPr>
              <w:t>701,568</w:t>
            </w:r>
          </w:p>
        </w:tc>
        <w:tc>
          <w:tcPr>
            <w:tcW w:w="14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3"/>
                <w:szCs w:val="13"/>
                <w:color w:val="auto"/>
              </w:rPr>
              <w:t>700,030</w:t>
            </w:r>
          </w:p>
        </w:tc>
        <w:tc>
          <w:tcPr>
            <w:tcW w:w="12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878,661</w:t>
            </w:r>
          </w:p>
        </w:tc>
        <w:tc>
          <w:tcPr>
            <w:tcW w:w="880" w:type="dxa"/>
            <w:vAlign w:val="bottom"/>
          </w:tcPr>
          <w:p>
            <w:pPr>
              <w:spacing w:after="0"/>
              <w:rPr>
                <w:sz w:val="14"/>
                <w:szCs w:val="14"/>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-20 %</w:t>
            </w:r>
          </w:p>
        </w:tc>
        <w:tc>
          <w:tcPr>
            <w:tcW w:w="2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auto"/>
              </w:rPr>
              <w:t>2,295,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260" w:type="dxa"/>
            <w:vAlign w:val="bottom"/>
            <w:vMerge w:val="continue"/>
          </w:tcPr>
          <w:p>
            <w:pPr>
              <w:spacing w:after="0"/>
              <w:rPr>
                <w:sz w:val="7"/>
                <w:szCs w:val="7"/>
                <w:color w:val="auto"/>
              </w:rPr>
            </w:pPr>
          </w:p>
        </w:tc>
        <w:tc>
          <w:tcPr>
            <w:tcW w:w="44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680" w:type="dxa"/>
            <w:vAlign w:val="bottom"/>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continue"/>
          </w:tcPr>
          <w:p>
            <w:pPr>
              <w:spacing w:after="0"/>
              <w:rPr>
                <w:sz w:val="7"/>
                <w:szCs w:val="7"/>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3"/>
                <w:szCs w:val="13"/>
                <w:color w:val="auto"/>
              </w:rPr>
              <w:t>—</w:t>
            </w:r>
          </w:p>
        </w:tc>
        <w:tc>
          <w:tcPr>
            <w:tcW w:w="980" w:type="dxa"/>
            <w:vAlign w:val="bottom"/>
            <w:vMerge w:val="continue"/>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114"/>
              <w:spacing w:after="0"/>
              <w:rPr>
                <w:sz w:val="20"/>
                <w:szCs w:val="20"/>
                <w:color w:val="auto"/>
              </w:rPr>
            </w:pPr>
            <w:r>
              <w:rPr>
                <w:rFonts w:ascii="Arial" w:cs="Arial" w:eastAsia="Arial" w:hAnsi="Arial"/>
                <w:sz w:val="13"/>
                <w:szCs w:val="13"/>
                <w:color w:val="auto"/>
              </w:rPr>
              <w:t>164</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3"/>
                <w:szCs w:val="13"/>
                <w:color w:val="auto"/>
              </w:rPr>
              <w:t>1,653,651</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84"/>
        </w:trPr>
        <w:tc>
          <w:tcPr>
            <w:tcW w:w="3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60" w:type="dxa"/>
            <w:vAlign w:val="bottom"/>
          </w:tcPr>
          <w:p>
            <w:pPr>
              <w:ind w:left="20"/>
              <w:spacing w:after="0"/>
              <w:rPr>
                <w:sz w:val="20"/>
                <w:szCs w:val="20"/>
                <w:color w:val="auto"/>
              </w:rPr>
            </w:pPr>
            <w:r>
              <w:rPr>
                <w:rFonts w:ascii="Arial" w:cs="Arial" w:eastAsia="Arial" w:hAnsi="Arial"/>
                <w:sz w:val="13"/>
                <w:szCs w:val="13"/>
                <w:color w:val="auto"/>
              </w:rPr>
              <w:t>Diluted net operating earnings per common share</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4.05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4"/>
              <w:spacing w:after="0"/>
              <w:rPr>
                <w:sz w:val="20"/>
                <w:szCs w:val="20"/>
                <w:color w:val="auto"/>
              </w:rPr>
            </w:pPr>
            <w:r>
              <w:rPr>
                <w:rFonts w:ascii="Arial" w:cs="Arial" w:eastAsia="Arial" w:hAnsi="Arial"/>
                <w:sz w:val="13"/>
                <w:szCs w:val="13"/>
                <w:color w:val="auto"/>
              </w:rPr>
              <w:t>3.83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4"/>
              <w:spacing w:after="0"/>
              <w:rPr>
                <w:sz w:val="20"/>
                <w:szCs w:val="20"/>
                <w:color w:val="auto"/>
              </w:rPr>
            </w:pPr>
            <w:r>
              <w:rPr>
                <w:rFonts w:ascii="Arial" w:cs="Arial" w:eastAsia="Arial" w:hAnsi="Arial"/>
                <w:sz w:val="13"/>
                <w:szCs w:val="13"/>
                <w:color w:val="auto"/>
              </w:rPr>
              <w:t>5.12</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6 %</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-21 %</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13.26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4"/>
              <w:spacing w:after="0"/>
              <w:rPr>
                <w:sz w:val="20"/>
                <w:szCs w:val="20"/>
                <w:color w:val="auto"/>
              </w:rPr>
            </w:pPr>
            <w:r>
              <w:rPr>
                <w:rFonts w:ascii="Arial" w:cs="Arial" w:eastAsia="Arial" w:hAnsi="Arial"/>
                <w:sz w:val="13"/>
                <w:szCs w:val="13"/>
                <w:color w:val="auto"/>
              </w:rPr>
              <w:t>9.78</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85"/>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Annualized return on average tangible assets</w:t>
            </w:r>
          </w:p>
        </w:tc>
        <w:tc>
          <w:tcPr>
            <w:tcW w:w="4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1.41 %</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1.80 %</w:t>
            </w: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1.23 %</w:t>
            </w:r>
          </w:p>
        </w:tc>
        <w:tc>
          <w:tcPr>
            <w:tcW w:w="7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20"/>
              <w:spacing w:after="0"/>
              <w:rPr>
                <w:sz w:val="20"/>
                <w:szCs w:val="20"/>
                <w:color w:val="auto"/>
              </w:rPr>
            </w:pPr>
            <w:r>
              <w:rPr>
                <w:rFonts w:ascii="Arial" w:cs="Arial" w:eastAsia="Arial" w:hAnsi="Arial"/>
                <w:sz w:val="13"/>
                <w:szCs w:val="13"/>
                <w:color w:val="auto"/>
              </w:rPr>
              <w:t>Annualized return on average tangible common</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120"/>
              <w:spacing w:after="0"/>
              <w:rPr>
                <w:sz w:val="20"/>
                <w:szCs w:val="20"/>
                <w:color w:val="auto"/>
              </w:rPr>
            </w:pPr>
            <w:r>
              <w:rPr>
                <w:rFonts w:ascii="Arial" w:cs="Arial" w:eastAsia="Arial" w:hAnsi="Arial"/>
                <w:sz w:val="13"/>
                <w:szCs w:val="13"/>
                <w:color w:val="auto"/>
              </w:rPr>
              <w:t>equity</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17.41 %</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17.89 %</w:t>
            </w:r>
          </w:p>
        </w:tc>
        <w:tc>
          <w:tcPr>
            <w:tcW w:w="12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22.73 %</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19.70 %</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15.13 %</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Efficiency ratio</w:t>
            </w:r>
          </w:p>
        </w:tc>
        <w:tc>
          <w:tcPr>
            <w:tcW w:w="4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53.7 %</w:t>
            </w: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48.9 %</w:t>
            </w:r>
          </w:p>
        </w:tc>
        <w:tc>
          <w:tcPr>
            <w:tcW w:w="8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58.1 %</w:t>
            </w:r>
          </w:p>
        </w:tc>
        <w:tc>
          <w:tcPr>
            <w:tcW w:w="7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3"/>
                <w:szCs w:val="13"/>
                <w:color w:val="auto"/>
              </w:rPr>
              <w:t>Tangible equity per common share (a)</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93.99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14"/>
              <w:spacing w:after="0"/>
              <w:rPr>
                <w:sz w:val="20"/>
                <w:szCs w:val="20"/>
                <w:color w:val="auto"/>
              </w:rPr>
            </w:pPr>
            <w:r>
              <w:rPr>
                <w:rFonts w:ascii="Arial" w:cs="Arial" w:eastAsia="Arial" w:hAnsi="Arial"/>
                <w:sz w:val="13"/>
                <w:szCs w:val="13"/>
                <w:color w:val="auto"/>
              </w:rPr>
              <w:t>84.28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4"/>
              <w:spacing w:after="0"/>
              <w:rPr>
                <w:sz w:val="20"/>
                <w:szCs w:val="20"/>
                <w:color w:val="auto"/>
              </w:rPr>
            </w:pPr>
            <w:r>
              <w:rPr>
                <w:rFonts w:ascii="Arial" w:cs="Arial" w:eastAsia="Arial" w:hAnsi="Arial"/>
                <w:sz w:val="13"/>
                <w:szCs w:val="13"/>
                <w:color w:val="auto"/>
              </w:rPr>
              <w:t>91.58</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12 %</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3 %</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-876935</wp:posOffset>
            </wp:positionV>
            <wp:extent cx="6707505" cy="2133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213360"/>
                    </a:xfrm>
                    <a:prstGeom prst="rect">
                      <a:avLst/>
                    </a:prstGeom>
                    <a:noFill/>
                  </pic:spPr>
                </pic:pic>
              </a:graphicData>
            </a:graphic>
          </wp:anchor>
        </w:drawing>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(a) At the period end.</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1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Interest income earned on certain of the Company's assets is exempt from federal income tax. Taxable-equivalent net interest income is a non-GAAP measure that adjusts income earned on a tax-exempt asset to present it on an equivalent basis to interest income earned on a fully taxable asset.</w:t>
      </w:r>
    </w:p>
    <w:p>
      <w:pPr>
        <w:spacing w:after="0" w:line="64" w:lineRule="exact"/>
        <w:rPr>
          <w:sz w:val="20"/>
          <w:szCs w:val="20"/>
          <w:color w:val="auto"/>
        </w:rPr>
      </w:pPr>
    </w:p>
    <w:p>
      <w:pPr>
        <w:ind w:right="60" w:firstLine="468"/>
        <w:spacing w:after="0" w:line="252" w:lineRule="auto"/>
        <w:rPr>
          <w:sz w:val="20"/>
          <w:szCs w:val="20"/>
          <w:color w:val="auto"/>
        </w:rPr>
      </w:pPr>
      <w:r>
        <w:rPr>
          <w:rFonts w:ascii="Arial" w:cs="Arial" w:eastAsia="Arial" w:hAnsi="Arial"/>
          <w:sz w:val="18"/>
          <w:szCs w:val="18"/>
          <w:color w:val="auto"/>
        </w:rPr>
        <w:t>Expressed on a taxable-equivalent basis net interest income increased $ 99 million to $1.79 billion in the third quarter of 2023 from $1.69 billion in the year-earlier quarter. That increase reflects an 11 basis point (hundredths of one percent) expansion of the net interest margin, or taxable-equivalent net interest income expressed as an annualized percentage of average earning assets, to 3.79% in the recent quarter from 3.68% in the year-earlier quarter. The higher net interest margin was influenced by a rising interest rate environment resulting from actions taken by the Federal Reserve to mitigate inflationary pressures on the U.S. economy. The FOMC raised its target federal funds rate through multiple hikes totaling 5.25% from March 2022 through September 2023, which led to higher yields on loans, deposits at the FRB of New York and investment securities, partially offset by higher rates paid on interest-bearing deposits and borrowings. Taxable-equivalent net interest income in the recent quarter declined from $1.81 billion in the second quarter of 2023 reflecting a 12 basis point narrowing of the net interest margin from 3.91% in the second quarter of 2023, as a rise in the cost of interest-bearing liabilities outpaced the increase in yields on earning assets. Interest-bearing liabilities in the recent quarter increased $3.1 billion to $121.4 billion, compared with $118.3 billion in the second quarter of 2023. Average earning assets increased $1.5 billion to $187.4 billion in the recent quarter from $185.9 billion in 2023's second quarter.</w:t>
      </w:r>
    </w:p>
    <w:p>
      <w:pPr>
        <w:spacing w:after="0" w:line="81" w:lineRule="exact"/>
        <w:rPr>
          <w:sz w:val="20"/>
          <w:szCs w:val="20"/>
          <w:color w:val="auto"/>
        </w:rPr>
      </w:pPr>
    </w:p>
    <w:p>
      <w:pPr>
        <w:ind w:right="180" w:firstLine="468"/>
        <w:spacing w:after="0" w:line="254" w:lineRule="auto"/>
        <w:rPr>
          <w:sz w:val="20"/>
          <w:szCs w:val="20"/>
          <w:color w:val="auto"/>
        </w:rPr>
      </w:pPr>
      <w:r>
        <w:rPr>
          <w:rFonts w:ascii="Arial" w:cs="Arial" w:eastAsia="Arial" w:hAnsi="Arial"/>
          <w:sz w:val="18"/>
          <w:szCs w:val="18"/>
          <w:color w:val="auto"/>
        </w:rPr>
        <w:t>For the first nine months of 2023, taxable-equivalent net interest income was $ 5.43 billion, up from $4.02 billion recognized in the corresponding 2022 period. The increase was primarily attributable to the higher level of average earning assets and a 76 basis point expansion of the net interest margin to 3.91% in the 2023 period from 3.15% in the year-earlier period, partially offset by an increase in average interest-bearing liabilities. The increase in average earning assets in the first nine months of 2023 includes the impact of one additional quarter from earning assets obtained in the People's United transaction on April 1, 2022, commercial loan growth and purchases of investment securities, partially offset by lower deposits at the FRB of New York. The increase in average interest-bearing liabilities reflects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009" w:right="640" w:bottom="1440" w:gutter="0" w:footer="0" w:header="0"/>
        </w:sectPr>
      </w:pPr>
    </w:p>
    <w:bookmarkStart w:id="53" w:name="page54"/>
    <w:bookmarkEnd w:id="53"/>
    <w:p>
      <w:pPr>
        <w:ind w:right="180"/>
        <w:spacing w:after="0" w:line="275" w:lineRule="auto"/>
        <w:rPr>
          <w:sz w:val="20"/>
          <w:szCs w:val="20"/>
          <w:color w:val="auto"/>
        </w:rPr>
      </w:pPr>
      <w:r>
        <w:rPr>
          <w:rFonts w:ascii="Arial" w:cs="Arial" w:eastAsia="Arial" w:hAnsi="Arial"/>
          <w:sz w:val="18"/>
          <w:szCs w:val="18"/>
          <w:color w:val="auto"/>
        </w:rPr>
        <w:t>interest-bearing liabilities assumed in the People's United acquisition and a continued shift in customer deposits toward higher cost interest-bearing products, including time deposits, and higher average borrowings.</w:t>
      </w:r>
    </w:p>
    <w:p>
      <w:pPr>
        <w:spacing w:after="0" w:line="54" w:lineRule="exact"/>
        <w:rPr>
          <w:sz w:val="20"/>
          <w:szCs w:val="20"/>
          <w:color w:val="auto"/>
        </w:rPr>
      </w:pPr>
    </w:p>
    <w:p>
      <w:pPr>
        <w:ind w:right="60" w:firstLine="468"/>
        <w:spacing w:after="0" w:line="255" w:lineRule="auto"/>
        <w:rPr>
          <w:sz w:val="20"/>
          <w:szCs w:val="20"/>
          <w:color w:val="auto"/>
        </w:rPr>
      </w:pPr>
      <w:r>
        <w:rPr>
          <w:rFonts w:ascii="Arial" w:cs="Arial" w:eastAsia="Arial" w:hAnsi="Arial"/>
          <w:sz w:val="18"/>
          <w:szCs w:val="18"/>
          <w:color w:val="auto"/>
        </w:rPr>
        <w:t>Average loans and leases totaled $132.6 billion in the third quarter of 2023, up $5.1 billion or 4% from $127.5 billion in the similar quarter of 2022. Commercial loans and leases averaged $44.6 billion in the recent quarter, up $6.3 billion or 16% from $38.3 billion in the year-earlier quarter. That increase predominantly reflects growth in loans to financial and insurance industry customers and loans to motor -vehicle and recreational finance dealers. Average commercial real estate loans decreased $2.1 billion or 4% to $44.2 billion in the third quarter of 2023 from $46.3 billion in the year-earlier quarter. That decrease reflects declines of $1.3 billion in average construction loans and $773 million in average permanent commercial real estate loans.</w:t>
      </w:r>
    </w:p>
    <w:p>
      <w:pPr>
        <w:spacing w:after="0" w:line="73" w:lineRule="exact"/>
        <w:rPr>
          <w:sz w:val="20"/>
          <w:szCs w:val="20"/>
          <w:color w:val="auto"/>
        </w:rPr>
      </w:pPr>
    </w:p>
    <w:p>
      <w:pPr>
        <w:ind w:right="40" w:firstLine="468"/>
        <w:spacing w:after="0" w:line="254" w:lineRule="auto"/>
        <w:rPr>
          <w:sz w:val="20"/>
          <w:szCs w:val="20"/>
          <w:color w:val="auto"/>
        </w:rPr>
      </w:pPr>
      <w:r>
        <w:rPr>
          <w:rFonts w:ascii="Arial" w:cs="Arial" w:eastAsia="Arial" w:hAnsi="Arial"/>
          <w:sz w:val="18"/>
          <w:szCs w:val="18"/>
          <w:color w:val="auto"/>
        </w:rPr>
        <w:t>Average residential real estate loans increased $610 million or 3% to $23.6 billion in the third quarter of 2023 from $23.0 billion in the year- earlier quarter. Throughout 2022, M&amp;T retained rather than sold most originated residential mortgage loans. M&amp;T returned to originating for sale the majority of its newly committed residential mortgage loans in the first quarter of 2023. Consumer loans averaged $20.2 billion in the third quarter of 2023, up $229 million or 1% from $20.0 billion in the year -earlier quarter. That growth reflected higher average balances of $719 million and $157 million in M&amp;T's portfolio of recreational finance loans and credit cards, respectively, partially offset by declines of $384 million and $335 million in average balances of automobile loans and home equity loans and lines of credit, respectively.</w:t>
      </w:r>
    </w:p>
    <w:p>
      <w:pPr>
        <w:spacing w:after="0" w:line="75"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Average loan and lease balances in the third quarter of 2023 decreased $ 928 million from $133.5 billion in the second quarter of 2023. The lower balances resulted predominantly from a $ 714 million decline in average commercial real estate loans from $44.9 billion in the second quarter of 2023, partially offset by a $ 94 million increase in average commercial loans and leases from $44.5 billion in the second quarter of 2023. Average balances of residential real estate loans in 2023's third quarter declined $208 million from $23.8 billion in the second quarter of 2023. Average consumer loans in the recent quarter decreased less than one percent from the second quarter of 2023 reflecting a lower average balance of automobile loans, partially offset by a higher average balance of recreational finance loans. The accompanying table summarizes quarterly changes in the major components of the loan and lease portfolio.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900"/>
              <w:spacing w:after="0"/>
              <w:rPr>
                <w:sz w:val="20"/>
                <w:szCs w:val="20"/>
                <w:color w:val="auto"/>
              </w:rPr>
            </w:pPr>
            <w:r>
              <w:rPr>
                <w:rFonts w:ascii="Arial" w:cs="Arial" w:eastAsia="Arial" w:hAnsi="Arial"/>
                <w:sz w:val="13"/>
                <w:szCs w:val="13"/>
                <w:b w:val="1"/>
                <w:bCs w:val="1"/>
                <w:color w:val="auto"/>
              </w:rPr>
              <w:t>Percent Change</w:t>
            </w: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96"/>
              </w:rPr>
              <w:t>from</w:t>
            </w: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Second</w:t>
            </w:r>
          </w:p>
        </w:tc>
        <w:tc>
          <w:tcPr>
            <w:tcW w:w="0" w:type="dxa"/>
            <w:vAlign w:val="bottom"/>
          </w:tcPr>
          <w:p>
            <w:pPr>
              <w:spacing w:after="0"/>
              <w:rPr>
                <w:sz w:val="1"/>
                <w:szCs w:val="1"/>
                <w:color w:val="auto"/>
              </w:rPr>
            </w:pPr>
          </w:p>
        </w:tc>
      </w:tr>
      <w:tr>
        <w:trPr>
          <w:trHeight w:val="153"/>
        </w:trPr>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5"/>
              <w:spacing w:after="0"/>
              <w:rPr>
                <w:sz w:val="20"/>
                <w:szCs w:val="20"/>
                <w:color w:val="auto"/>
              </w:rPr>
            </w:pPr>
            <w:r>
              <w:rPr>
                <w:rFonts w:ascii="Arial" w:cs="Arial" w:eastAsia="Arial" w:hAnsi="Arial"/>
                <w:sz w:val="13"/>
                <w:szCs w:val="13"/>
                <w:b w:val="1"/>
                <w:bCs w:val="1"/>
                <w:color w:val="auto"/>
              </w:rPr>
              <w:t>Third Quarter</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Third Quarter</w:t>
            </w:r>
          </w:p>
        </w:tc>
        <w:tc>
          <w:tcPr>
            <w:tcW w:w="3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5"/>
              <w:spacing w:after="0"/>
              <w:rPr>
                <w:sz w:val="20"/>
                <w:szCs w:val="20"/>
                <w:color w:val="auto"/>
              </w:rPr>
            </w:pPr>
            <w:r>
              <w:rPr>
                <w:rFonts w:ascii="Arial" w:cs="Arial" w:eastAsia="Arial" w:hAnsi="Arial"/>
                <w:sz w:val="13"/>
                <w:szCs w:val="13"/>
                <w:b w:val="1"/>
                <w:bCs w:val="1"/>
                <w:color w:val="auto"/>
                <w:w w:val="96"/>
              </w:rPr>
              <w:t>2023</w:t>
            </w:r>
          </w:p>
        </w:tc>
        <w:tc>
          <w:tcPr>
            <w:tcW w:w="118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85"/>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financial, etc.</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44,625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color w:val="auto"/>
              </w:rPr>
              <w:t>Real estate — commercial</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44,230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 — consumer</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23,573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Recreational finance</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lines and loans</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consumer</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6640" w:type="dxa"/>
            <w:vAlign w:val="bottom"/>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132,617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line="20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For the first nine months of 2023, average loans and leases totaled $132.7 billion, up 15%, from $115.9 billion in the corresponding 2022 period. Loans obtained in the People's United acquisition and growth in commercial and consumer real estate loans were the predominant reasons for that increase, partially offset by lower average balances of commercial real estate loans and PPP loans.</w:t>
      </w:r>
    </w:p>
    <w:p>
      <w:pPr>
        <w:spacing w:after="0" w:line="67" w:lineRule="exact"/>
        <w:rPr>
          <w:sz w:val="20"/>
          <w:szCs w:val="20"/>
          <w:color w:val="auto"/>
        </w:rPr>
      </w:pPr>
    </w:p>
    <w:p>
      <w:pPr>
        <w:ind w:right="40" w:firstLine="468"/>
        <w:spacing w:after="0" w:line="263" w:lineRule="auto"/>
        <w:rPr>
          <w:sz w:val="20"/>
          <w:szCs w:val="20"/>
          <w:color w:val="auto"/>
        </w:rPr>
      </w:pPr>
      <w:r>
        <w:rPr>
          <w:rFonts w:ascii="Arial" w:cs="Arial" w:eastAsia="Arial" w:hAnsi="Arial"/>
          <w:sz w:val="18"/>
          <w:szCs w:val="18"/>
          <w:color w:val="auto"/>
        </w:rPr>
        <w:t>The investment securities portfolio averaged $28.0 billion in the third quarter of 2023, up $4.0 billion from $23.9 billion in the third quarter of 2022 and $630 million lower than the $28.6 billion averaged in 2023's second quarter. The higher average balance in the recent quarter when compared with the year-earlier quarter reflects the purchase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4" w:name="page55"/>
    <w:bookmarkEnd w:id="54"/>
    <w:p>
      <w:pPr>
        <w:ind w:right="80"/>
        <w:spacing w:after="0" w:line="253" w:lineRule="auto"/>
        <w:rPr>
          <w:sz w:val="20"/>
          <w:szCs w:val="20"/>
          <w:color w:val="auto"/>
        </w:rPr>
      </w:pPr>
      <w:r>
        <w:rPr>
          <w:rFonts w:ascii="Arial" w:cs="Arial" w:eastAsia="Arial" w:hAnsi="Arial"/>
          <w:sz w:val="18"/>
          <w:szCs w:val="18"/>
          <w:color w:val="auto"/>
        </w:rPr>
        <w:t>$4.4 billion of investment securities during the twelve- month period ended September 30, 2023. Those purchases were predominantly fixed rate mortgage-backed securities. As compared with the second quarter of 2023 the decrease relates to pay downs of fixed rate mortgage-backed securities. For the first nine months of 2023 and 2022, investment securities averaged $28.1 billion and $18.1 billion, respectively. In addition to the purchases described herein, $11.6 billion of investment securities obtained in the acquisition of People's United on April 1, 2022 contributed to the increase in average investment securities during the first nine months of 2023 as compared with the first nine months of 2022. There were no significant sales of investment securities during the nine months ended September 30, 2023 and 2022. The Company routinely has increases and decreases in its holdings of capital stock of the FHLB of New York and the FRB of New York. Those holdings are accounted for at cost and are adjusted based on amounts of outstanding borrowings and available lines of credit with those entities.</w:t>
      </w:r>
    </w:p>
    <w:p>
      <w:pPr>
        <w:spacing w:after="0" w:line="77" w:lineRule="exact"/>
        <w:rPr>
          <w:sz w:val="20"/>
          <w:szCs w:val="20"/>
          <w:color w:val="auto"/>
        </w:rPr>
      </w:pPr>
    </w:p>
    <w:p>
      <w:pPr>
        <w:ind w:right="20" w:firstLine="468"/>
        <w:spacing w:after="0" w:line="270" w:lineRule="auto"/>
        <w:rPr>
          <w:sz w:val="20"/>
          <w:szCs w:val="20"/>
          <w:color w:val="auto"/>
        </w:rPr>
      </w:pPr>
      <w:r>
        <w:rPr>
          <w:rFonts w:ascii="Arial" w:cs="Arial" w:eastAsia="Arial" w:hAnsi="Arial"/>
          <w:sz w:val="17"/>
          <w:szCs w:val="17"/>
          <w:color w:val="auto"/>
        </w:rPr>
        <w:t>The investment securities portfolio is largely comprised of residential mortgage-backed securities and shorter-term U.S. Treasury and federal agency notes, but also includes municipal securities and commercial real estate mortgage -backed securities.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61" w:lineRule="exact"/>
        <w:rPr>
          <w:sz w:val="20"/>
          <w:szCs w:val="20"/>
          <w:color w:val="auto"/>
        </w:rPr>
      </w:pPr>
    </w:p>
    <w:p>
      <w:pPr>
        <w:jc w:val="both"/>
        <w:ind w:right="220" w:firstLine="468"/>
        <w:spacing w:after="0" w:line="263" w:lineRule="auto"/>
        <w:rPr>
          <w:sz w:val="20"/>
          <w:szCs w:val="20"/>
          <w:color w:val="auto"/>
        </w:rPr>
      </w:pPr>
      <w:r>
        <w:rPr>
          <w:rFonts w:ascii="Arial" w:cs="Arial" w:eastAsia="Arial" w:hAnsi="Arial"/>
          <w:sz w:val="18"/>
          <w:szCs w:val="18"/>
          <w:color w:val="auto"/>
        </w:rPr>
        <w:t>Fair value changes in equity securities with readily determinable fair values are recognized in the Consolidated Statement of Income. Net unrealized gains and losses on such equity securities were not significant in each of the first nine months of 2023 and 2022.</w:t>
      </w:r>
    </w:p>
    <w:p>
      <w:pPr>
        <w:spacing w:after="0" w:line="64" w:lineRule="exact"/>
        <w:rPr>
          <w:sz w:val="20"/>
          <w:szCs w:val="20"/>
          <w:color w:val="auto"/>
        </w:rPr>
      </w:pPr>
    </w:p>
    <w:p>
      <w:pPr>
        <w:ind w:right="200" w:firstLine="468"/>
        <w:spacing w:after="0" w:line="255" w:lineRule="auto"/>
        <w:rPr>
          <w:sz w:val="20"/>
          <w:szCs w:val="20"/>
          <w:color w:val="auto"/>
        </w:rPr>
      </w:pPr>
      <w:r>
        <w:rPr>
          <w:rFonts w:ascii="Arial" w:cs="Arial" w:eastAsia="Arial" w:hAnsi="Arial"/>
          <w:sz w:val="18"/>
          <w:szCs w:val="18"/>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nine months ended September 30, 2023 or 2022. Based on management’s assessment of future cash flows associated with individual investment securities as of September 30, 2023, the Company did not expect to incur any material credit-related losses in its portfolios of debt investment securities. Additional information about the investment securities portfolio is included in notes 3 and 12 of Notes to Financial Statements.</w:t>
      </w:r>
    </w:p>
    <w:p>
      <w:pPr>
        <w:spacing w:after="0" w:line="73"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Other earning assets include interest-bearing deposits at banks, trading account assets, federal funds sold and agreements to resell securities. Those other earning assets in the aggregate averaged $26.8 billion in the recently completed quarter, compared with $30.9 billion in the year-earlier quarter and $23.8 billion in the second quarter of 2023. Interest-bearing deposits at banks averaged $26.7 billion, $30.8 billion and $23.6 billion during the three months ended September 30, 2023, September 30, 2022 and June 30, 2023, respectively. The amounts of interest-bearing deposits at banks at those respective dates were predominantly comprised of deposits held at the FRB of New York. In general, the amount of deposits held at the FRB of New York is influenced by the Company's liquidity and interest rate management activities and fluctuates with changes in levels of the Company's investments, loans, deposits and other borrowings. The lower balance in the recent quarter compared with the year-earlier quarter reflects loan portfolio growth, the purchases of investment securities and treasury stock in the fourth quarter of 2022 and first quarter of 2023 and a decline in noninterest bearing deposits, partially offset by the issuance of long-term debt in the first quarter of 2023 and other short-term borrowings, and an increase in time deposits. As compared with the second quarter of 2023, the higher balance reflects increased liquidity from a rise in average deposits, partially offset by lower average loans and leases and a decline in average investment securities balances.</w:t>
      </w:r>
    </w:p>
    <w:p>
      <w:pPr>
        <w:spacing w:after="0" w:line="79" w:lineRule="exact"/>
        <w:rPr>
          <w:sz w:val="20"/>
          <w:szCs w:val="20"/>
          <w:color w:val="auto"/>
        </w:rPr>
      </w:pPr>
    </w:p>
    <w:p>
      <w:pPr>
        <w:ind w:right="280" w:firstLine="468"/>
        <w:spacing w:after="0" w:line="263" w:lineRule="auto"/>
        <w:rPr>
          <w:sz w:val="20"/>
          <w:szCs w:val="20"/>
          <w:color w:val="auto"/>
        </w:rPr>
      </w:pPr>
      <w:r>
        <w:rPr>
          <w:rFonts w:ascii="Arial" w:cs="Arial" w:eastAsia="Arial" w:hAnsi="Arial"/>
          <w:sz w:val="18"/>
          <w:szCs w:val="18"/>
          <w:color w:val="auto"/>
        </w:rPr>
        <w:t>As a result of the changes described herein, average earning assets totaled $187.4 billion in the most recent quarter, compared with $182.4 billion in the third quarter of 2022 and $185.9 billion in the second quarter of 2023. Average earning assets totaled $185.8 billion and $170.4 billion during the first nine months of 2023 and 2022,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5" w:name="page56"/>
    <w:bookmarkEnd w:id="55"/>
    <w:p>
      <w:pPr>
        <w:ind w:right="20" w:firstLine="468"/>
        <w:spacing w:after="0" w:line="25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$147.3 billion in the third quarter of 2023, compared with $162.8 billion in the similar 2022 quarter and $146.8 billion in the second quarter of 2023. The decrease in average core deposits in the recent quarter as compared with the year- earlier quarter was primarily the result of monetary tightening that influenced customers to seek higher rate alternatives, including a shift from operating demand accounts to off-balance sheet sweep accounts for commercial customers. Lower levels of activity in the capital markets also resulted in a reduction of trust demand deposits. As compared with the second quarter of 2023, the modest increase in average core deposits reflects the Company's focus on retaining and growing customer deposits, including targeted promotions in competitive markets. The following table provides an analysis of quarterly changes in the components of average core deposits.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46"/>
              <w:spacing w:after="0"/>
              <w:rPr>
                <w:sz w:val="20"/>
                <w:szCs w:val="20"/>
                <w:color w:val="auto"/>
              </w:rPr>
            </w:pPr>
            <w:r>
              <w:rPr>
                <w:rFonts w:ascii="Arial" w:cs="Arial" w:eastAsia="Arial" w:hAnsi="Arial"/>
                <w:sz w:val="13"/>
                <w:szCs w:val="13"/>
                <w:b w:val="1"/>
                <w:bCs w:val="1"/>
                <w:color w:val="auto"/>
              </w:rPr>
              <w:t>Percent Change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center"/>
              <w:ind w:right="87"/>
              <w:spacing w:after="0"/>
              <w:rPr>
                <w:sz w:val="20"/>
                <w:szCs w:val="20"/>
                <w:color w:val="auto"/>
              </w:rPr>
            </w:pPr>
            <w:r>
              <w:rPr>
                <w:rFonts w:ascii="Arial" w:cs="Arial" w:eastAsia="Arial" w:hAnsi="Arial"/>
                <w:sz w:val="13"/>
                <w:szCs w:val="13"/>
                <w:b w:val="1"/>
                <w:bCs w:val="1"/>
                <w:color w:val="auto"/>
              </w:rPr>
              <w:t>Third Quarter</w:t>
            </w:r>
          </w:p>
        </w:tc>
        <w:tc>
          <w:tcPr>
            <w:tcW w:w="220" w:type="dxa"/>
            <w:vAlign w:val="bottom"/>
          </w:tcPr>
          <w:p>
            <w:pPr>
              <w:spacing w:after="0"/>
              <w:rPr>
                <w:sz w:val="15"/>
                <w:szCs w:val="15"/>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Third Quarter</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6"/>
              </w:rPr>
              <w:t>from</w:t>
            </w:r>
          </w:p>
        </w:tc>
        <w:tc>
          <w:tcPr>
            <w:tcW w:w="114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Second Quarter</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7"/>
              <w:spacing w:after="0"/>
              <w:rPr>
                <w:sz w:val="20"/>
                <w:szCs w:val="20"/>
                <w:color w:val="auto"/>
              </w:rPr>
            </w:pPr>
            <w:r>
              <w:rPr>
                <w:rFonts w:ascii="Arial" w:cs="Arial" w:eastAsia="Arial" w:hAnsi="Arial"/>
                <w:sz w:val="13"/>
                <w:szCs w:val="13"/>
                <w:b w:val="1"/>
                <w:bCs w:val="1"/>
                <w:color w:val="auto"/>
              </w:rPr>
              <w:t>2023</w:t>
            </w:r>
          </w:p>
        </w:tc>
        <w:tc>
          <w:tcPr>
            <w:tcW w:w="1400" w:type="dxa"/>
            <w:vAlign w:val="bottom"/>
            <w:gridSpan w:val="2"/>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346"/>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07"/>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Savings and interest-checking deposits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84,720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6"/>
                <w:szCs w:val="16"/>
                <w:color w:val="auto"/>
              </w:rPr>
              <w:t>Time deposits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8,695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53,886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147,301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60" w:firstLine="468"/>
        <w:spacing w:after="0" w:line="252" w:lineRule="auto"/>
        <w:rPr>
          <w:sz w:val="20"/>
          <w:szCs w:val="20"/>
          <w:color w:val="auto"/>
        </w:rPr>
      </w:pPr>
      <w:r>
        <w:rPr>
          <w:rFonts w:ascii="Arial" w:cs="Arial" w:eastAsia="Arial" w:hAnsi="Arial"/>
          <w:sz w:val="18"/>
          <w:szCs w:val="18"/>
          <w:color w:val="auto"/>
        </w:rPr>
        <w:t>The Company also receives funding from other deposit sources, including branch-related time deposits over $250,000 and brokered deposits. Time deposits over $250,000 averaged $2.4 billion in the recent quarter, compared with $ 681 million in the third quarter of 2022 and $2.0 billion in the second quarter of 2023. The increase in such deposits in the two most recent quarters as compared with the third quarter of 2022 reflects higher demand for time deposit products in a rising interest rate environment. The Company had brokered savings and interest- bearing transaction accounts that averaged $4.6 billion during the recent quarter and $3.8 billion in each of the year-earlier quarter and the second quarter of 2023. Brokered time deposits averaged $8.4 billion in the third quarter of 2023 compared with $55 million in the third quarter of 2022 and $ 6.9 billion in the second quarter of 2023. The increase in such deposits from the third quarter of 2022 reflected the Company's liquidity management and funding strategies during a period of rising interest rates and was predominantly due to deposits added late in the fourth quarter of 2022 and through the second quarter of 2023. Additional brokered deposits may be solicited in the future depending on market conditions, including demand by customers and other investors for those deposits, and the cost of funds available from alternative sources at the time. Total uninsured deposits were estimated to be $68.8 billion at September 30, 2023, compared with $67.0 billion at June 30, 2023, $74.2 billion at December 31, 2022 and $74.7 billion at September 30, 2022. Approximately $11.3 billion, $10.5 billion, $11.4 billion and $13.1 billion of those uninsured deposits were collateralized by the Company at September 30, 2023, June 30, 2023, December 31, 2022 and September 30, 2022,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6" w:name="page57"/>
    <w:bookmarkEnd w:id="56"/>
    <w:p>
      <w:pPr>
        <w:ind w:right="260" w:firstLine="432"/>
        <w:spacing w:after="0" w:line="275" w:lineRule="auto"/>
        <w:rPr>
          <w:sz w:val="20"/>
          <w:szCs w:val="20"/>
          <w:color w:val="auto"/>
        </w:rPr>
      </w:pPr>
      <w:r>
        <w:rPr>
          <w:rFonts w:ascii="Arial" w:cs="Arial" w:eastAsia="Arial" w:hAnsi="Arial"/>
          <w:sz w:val="18"/>
          <w:szCs w:val="18"/>
          <w:color w:val="auto"/>
        </w:rPr>
        <w:t>The accompanying table summarizes average total deposits for the quarters ended September 30, 2023, June 30, 2023 and September 30, 2022.</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AVERAGE DEPOSITS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14"/>
              <w:spacing w:after="0"/>
              <w:rPr>
                <w:sz w:val="20"/>
                <w:szCs w:val="20"/>
                <w:color w:val="auto"/>
              </w:rPr>
            </w:pPr>
            <w:r>
              <w:rPr>
                <w:rFonts w:ascii="Arial" w:cs="Arial" w:eastAsia="Arial" w:hAnsi="Arial"/>
                <w:sz w:val="13"/>
                <w:szCs w:val="13"/>
                <w:b w:val="1"/>
                <w:bCs w:val="1"/>
                <w:color w:val="auto"/>
              </w:rPr>
              <w:t>Commercial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3"/>
                <w:szCs w:val="13"/>
                <w:b w:val="1"/>
                <w:bCs w:val="1"/>
                <w:color w:val="auto"/>
              </w:rPr>
              <w:t>Retail</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3"/>
                <w:szCs w:val="13"/>
                <w:b w:val="1"/>
                <w:bCs w:val="1"/>
                <w:color w:val="auto"/>
              </w:rPr>
              <w:t>Trust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Arial" w:cs="Arial" w:eastAsia="Arial" w:hAnsi="Arial"/>
                <w:sz w:val="13"/>
                <w:szCs w:val="13"/>
                <w:b w:val="1"/>
                <w:bCs w:val="1"/>
                <w:color w:val="auto"/>
              </w:rPr>
              <w:t>and Other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50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2023</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854"/>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Savings and interest-checking deposits</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41,863</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41,241</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Time deposits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10,501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8,977</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19,528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Noninterest-bearing deposits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13,676</w:t>
            </w: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8,799</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31,411</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53,886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66,040</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15,019</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81,629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162,688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Three Months Ended June 30, 2023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Savings and interest-checking deposits</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43,576</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6,322</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37,312</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Time deposits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8,548</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7,445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Noninterest-bearing deposits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14,579</w:t>
            </w: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9,269</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32,332</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56,180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66,703</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15,607</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77,089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159,399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Three Months Ended September 30, 2022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0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Savings and interest-checking deposits</w:t>
            </w: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51,196</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7,008</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31,156</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Time deposits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4,607</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431</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Noninterest-bearing deposits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14,414</w:t>
            </w:r>
          </w:p>
        </w:tc>
        <w:tc>
          <w:tcPr>
            <w:tcW w:w="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10,927</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47,520</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72,861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gridSpan w:val="4"/>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70,217</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17,947</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79,107</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167,271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The Company also uses borrowings from banks, the FHLB of New York, the FRB of New York and others as sources of funding. Short -term borrowings represent borrowing arrangements that at the time they were entered into had a contractual maturity of one year or less. Average short-term borrowings totaled $5.3 billion in the third quarter of 2023, compared with $913 million in the year-earlier quarter and $ 7.5 billion in the second quarter of 2023. Short- term borrowings assumed in connection with the People's United acquisition totaled $895 million on April 1, 2022. In October 2022 M&amp;T redeemed $500 million of unsecured senior notes due to mature in December 2022 that had been assumed in the acquisition of People's United and included in short-term borrowings. In general, the higher levels of short-term borrowings in the third and second quarters of 2023 as compared with the year -earlier quarter reflect the Company's management of liquidity. The $2.2 billion decline in average short-term borrowings in the recent quarter as compared with the second quarter of 2023 was coincident with an increase in comparatively lower cost average brokered deposits described herein.</w:t>
      </w:r>
    </w:p>
    <w:p>
      <w:pPr>
        <w:spacing w:after="0" w:line="75" w:lineRule="exact"/>
        <w:rPr>
          <w:sz w:val="20"/>
          <w:szCs w:val="20"/>
          <w:color w:val="auto"/>
        </w:rPr>
      </w:pPr>
    </w:p>
    <w:p>
      <w:pPr>
        <w:ind w:right="240" w:firstLine="468"/>
        <w:spacing w:after="0" w:line="270" w:lineRule="auto"/>
        <w:rPr>
          <w:sz w:val="20"/>
          <w:szCs w:val="20"/>
          <w:color w:val="auto"/>
        </w:rPr>
      </w:pPr>
      <w:r>
        <w:rPr>
          <w:rFonts w:ascii="Arial" w:cs="Arial" w:eastAsia="Arial" w:hAnsi="Arial"/>
          <w:sz w:val="17"/>
          <w:szCs w:val="17"/>
          <w:color w:val="auto"/>
        </w:rPr>
        <w:t>Long-term borrowings averaged $ 7.2 billion in the third quarter of 2023, compared with $3.3 billion in the year-earlier quarter and $7.5 billion in the second quarter of 2023. In August 2023, a subsidiary of M&amp;T Bank that specializes in equipment financing issued $550 million of asset-backed notes secured by equipment finance loans and leases at a weighted average interest rate of</w:t>
      </w:r>
    </w:p>
    <w:p>
      <w:pPr>
        <w:ind w:right="20"/>
        <w:spacing w:after="0" w:line="251" w:lineRule="auto"/>
        <w:rPr>
          <w:sz w:val="20"/>
          <w:szCs w:val="20"/>
          <w:color w:val="auto"/>
        </w:rPr>
      </w:pPr>
      <w:r>
        <w:rPr>
          <w:rFonts w:ascii="Arial" w:cs="Arial" w:eastAsia="Arial" w:hAnsi="Arial"/>
          <w:sz w:val="18"/>
          <w:szCs w:val="18"/>
          <w:color w:val="auto"/>
        </w:rPr>
        <w:t>5.84%. Average balances of the Company’s outstanding senior notes were $5.4 billion, $1.7 billion and $6.0 billion during the three months ended September 30, 2023, September 30, 2022 and June 30, 2023, respectively. In July 2023, $750 million of fixed and variable senior notes of M&amp;T matured. In January 2023, M&amp;T issued $1.0 billion of senior notes that mature in January 2034 and pay a 5.05% fixed rate semi-annually until January 2033 after which SOFR plus 1.85% will be paid quarterly until maturity. Additionally, in January 2023 M&amp;T Bank issued $1.3 billion of senior notes that mature in January 2026 and pay a fixed rate of 4.65% semi-annually until maturity and $1.2 billion of senior notes that mature in January 2028 and pay a fixed rate of 4.70% semi-annually until maturity. In November 2022, M&amp;T Bank issued $500 million of fixed rate senior notes that pay a rate of 5.4% semi-annually and mature in November 2025. In August 2022, M&amp;T issued $500 million of senior notes that mature in August 2028 and pay a fixed rate of 4.55% semi-annually until August 2027 after which SOFR plus 1.78% will be paid quarterly until maturity. During May 2022, $250 million of variable rate senior notes of M&amp;T Bank matured. In April 2022, M&amp;T Bank redeemed $ 650 million of fixed rate senior notes that were due to mature on May 18, 2022. As of April 1, 2022, long-term borrowings assumed in the People's United acquisition totaled $494 million and included $483 million of fixed-rate subordinated notes and $11 million of FHLB advances. Subordinated capital notes included in long-term borrowings averaged $979 million in each of the second and third quarters of 2023, compared with $982 million in the third quarter of 2022. Junior subordinated debentures associated with trust preferred securities that were included in average long-term borrowings were $538 million during the third quarter of 2023, compared with $534 million in the year-earlier quarter and $537 million in the second quarter of 2023. Additional information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57" w:name="page58"/>
    <w:bookmarkEnd w:id="57"/>
    <w:p>
      <w:pPr>
        <w:ind w:right="460"/>
        <w:spacing w:after="0" w:line="263" w:lineRule="auto"/>
        <w:rPr>
          <w:sz w:val="20"/>
          <w:szCs w:val="20"/>
          <w:color w:val="auto"/>
        </w:rPr>
      </w:pPr>
      <w:r>
        <w:rPr>
          <w:rFonts w:ascii="Arial" w:cs="Arial" w:eastAsia="Arial" w:hAnsi="Arial"/>
          <w:sz w:val="18"/>
          <w:szCs w:val="18"/>
          <w:color w:val="auto"/>
        </w:rPr>
        <w:t>regarding borrowings is provided in notes 5 and 11 of Notes to Financial Statements and in the 2022 Annual Report. In October 2023, M&amp;T issued $750 million of senior notes that mature in October 2029 and pay a fixed rate of 7.41% semi-annually until October 2028 after which SOFR plus 2.80% will be paid quarterly until maturity.</w:t>
      </w:r>
    </w:p>
    <w:p>
      <w:pPr>
        <w:spacing w:after="0" w:line="64" w:lineRule="exact"/>
        <w:rPr>
          <w:sz w:val="20"/>
          <w:szCs w:val="20"/>
          <w:color w:val="auto"/>
        </w:rPr>
      </w:pPr>
    </w:p>
    <w:p>
      <w:pPr>
        <w:ind w:right="100" w:firstLine="468"/>
        <w:spacing w:after="0" w:line="255" w:lineRule="auto"/>
        <w:rPr>
          <w:sz w:val="20"/>
          <w:szCs w:val="20"/>
          <w:color w:val="auto"/>
        </w:rPr>
      </w:pPr>
      <w:r>
        <w:rPr>
          <w:rFonts w:ascii="Arial" w:cs="Arial" w:eastAsia="Arial" w:hAnsi="Arial"/>
          <w:sz w:val="18"/>
          <w:szCs w:val="18"/>
          <w:color w:val="auto"/>
        </w:rPr>
        <w:t>The Company has utilized interest rate swap agreements to modify the repricing characteristics of certain components of its loans and long -term debt. As of September 30, 2023, interest rate swap agreements were used as fair value hedges of approximately $2.0 billion of outstanding fixed rate long-term borrowings. Additionally, interest rate swap agreements with a notional amount of $14.6 billion (exclusive of forward-starting swap agreements) were used as cash flow hedges of interest payments associated with variable rate commercial real estate loans. Further information on interest rate swap agreements is provided herein and in note 10 of Notes to Financial Statements.</w:t>
      </w:r>
    </w:p>
    <w:p>
      <w:pPr>
        <w:spacing w:after="0" w:line="73" w:lineRule="exact"/>
        <w:rPr>
          <w:sz w:val="20"/>
          <w:szCs w:val="20"/>
          <w:color w:val="auto"/>
        </w:rPr>
      </w:pPr>
    </w:p>
    <w:p>
      <w:pPr>
        <w:ind w:right="100" w:firstLine="468"/>
        <w:spacing w:after="0" w:line="268" w:lineRule="auto"/>
        <w:rPr>
          <w:sz w:val="20"/>
          <w:szCs w:val="20"/>
          <w:color w:val="auto"/>
        </w:rPr>
      </w:pPr>
      <w:r>
        <w:rPr>
          <w:rFonts w:ascii="Arial" w:cs="Arial" w:eastAsia="Arial" w:hAnsi="Arial"/>
          <w:sz w:val="17"/>
          <w:szCs w:val="17"/>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2.79% in the recent quarter, down 70 basis points from 3.49% in the third quarter of 2022. The yield on earning assets during the third quarter of 2023 was 5.62%, up 172 basis points from 3.90% in the similar 2022 period, while the rate paid on interest-bearing liabilities increased 242 basis points to</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2.83% in the recent quarter from .41% in the year-earlier period. In the second quarter of 2023, the net interest spread was 3.03%, the yield on earning assets was 5.46% and the rate paid on interest-bearing liabilities was 2.43%. The continued decline in the net interest spread in the recent quarter as compared with the second quarter of 2023 and third quarter of 2022 reflects the impact of higher rates paid on interest-bearing liabilities (predominantly interest-bearing deposits) resulting from a general rise in interest rates and increased competition for deposits, partially offset by higher yields on loans and leases, deposits at the FRB of New York and investment securities. The FOMC raised its target federal funds rate with a series of rate hikes totaling 5.25% from March 2022 through September 2023. For the first nine months of 2023, the net interest spread was 3.02%, relatively unchanged from 3.03% in the year-earlier period. The yield on earning assets and the rate paid on interest-bearing liabilities for the first nine months of 2023 were 5.41% and 2.39%, respectively, compared with 3.30% and .27%, respectively, in the initial nine months of 2022.</w:t>
      </w:r>
    </w:p>
    <w:p>
      <w:pPr>
        <w:spacing w:after="0" w:line="80" w:lineRule="exact"/>
        <w:rPr>
          <w:sz w:val="20"/>
          <w:szCs w:val="20"/>
          <w:color w:val="auto"/>
        </w:rPr>
      </w:pPr>
    </w:p>
    <w:p>
      <w:pPr>
        <w:ind w:firstLine="468"/>
        <w:spacing w:after="0" w:line="251" w:lineRule="auto"/>
        <w:rPr>
          <w:sz w:val="20"/>
          <w:szCs w:val="20"/>
          <w:color w:val="auto"/>
        </w:rPr>
      </w:pPr>
      <w:r>
        <w:rPr>
          <w:rFonts w:ascii="Arial" w:cs="Arial" w:eastAsia="Arial" w:hAnsi="Arial"/>
          <w:sz w:val="18"/>
          <w:szCs w:val="18"/>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$66.0 billion in the third quarter of 2023, compared with $83.8 billion in the year-earlier quarter and $67.7 billion in the second quarter of 2023. The lower level of average net interest-free funds in the recent quarter and the second quarter of 2023 as compared with the third quarter of 2022 is predominantly the result of a decline in the average balance of noninterest-bearing deposits. Noninterest-bearing deposits averaged $53.9 billion in the third quarter of 2023 compared with $72.9 billion in the third quarter of 2022 and $56.2 billion in the second quarter of 2023. The decline in average noninterest-bearing deposits since the third quarter of 2022 reflects customer use of off-balance sheet investment products and a shift in deposits to interest-bearing accounts as interest rates rose. During the first nine months of 2023 and 2022, average net interest-free funds aggregated $68.8 billion and $78.0 billion, respectively. Average noninterest-bearing deposits were $57.3 billion in the first nine months of 2023, compared with $68.4 billion in the first three quarters of 2022. That decline in average noninterest-bearing deposits resulted from a shift of customer funds from noninterest-bearing accounts to interest-bearing accounts and off-balance sheet investment products. The Company assumed $17.4 billion of noninterest-bearing deposits in connection with the People's United acquisition on April 1, 2022. Shareholders’ equity averaged $26.0 billion during the three-month period ended September 30, 2023, compared with $25.7 billion during each of the year-earlier quarter and the second quarter of 2023. M&amp;T issued $8.4 billion of common equity and $261 million of preferred equity in completing the acquisition of People's United on April 1, 2022. Repurchases of common stock totaled approximately $600 million (inclusive of the share repurchase excise tax) in the first quarter of 2023 and $1.8 billion in the last three quarters of 2022. There were no repurchases of common stock during the second and third quarters of 2023. Goodwill and core deposit and other intangible assets averaged $8.6 billion in the third quarter of 2023, compared with $8.7 billion in each of the third quarter of 2022 and second quarter of 2023. The Company recorded $3.9 billion of goodwill on April 1, 2022 which represents excess consideration over the fair value of net assets acquired in the People's United transaction. As part of the transaction, intangible assets were identified and recorded at fair value, thereby increasing the balance of core deposit and other intangible assets on the Company's balance sheet by $261 million on April 1,</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58" w:name="page59"/>
    <w:bookmarkEnd w:id="58"/>
    <w:p>
      <w:pPr>
        <w:ind w:right="40"/>
        <w:spacing w:after="0" w:line="254" w:lineRule="auto"/>
        <w:rPr>
          <w:sz w:val="20"/>
          <w:szCs w:val="20"/>
          <w:color w:val="auto"/>
        </w:rPr>
      </w:pPr>
      <w:r>
        <w:rPr>
          <w:rFonts w:ascii="Arial" w:cs="Arial" w:eastAsia="Arial" w:hAnsi="Arial"/>
          <w:sz w:val="18"/>
          <w:szCs w:val="18"/>
          <w:color w:val="auto"/>
        </w:rPr>
        <w:t>2022. The cash surrender value of bank owned life insurance averaged $2.6 billion in each of the third quarter of 2023, second quarter of 2023 and year- earlier third quarter. Changes in the cash surrender value of bank owned life insurance and benefits received are not included in interest income, but rather are recorded in “other revenues from operations.” The contribution of net interest-free funds to net interest margin was 1.00% in the third quarter of 2023, compared with .19% and .88% in the third quarter of 2022 and the second quarter of 2023, respectively. The increased contribution of net interest-free funds to net interest margin in the most recent quarter and second quarter of 2023 as compared with the third 2022 quarter reflects higher rates paid on interest-bearing liabilities used to value net interest-free funds. The contribution of net interest-free funds in the first nine months of 2023 and 2022 was .89% and .12%, respectively.</w:t>
      </w:r>
    </w:p>
    <w:p>
      <w:pPr>
        <w:spacing w:after="0" w:line="72" w:lineRule="exact"/>
        <w:rPr>
          <w:sz w:val="20"/>
          <w:szCs w:val="20"/>
          <w:color w:val="auto"/>
        </w:rPr>
      </w:pPr>
    </w:p>
    <w:p>
      <w:pPr>
        <w:ind w:right="40" w:firstLine="468"/>
        <w:spacing w:after="0" w:line="253"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3.79% in the third quarter of 2023, compared with 3.68% in the year-earlier period. Future changes in market interest rates or spreads, as well as changes in the composition of the Company’s portfolios of earning assets and interest- bearing liabilities that result in changes to spreads, could impact the Company’s net interest income and net interest margin. The FOMC has conducted a series of basis point increases in short-term interest rates from March 2022 through September 2023 totaling 5.25%. Those actions have led to generally higher interest rates overall and, accordingly, have contributed to the Company's higher net interest margin in the recent quarter as compared with the year-earlier quarter. The recent quarter's net interest margin narrowed from 3.91% in the second quarter of 2023. That 12 basis point decrease reflects a 24 basis point compression of the net interest spread, partially offset by a 12 basis point increase in the contribution of interest-free funds. During the first nine months of 2023 and 2022, the net interest margin was 3.91% and 3.15%, respectively.</w:t>
      </w:r>
    </w:p>
    <w:p>
      <w:pPr>
        <w:spacing w:after="0" w:line="75" w:lineRule="exact"/>
        <w:rPr>
          <w:sz w:val="20"/>
          <w:szCs w:val="20"/>
          <w:color w:val="auto"/>
        </w:rPr>
      </w:pPr>
    </w:p>
    <w:p>
      <w:pPr>
        <w:ind w:right="60" w:firstLine="468"/>
        <w:spacing w:after="0" w:line="268"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$16.6 billion (excluding $9.4 billion of forward-starting swap agreements related to cash flow hedges) at September 30, 2023, $16.8 billion (excluding $4.7 billion of forward-starting swap agreements) at September 30, 2022 and $12.7 billion (excluding $4.7 billion of forward-starting swap agreements) at December 31, 2022. Under the terms of those interest rate swap agreements, the Company received payments based on the outstanding notional amount at fixed rates and made payments at variable rates. At September 30, 2023, interest rate swap agreements with notional amounts of $14.6 billion were serving as cash flow hedges of interest payments associated with variable rate commercial real estate loans, compared with $15.3 billion at September 30, 2022 and $ 11.2 billion at December 31, 2022. Interest rate swap agreements with notional amounts of $2.0 billion at September 30, 2023 and $1.5 billion at each of September 30, 2022 and December 31, 2022 were serving as fair value hedges of fixed rate long-term borrowings. The Company also enters into forward-starting interest rate swap agreements predominantly to extend the term of its interest rate swap agreements serving as cash flow hedges and provide a hedge against changing interest rates on certain of its variable rate loans.</w:t>
      </w:r>
    </w:p>
    <w:p>
      <w:pPr>
        <w:spacing w:after="0" w:line="63"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September 30, 2023, September 30, 2022 and June 30, 2023 were not material to the Company’s consolidated results of operations. Information regarding the fair value of interest rate swap agreements and hedge ineffectiveness is presented in note 10 of Notes to Financial Statements. Information regarding the valuation of cash flow hedges included in other comprehensive income is presented in note 9 of Notes to Financial Statements. The changes in the fair values of the interest rate swap agreements and the hedged items primarily result from the effects of changing interest rates and spreads. The average notional amounts of interest rate swap agreements entered into for interest rate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59" w:name="page60"/>
    <w:bookmarkEnd w:id="59"/>
    <w:p>
      <w:pPr>
        <w:jc w:val="both"/>
        <w:ind w:right="260"/>
        <w:spacing w:after="0" w:line="263" w:lineRule="auto"/>
        <w:rPr>
          <w:sz w:val="20"/>
          <w:szCs w:val="20"/>
          <w:color w:val="auto"/>
        </w:rPr>
      </w:pPr>
      <w:r>
        <w:rPr>
          <w:rFonts w:ascii="Arial" w:cs="Arial" w:eastAsia="Arial" w:hAnsi="Arial"/>
          <w:sz w:val="18"/>
          <w:szCs w:val="18"/>
          <w:color w:val="auto"/>
        </w:rPr>
        <w:t>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Three Months Ended September 30</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5020" w:type="dxa"/>
            <w:vAlign w:val="bottom"/>
          </w:tcPr>
          <w:p>
            <w:pPr>
              <w:ind w:left="2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2023</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2022</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ind w:right="106"/>
              <w:spacing w:after="0"/>
              <w:rPr>
                <w:sz w:val="20"/>
                <w:szCs w:val="20"/>
                <w:color w:val="auto"/>
              </w:rPr>
            </w:pPr>
            <w:r>
              <w:rPr>
                <w:rFonts w:ascii="Arial" w:cs="Arial" w:eastAsia="Arial" w:hAnsi="Arial"/>
                <w:sz w:val="13"/>
                <w:szCs w:val="13"/>
                <w:b w:val="1"/>
                <w:bCs w:val="1"/>
                <w:color w:val="auto"/>
              </w:rPr>
              <w:t>Rate (a)</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ind w:right="24"/>
              <w:spacing w:after="0"/>
              <w:rPr>
                <w:sz w:val="20"/>
                <w:szCs w:val="20"/>
                <w:color w:val="auto"/>
              </w:rPr>
            </w:pPr>
            <w:r>
              <w:rPr>
                <w:rFonts w:ascii="Arial" w:cs="Arial" w:eastAsia="Arial" w:hAnsi="Arial"/>
                <w:sz w:val="13"/>
                <w:szCs w:val="13"/>
                <w:b w:val="1"/>
                <w:bCs w:val="1"/>
                <w:color w:val="auto"/>
              </w:rPr>
              <w:t>Rate (a)</w:t>
            </w:r>
          </w:p>
        </w:tc>
        <w:tc>
          <w:tcPr>
            <w:tcW w:w="420" w:type="dxa"/>
            <w:vAlign w:val="bottom"/>
          </w:tcPr>
          <w:p>
            <w:pPr>
              <w:spacing w:after="0"/>
              <w:rPr>
                <w:sz w:val="15"/>
                <w:szCs w:val="15"/>
                <w:color w:val="auto"/>
              </w:rPr>
            </w:pPr>
          </w:p>
        </w:tc>
      </w:tr>
      <w:tr>
        <w:trPr>
          <w:trHeight w:val="204"/>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(Dollars in thousands)</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4"/>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(decrease) in:</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r>
      <w:tr>
        <w:trPr>
          <w:trHeight w:val="203"/>
        </w:trPr>
        <w:tc>
          <w:tcPr>
            <w:tcW w:w="50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(65,321 )</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-.14</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(22,466 )</w:t>
            </w: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5"/>
        </w:trPr>
        <w:tc>
          <w:tcPr>
            <w:tcW w:w="50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.05</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(651 )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420" w:type="dxa"/>
            <w:vAlign w:val="bottom"/>
            <w:shd w:val="clear" w:color="auto" w:fill="CFF0FC"/>
          </w:tcPr>
          <w:p>
            <w:pPr>
              <w:spacing w:after="0"/>
              <w:rPr>
                <w:sz w:val="17"/>
                <w:szCs w:val="17"/>
                <w:color w:val="auto"/>
              </w:rPr>
            </w:pPr>
          </w:p>
        </w:tc>
      </w:tr>
      <w:tr>
        <w:trPr>
          <w:trHeight w:val="204"/>
        </w:trPr>
        <w:tc>
          <w:tcPr>
            <w:tcW w:w="5020" w:type="dxa"/>
            <w:vAlign w:val="bottom"/>
          </w:tcPr>
          <w:p>
            <w:pPr>
              <w:ind w:left="180"/>
              <w:spacing w:after="0"/>
              <w:rPr>
                <w:sz w:val="20"/>
                <w:szCs w:val="20"/>
                <w:color w:val="auto"/>
              </w:rPr>
            </w:pPr>
            <w:r>
              <w:rPr>
                <w:rFonts w:ascii="Arial" w:cs="Arial" w:eastAsia="Arial" w:hAnsi="Arial"/>
                <w:sz w:val="16"/>
                <w:szCs w:val="16"/>
                <w:color w:val="auto"/>
              </w:rPr>
              <w:t>Net interest income/margin</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line="204" w:lineRule="exact"/>
              <w:rPr>
                <w:sz w:val="20"/>
                <w:szCs w:val="20"/>
                <w:color w:val="auto"/>
              </w:rPr>
            </w:pPr>
            <w:r>
              <w:rPr>
                <w:rFonts w:ascii="Arial" w:cs="Arial" w:eastAsia="Arial" w:hAnsi="Arial"/>
                <w:sz w:val="13"/>
                <w:szCs w:val="13"/>
                <w:color w:val="auto"/>
              </w:rPr>
              <w:t xml:space="preserve">(79,303 </w:t>
            </w:r>
            <w:r>
              <w:rPr>
                <w:rFonts w:ascii="Arial" w:cs="Arial" w:eastAsia="Arial" w:hAnsi="Arial"/>
                <w:sz w:val="23"/>
                <w:szCs w:val="23"/>
                <w:color w:val="auto"/>
                <w:vertAlign w:val="subscript"/>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-.17</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320"/>
              <w:spacing w:after="0" w:line="204" w:lineRule="exact"/>
              <w:rPr>
                <w:sz w:val="20"/>
                <w:szCs w:val="20"/>
                <w:color w:val="auto"/>
              </w:rPr>
            </w:pPr>
            <w:r>
              <w:rPr>
                <w:rFonts w:ascii="Arial" w:cs="Arial" w:eastAsia="Arial" w:hAnsi="Arial"/>
                <w:sz w:val="13"/>
                <w:szCs w:val="13"/>
                <w:color w:val="auto"/>
              </w:rPr>
              <w:t xml:space="preserve">(21,815 </w:t>
            </w:r>
            <w:r>
              <w:rPr>
                <w:rFonts w:ascii="Arial" w:cs="Arial" w:eastAsia="Arial" w:hAnsi="Arial"/>
                <w:sz w:val="23"/>
                <w:szCs w:val="23"/>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
        </w:trPr>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9"/>
        </w:trPr>
        <w:tc>
          <w:tcPr>
            <w:tcW w:w="5020" w:type="dxa"/>
            <w:vAlign w:val="bottom"/>
            <w:tcBorders>
              <w:bottom w:val="single" w:sz="8" w:color="CFF0FC"/>
            </w:tcBorders>
            <w:shd w:val="clear" w:color="auto" w:fill="CFF0FC"/>
          </w:tcPr>
          <w:p>
            <w:pPr>
              <w:ind w:left="20"/>
              <w:spacing w:after="0" w:line="179" w:lineRule="exact"/>
              <w:rPr>
                <w:sz w:val="20"/>
                <w:szCs w:val="20"/>
                <w:color w:val="auto"/>
              </w:rPr>
            </w:pPr>
            <w:r>
              <w:rPr>
                <w:rFonts w:ascii="Arial" w:cs="Arial" w:eastAsia="Arial" w:hAnsi="Arial"/>
                <w:sz w:val="16"/>
                <w:szCs w:val="16"/>
                <w:color w:val="auto"/>
              </w:rPr>
              <w:t>Average notional amount (c)</w:t>
            </w:r>
          </w:p>
        </w:tc>
        <w:tc>
          <w:tcPr>
            <w:tcW w:w="260" w:type="dxa"/>
            <w:vAlign w:val="bottom"/>
            <w:tcBorders>
              <w:bottom w:val="single" w:sz="8" w:color="auto"/>
            </w:tcBorders>
            <w:shd w:val="clear" w:color="auto" w:fill="CFF0FC"/>
          </w:tcPr>
          <w:p>
            <w:pPr>
              <w:jc w:val="right"/>
              <w:ind w:right="82"/>
              <w:spacing w:after="0" w:line="179"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15,125,913</w:t>
            </w: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7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16,472,826</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r>
      <w:tr>
        <w:trPr>
          <w:trHeight w:val="180"/>
        </w:trPr>
        <w:tc>
          <w:tcPr>
            <w:tcW w:w="5020" w:type="dxa"/>
            <w:vAlign w:val="bottom"/>
          </w:tcPr>
          <w:p>
            <w:pPr>
              <w:ind w:left="20"/>
              <w:spacing w:after="0" w:line="180" w:lineRule="exact"/>
              <w:rPr>
                <w:sz w:val="20"/>
                <w:szCs w:val="20"/>
                <w:color w:val="auto"/>
              </w:rPr>
            </w:pPr>
            <w:r>
              <w:rPr>
                <w:rFonts w:ascii="Arial" w:cs="Arial" w:eastAsia="Arial" w:hAnsi="Arial"/>
                <w:sz w:val="16"/>
                <w:szCs w:val="16"/>
                <w:color w:val="auto"/>
              </w:rPr>
              <w:t>Rate received (b)</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
              <w:spacing w:after="0" w:line="180" w:lineRule="exact"/>
              <w:rPr>
                <w:sz w:val="20"/>
                <w:szCs w:val="20"/>
                <w:color w:val="auto"/>
              </w:rPr>
            </w:pPr>
            <w:r>
              <w:rPr>
                <w:rFonts w:ascii="Arial" w:cs="Arial" w:eastAsia="Arial" w:hAnsi="Arial"/>
                <w:sz w:val="16"/>
                <w:szCs w:val="16"/>
                <w:color w:val="auto"/>
              </w:rPr>
              <w:t>3.25</w:t>
            </w:r>
          </w:p>
        </w:tc>
        <w:tc>
          <w:tcPr>
            <w:tcW w:w="4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2.06</w:t>
            </w:r>
          </w:p>
        </w:tc>
        <w:tc>
          <w:tcPr>
            <w:tcW w:w="420" w:type="dxa"/>
            <w:vAlign w:val="bottom"/>
          </w:tcPr>
          <w:p>
            <w:pPr>
              <w:jc w:val="right"/>
              <w:ind w:right="102"/>
              <w:spacing w:after="0" w:line="180" w:lineRule="exact"/>
              <w:rPr>
                <w:sz w:val="20"/>
                <w:szCs w:val="20"/>
                <w:color w:val="auto"/>
              </w:rPr>
            </w:pPr>
            <w:r>
              <w:rPr>
                <w:rFonts w:ascii="Arial" w:cs="Arial" w:eastAsia="Arial" w:hAnsi="Arial"/>
                <w:sz w:val="16"/>
                <w:szCs w:val="16"/>
                <w:color w:val="auto"/>
              </w:rPr>
              <w:t>%</w:t>
            </w:r>
          </w:p>
        </w:tc>
      </w:tr>
      <w:tr>
        <w:trPr>
          <w:trHeight w:val="205"/>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Rate paid (b)</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5.29</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r>
      <w:tr>
        <w:trPr>
          <w:trHeight w:val="381"/>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rPr>
              <w:t>Nine Months Ended September 30</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5020" w:type="dxa"/>
            <w:vAlign w:val="bottom"/>
          </w:tcPr>
          <w:p>
            <w:pPr>
              <w:ind w:left="24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2023</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2022</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ind w:right="126"/>
              <w:spacing w:after="0"/>
              <w:rPr>
                <w:sz w:val="20"/>
                <w:szCs w:val="20"/>
                <w:color w:val="auto"/>
              </w:rPr>
            </w:pPr>
            <w:r>
              <w:rPr>
                <w:rFonts w:ascii="Arial" w:cs="Arial" w:eastAsia="Arial" w:hAnsi="Arial"/>
                <w:sz w:val="13"/>
                <w:szCs w:val="13"/>
                <w:b w:val="1"/>
                <w:bCs w:val="1"/>
                <w:color w:val="auto"/>
              </w:rPr>
              <w:t>Rate(a)</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Amount</w:t>
            </w:r>
          </w:p>
        </w:tc>
        <w:tc>
          <w:tcPr>
            <w:tcW w:w="680" w:type="dxa"/>
            <w:vAlign w:val="bottom"/>
          </w:tcPr>
          <w:p>
            <w:pPr>
              <w:jc w:val="right"/>
              <w:ind w:right="44"/>
              <w:spacing w:after="0"/>
              <w:rPr>
                <w:sz w:val="20"/>
                <w:szCs w:val="20"/>
                <w:color w:val="auto"/>
              </w:rPr>
            </w:pPr>
            <w:r>
              <w:rPr>
                <w:rFonts w:ascii="Arial" w:cs="Arial" w:eastAsia="Arial" w:hAnsi="Arial"/>
                <w:sz w:val="13"/>
                <w:szCs w:val="13"/>
                <w:b w:val="1"/>
                <w:bCs w:val="1"/>
                <w:color w:val="auto"/>
              </w:rPr>
              <w:t>Rate(a)</w:t>
            </w:r>
          </w:p>
        </w:tc>
        <w:tc>
          <w:tcPr>
            <w:tcW w:w="420" w:type="dxa"/>
            <w:vAlign w:val="bottom"/>
          </w:tcPr>
          <w:p>
            <w:pPr>
              <w:spacing w:after="0"/>
              <w:rPr>
                <w:sz w:val="15"/>
                <w:szCs w:val="15"/>
                <w:color w:val="auto"/>
              </w:rPr>
            </w:pPr>
          </w:p>
        </w:tc>
      </w:tr>
      <w:tr>
        <w:trPr>
          <w:trHeight w:val="204"/>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rPr>
              <w:t>(Dollars in thousands)</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4"/>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(decrease) in:</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r>
      <w:tr>
        <w:trPr>
          <w:trHeight w:val="312"/>
        </w:trPr>
        <w:tc>
          <w:tcPr>
            <w:tcW w:w="50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line="312" w:lineRule="exact"/>
              <w:rPr>
                <w:sz w:val="20"/>
                <w:szCs w:val="20"/>
                <w:color w:val="auto"/>
              </w:rPr>
            </w:pPr>
            <w:r>
              <w:rPr>
                <w:rFonts w:ascii="Arial" w:cs="Arial" w:eastAsia="Arial" w:hAnsi="Arial"/>
                <w:sz w:val="16"/>
                <w:szCs w:val="16"/>
                <w:color w:val="auto"/>
              </w:rPr>
              <w:t xml:space="preserve">(173,051 </w:t>
            </w:r>
            <w:r>
              <w:rPr>
                <w:rFonts w:ascii="Arial" w:cs="Arial" w:eastAsia="Arial" w:hAnsi="Arial"/>
                <w:sz w:val="31"/>
                <w:szCs w:val="31"/>
                <w:color w:val="auto"/>
                <w:vertAlign w:val="subscript"/>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-.12</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35,500</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4"/>
        </w:trPr>
        <w:tc>
          <w:tcPr>
            <w:tcW w:w="50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38,290</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(14,436 )</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FF0FC"/>
          </w:tcPr>
          <w:p>
            <w:pPr>
              <w:spacing w:after="0"/>
              <w:rPr>
                <w:sz w:val="17"/>
                <w:szCs w:val="17"/>
                <w:color w:val="auto"/>
              </w:rPr>
            </w:pPr>
          </w:p>
        </w:tc>
      </w:tr>
      <w:tr>
        <w:trPr>
          <w:trHeight w:val="204"/>
        </w:trPr>
        <w:tc>
          <w:tcPr>
            <w:tcW w:w="5020" w:type="dxa"/>
            <w:vAlign w:val="bottom"/>
          </w:tcPr>
          <w:p>
            <w:pPr>
              <w:ind w:left="180"/>
              <w:spacing w:after="0"/>
              <w:rPr>
                <w:sz w:val="20"/>
                <w:szCs w:val="20"/>
                <w:color w:val="auto"/>
              </w:rPr>
            </w:pPr>
            <w:r>
              <w:rPr>
                <w:rFonts w:ascii="Arial" w:cs="Arial" w:eastAsia="Arial" w:hAnsi="Arial"/>
                <w:sz w:val="16"/>
                <w:szCs w:val="16"/>
                <w:color w:val="auto"/>
              </w:rPr>
              <w:t>Net interest income/margin</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line="204" w:lineRule="exact"/>
              <w:rPr>
                <w:sz w:val="20"/>
                <w:szCs w:val="20"/>
                <w:color w:val="auto"/>
              </w:rPr>
            </w:pPr>
            <w:r>
              <w:rPr>
                <w:rFonts w:ascii="Arial" w:cs="Arial" w:eastAsia="Arial" w:hAnsi="Arial"/>
                <w:sz w:val="13"/>
                <w:szCs w:val="13"/>
                <w:color w:val="auto"/>
              </w:rPr>
              <w:t xml:space="preserve">(211,341 </w:t>
            </w:r>
            <w:r>
              <w:rPr>
                <w:rFonts w:ascii="Arial" w:cs="Arial" w:eastAsia="Arial" w:hAnsi="Arial"/>
                <w:sz w:val="23"/>
                <w:szCs w:val="23"/>
                <w:color w:val="auto"/>
                <w:vertAlign w:val="subscript"/>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49,936</w:t>
            </w: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42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
        </w:trPr>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9"/>
        </w:trPr>
        <w:tc>
          <w:tcPr>
            <w:tcW w:w="5020" w:type="dxa"/>
            <w:vAlign w:val="bottom"/>
            <w:tcBorders>
              <w:bottom w:val="single" w:sz="8" w:color="CFF0FC"/>
            </w:tcBorders>
            <w:shd w:val="clear" w:color="auto" w:fill="CFF0FC"/>
          </w:tcPr>
          <w:p>
            <w:pPr>
              <w:ind w:left="20"/>
              <w:spacing w:after="0" w:line="179" w:lineRule="exact"/>
              <w:rPr>
                <w:sz w:val="20"/>
                <w:szCs w:val="20"/>
                <w:color w:val="auto"/>
              </w:rPr>
            </w:pPr>
            <w:r>
              <w:rPr>
                <w:rFonts w:ascii="Arial" w:cs="Arial" w:eastAsia="Arial" w:hAnsi="Arial"/>
                <w:sz w:val="16"/>
                <w:szCs w:val="16"/>
                <w:color w:val="auto"/>
              </w:rPr>
              <w:t>Average notional amount (c)</w:t>
            </w:r>
          </w:p>
        </w:tc>
        <w:tc>
          <w:tcPr>
            <w:tcW w:w="260" w:type="dxa"/>
            <w:vAlign w:val="bottom"/>
            <w:tcBorders>
              <w:bottom w:val="single" w:sz="8" w:color="auto"/>
            </w:tcBorders>
            <w:shd w:val="clear" w:color="auto" w:fill="CFF0FC"/>
          </w:tcPr>
          <w:p>
            <w:pPr>
              <w:jc w:val="right"/>
              <w:ind w:right="82"/>
              <w:spacing w:after="0" w:line="179"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13,089,088</w:t>
            </w: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2"/>
              <w:spacing w:after="0" w:line="17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line="179" w:lineRule="exact"/>
              <w:rPr>
                <w:sz w:val="20"/>
                <w:szCs w:val="20"/>
                <w:color w:val="auto"/>
              </w:rPr>
            </w:pPr>
            <w:r>
              <w:rPr>
                <w:rFonts w:ascii="Arial" w:cs="Arial" w:eastAsia="Arial" w:hAnsi="Arial"/>
                <w:sz w:val="16"/>
                <w:szCs w:val="16"/>
                <w:color w:val="auto"/>
              </w:rPr>
              <w:t>15,452,015</w:t>
            </w:r>
          </w:p>
        </w:tc>
        <w:tc>
          <w:tcPr>
            <w:tcW w:w="4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r>
      <w:tr>
        <w:trPr>
          <w:trHeight w:val="180"/>
        </w:trPr>
        <w:tc>
          <w:tcPr>
            <w:tcW w:w="5020" w:type="dxa"/>
            <w:vAlign w:val="bottom"/>
          </w:tcPr>
          <w:p>
            <w:pPr>
              <w:ind w:left="20"/>
              <w:spacing w:after="0" w:line="180" w:lineRule="exact"/>
              <w:rPr>
                <w:sz w:val="20"/>
                <w:szCs w:val="20"/>
                <w:color w:val="auto"/>
              </w:rPr>
            </w:pPr>
            <w:r>
              <w:rPr>
                <w:rFonts w:ascii="Arial" w:cs="Arial" w:eastAsia="Arial" w:hAnsi="Arial"/>
                <w:sz w:val="16"/>
                <w:szCs w:val="16"/>
                <w:color w:val="auto"/>
              </w:rPr>
              <w:t>Rate received (b)</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
              <w:spacing w:after="0" w:line="180" w:lineRule="exact"/>
              <w:rPr>
                <w:sz w:val="20"/>
                <w:szCs w:val="20"/>
                <w:color w:val="auto"/>
              </w:rPr>
            </w:pPr>
            <w:r>
              <w:rPr>
                <w:rFonts w:ascii="Arial" w:cs="Arial" w:eastAsia="Arial" w:hAnsi="Arial"/>
                <w:sz w:val="16"/>
                <w:szCs w:val="16"/>
                <w:color w:val="auto"/>
              </w:rPr>
              <w:t>3.05</w:t>
            </w:r>
          </w:p>
        </w:tc>
        <w:tc>
          <w:tcPr>
            <w:tcW w:w="4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6"/>
                <w:szCs w:val="16"/>
                <w:color w:val="auto"/>
              </w:rPr>
              <w:t>1.67</w:t>
            </w:r>
          </w:p>
        </w:tc>
        <w:tc>
          <w:tcPr>
            <w:tcW w:w="420" w:type="dxa"/>
            <w:vAlign w:val="bottom"/>
          </w:tcPr>
          <w:p>
            <w:pPr>
              <w:jc w:val="right"/>
              <w:ind w:right="102"/>
              <w:spacing w:after="0" w:line="180" w:lineRule="exact"/>
              <w:rPr>
                <w:sz w:val="20"/>
                <w:szCs w:val="20"/>
                <w:color w:val="auto"/>
              </w:rPr>
            </w:pPr>
            <w:r>
              <w:rPr>
                <w:rFonts w:ascii="Arial" w:cs="Arial" w:eastAsia="Arial" w:hAnsi="Arial"/>
                <w:sz w:val="16"/>
                <w:szCs w:val="16"/>
                <w:color w:val="auto"/>
              </w:rPr>
              <w:t>%</w:t>
            </w:r>
          </w:p>
        </w:tc>
      </w:tr>
      <w:tr>
        <w:trPr>
          <w:trHeight w:val="205"/>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Rate paid (b)</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5.17</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(a)Computed as an annualized percentage of average earning assets or interest-bearing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(b)Weighted-average rate paid or received on interest rate swap agreements in effect during the period.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(c)Excludes forward-starting interest rate swap agreements not in effect during the period.</w:t>
      </w:r>
    </w:p>
    <w:p>
      <w:pPr>
        <w:spacing w:after="0" w:line="95"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cash flows associated with financial instruments included in assets and liabilities differ.</w:t>
      </w:r>
    </w:p>
    <w:p>
      <w:pPr>
        <w:spacing w:after="0" w:line="67" w:lineRule="exact"/>
        <w:rPr>
          <w:sz w:val="20"/>
          <w:szCs w:val="20"/>
          <w:color w:val="auto"/>
        </w:rPr>
      </w:pPr>
    </w:p>
    <w:p>
      <w:pPr>
        <w:ind w:right="20" w:firstLine="468"/>
        <w:spacing w:after="0" w:line="268" w:lineRule="auto"/>
        <w:rPr>
          <w:sz w:val="20"/>
          <w:szCs w:val="20"/>
          <w:color w:val="auto"/>
        </w:rPr>
      </w:pPr>
      <w:r>
        <w:rPr>
          <w:rFonts w:ascii="Arial" w:cs="Arial" w:eastAsia="Arial" w:hAnsi="Arial"/>
          <w:sz w:val="17"/>
          <w:szCs w:val="17"/>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 -term advances from the FHLB of New York, brokered deposits, and longer-term borrowings. M&amp;T Bank has access to additional funding sources through secured borrowings from the FHLB of New York and the FRB of New York, M&amp;T Bank’s Bank Note Program, and other available borrowing facilities. The Bank Note Program enables M&amp;T Bank to offer unsecured senior and subordinated notes. The Company has, in the past,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September 30, 2023 and December 31, 2022, long-term borrowings aggregated $7.1 billion and $4.0 billion, respectively and short-term borrowings aggregated $6.7 billion and $3.6 billion, respectively.</w:t>
      </w:r>
    </w:p>
    <w:p>
      <w:pPr>
        <w:spacing w:after="0" w:line="67" w:lineRule="exact"/>
        <w:rPr>
          <w:sz w:val="20"/>
          <w:szCs w:val="20"/>
          <w:color w:val="auto"/>
        </w:rPr>
      </w:pPr>
    </w:p>
    <w:p>
      <w:pPr>
        <w:ind w:right="520" w:firstLine="468"/>
        <w:spacing w:after="0" w:line="275" w:lineRule="auto"/>
        <w:rPr>
          <w:sz w:val="20"/>
          <w:szCs w:val="20"/>
          <w:color w:val="auto"/>
        </w:rPr>
      </w:pPr>
      <w:r>
        <w:rPr>
          <w:rFonts w:ascii="Arial" w:cs="Arial" w:eastAsia="Arial" w:hAnsi="Arial"/>
          <w:sz w:val="18"/>
          <w:szCs w:val="18"/>
          <w:color w:val="auto"/>
        </w:rPr>
        <w:t>The Company has benefited from the placement of brokered deposits. The Company had brokered savings and interest-checking deposit accounts which aggregated approximately $5.6 billion at September 30, 2023, $3.8 billion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at December 31, 2022 and $ 3.3 billion at September 30, 2022. Funding from brokered time deposits increased $3.9 billion in the first nine months of 2023 to $8.0 billion at September 30, 2023 from $4.1 billion at December 31, 2022. Brokered time deposits were not a significant source of funding at September 30, 2022.</w:t>
      </w:r>
    </w:p>
    <w:p>
      <w:pPr>
        <w:spacing w:after="0" w:line="64" w:lineRule="exact"/>
        <w:rPr>
          <w:sz w:val="20"/>
          <w:szCs w:val="20"/>
          <w:color w:val="auto"/>
        </w:rPr>
      </w:pPr>
    </w:p>
    <w:p>
      <w:pPr>
        <w:ind w:right="40" w:firstLine="468"/>
        <w:spacing w:after="0" w:line="253" w:lineRule="auto"/>
        <w:rPr>
          <w:sz w:val="20"/>
          <w:szCs w:val="20"/>
          <w:color w:val="auto"/>
        </w:rPr>
      </w:pPr>
      <w:r>
        <w:rPr>
          <w:rFonts w:ascii="Arial" w:cs="Arial" w:eastAsia="Arial" w:hAnsi="Arial"/>
          <w:sz w:val="18"/>
          <w:szCs w:val="18"/>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 The Company also has the ability to securitize or sell certain financial assets, including various loan types, to provide other liquidity alternatives. On August 7, 2023, Moody's Investor Service reaffirmed M&amp;T Bank's short-term deposit rating at Prime-1, but downgraded M&amp;T's and M&amp;T Bank's senior and subordinated debt ratings from A3 to Baa1 and M&amp;T Bank's long-term deposits rating from Aa3 to A1.</w:t>
      </w:r>
    </w:p>
    <w:p>
      <w:pPr>
        <w:spacing w:after="0" w:line="73" w:lineRule="exact"/>
        <w:rPr>
          <w:sz w:val="20"/>
          <w:szCs w:val="20"/>
          <w:color w:val="auto"/>
        </w:rPr>
      </w:pPr>
    </w:p>
    <w:p>
      <w:pPr>
        <w:ind w:right="40" w:firstLine="468"/>
        <w:spacing w:after="0" w:line="254" w:lineRule="auto"/>
        <w:rPr>
          <w:sz w:val="20"/>
          <w:szCs w:val="20"/>
          <w:color w:val="auto"/>
        </w:rPr>
      </w:pPr>
      <w:r>
        <w:rPr>
          <w:rFonts w:ascii="Arial" w:cs="Arial" w:eastAsia="Arial" w:hAnsi="Arial"/>
          <w:sz w:val="18"/>
          <w:szCs w:val="18"/>
          <w:color w:val="auto"/>
        </w:rPr>
        <w:t>Certain customers of the Company obtain financing through the issuance of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no such securities in the trading account at September 30, 2023, December 31, 2022 and September 30, 2022. The total amounts of VRDBs outstanding backed by M&amp;T Bank letters of credit were $557 million at September 30, 2023, $ 604 million at December 31, 2022 and $633 million at September 30, 2022. M&amp;T Bank also serves as remarketing agent for most of those bonds.</w:t>
      </w:r>
    </w:p>
    <w:p>
      <w:pPr>
        <w:spacing w:after="0" w:line="72"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73" w:lineRule="exact"/>
        <w:rPr>
          <w:sz w:val="20"/>
          <w:szCs w:val="20"/>
          <w:color w:val="auto"/>
        </w:rPr>
      </w:pPr>
    </w:p>
    <w:p>
      <w:pPr>
        <w:ind w:right="240" w:firstLine="468"/>
        <w:spacing w:after="0" w:line="253"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2023 approximately $ 1.67 billion was available for payment of dividends to M&amp;T from bank subsidiaries. M&amp;T also may obtain funding through long-term borrowings. In September 2023, M&amp;T commenced its Medium-Term Note Program under which M&amp;T may issue, from time to time, senior and subordinated medium- term notes. As previously described, in January 2023 M&amp;T issued $1.0 billion of senior notes that mature in January 2034 and in July 2023, $750 million of senior notes matured. In October 2023, M&amp;T issued $750 million of fixed rate to floating rate senior notes that mature in October 2029. Outstanding senior notes of M&amp;T at September 30, 2023 and December 31, 2022 were $1.4 billion and $1.2 billion, respectively. Junior subordinated debentures of M&amp;T associated with trust preferred securities outstanding at September 30, 2023 and December 31, 2022 totaled $539 million and $536 million, respectively.</w:t>
      </w:r>
    </w:p>
    <w:p>
      <w:pPr>
        <w:spacing w:after="0" w:line="73"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regulatory expectations and believes that available sources of liquidity are adequate to meet funding needs anticipated in the ordinary course of business. Available liquidity at September 30, 2023 included cash on deposit at the FRB of New York of $30.0 billion, unused secured borrowing facilities of $30.1 billion, and unencumbered investment securities (after estimated haircut) of approximately $16.6 billion. Management continually evaluates the use and mix of its various available funding alternatives, including short-term borrowings, issuance of long-term debt,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39" w:right="640" w:bottom="1440" w:gutter="0" w:footer="0" w:header="0"/>
        </w:sectPr>
      </w:pPr>
    </w:p>
    <w:bookmarkStart w:id="61" w:name="page62"/>
    <w:bookmarkEnd w:id="61"/>
    <w:p>
      <w:pPr>
        <w:ind w:right="60"/>
        <w:spacing w:after="0" w:line="263" w:lineRule="auto"/>
        <w:rPr>
          <w:sz w:val="20"/>
          <w:szCs w:val="20"/>
          <w:color w:val="auto"/>
        </w:rPr>
      </w:pPr>
      <w:r>
        <w:rPr>
          <w:rFonts w:ascii="Arial" w:cs="Arial" w:eastAsia="Arial" w:hAnsi="Arial"/>
          <w:sz w:val="18"/>
          <w:szCs w:val="18"/>
          <w:color w:val="auto"/>
        </w:rPr>
        <w:t>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w:t>
      </w:r>
    </w:p>
    <w:p>
      <w:pPr>
        <w:spacing w:after="0" w:line="64" w:lineRule="exact"/>
        <w:rPr>
          <w:sz w:val="20"/>
          <w:szCs w:val="20"/>
          <w:color w:val="auto"/>
        </w:rPr>
      </w:pPr>
    </w:p>
    <w:p>
      <w:pPr>
        <w:ind w:firstLine="468"/>
        <w:spacing w:after="0" w:line="268" w:lineRule="auto"/>
        <w:rPr>
          <w:sz w:val="20"/>
          <w:szCs w:val="20"/>
          <w:color w:val="auto"/>
        </w:rPr>
      </w:pPr>
      <w:r>
        <w:rPr>
          <w:rFonts w:ascii="Arial" w:cs="Arial" w:eastAsia="Arial" w:hAnsi="Arial"/>
          <w:sz w:val="17"/>
          <w:szCs w:val="17"/>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2023, the aggregate notional amount of interest rate swap agreements entered into for interest rate risk management purposes that were currently in effect was $16.6 billion. In addition, the Company has entered into $9.4 billion of forward-starting interest rate swap agreements related to cash flow hedges.</w:t>
      </w:r>
    </w:p>
    <w:p>
      <w:pPr>
        <w:spacing w:after="0" w:line="63"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Company’s Asset-Liability Committee, which includes members of executive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8" w:lineRule="exact"/>
        <w:rPr>
          <w:sz w:val="20"/>
          <w:szCs w:val="20"/>
          <w:color w:val="auto"/>
        </w:rPr>
      </w:pPr>
    </w:p>
    <w:p>
      <w:pPr>
        <w:ind w:right="120" w:firstLine="468"/>
        <w:spacing w:after="0" w:line="263" w:lineRule="auto"/>
        <w:rPr>
          <w:sz w:val="20"/>
          <w:szCs w:val="20"/>
          <w:color w:val="auto"/>
        </w:rPr>
      </w:pPr>
      <w:r>
        <w:rPr>
          <w:rFonts w:ascii="Arial" w:cs="Arial" w:eastAsia="Arial" w:hAnsi="Arial"/>
          <w:sz w:val="18"/>
          <w:szCs w:val="18"/>
          <w:color w:val="auto"/>
        </w:rPr>
        <w:t>The accompanying table as of September 30, 2023 and December 31, 2022 displays the estimated impact on net interest income in the base scenario described above resulting from parallel changes in interest rates across repricing categories during the first modeling year.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480" w:type="dxa"/>
            <w:vAlign w:val="bottom"/>
            <w:gridSpan w:val="2"/>
          </w:tcPr>
          <w:p>
            <w:pPr>
              <w:jc w:val="center"/>
              <w:ind w:right="224"/>
              <w:spacing w:after="0"/>
              <w:rPr>
                <w:sz w:val="20"/>
                <w:szCs w:val="20"/>
                <w:color w:val="auto"/>
              </w:rPr>
            </w:pPr>
            <w:r>
              <w:rPr>
                <w:rFonts w:ascii="Arial" w:cs="Arial" w:eastAsia="Arial" w:hAnsi="Arial"/>
                <w:sz w:val="13"/>
                <w:szCs w:val="13"/>
                <w:b w:val="1"/>
                <w:bCs w:val="1"/>
                <w:color w:val="auto"/>
              </w:rPr>
              <w:t>Calculated Increase (Decrease)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480" w:type="dxa"/>
            <w:vAlign w:val="bottom"/>
            <w:gridSpan w:val="2"/>
          </w:tcPr>
          <w:p>
            <w:pPr>
              <w:jc w:val="center"/>
              <w:ind w:right="184"/>
              <w:spacing w:after="0"/>
              <w:rPr>
                <w:sz w:val="20"/>
                <w:szCs w:val="20"/>
                <w:color w:val="auto"/>
              </w:rPr>
            </w:pPr>
            <w:r>
              <w:rPr>
                <w:rFonts w:ascii="Arial" w:cs="Arial" w:eastAsia="Arial" w:hAnsi="Arial"/>
                <w:sz w:val="13"/>
                <w:szCs w:val="13"/>
                <w:b w:val="1"/>
                <w:bCs w:val="1"/>
                <w:color w:val="auto"/>
              </w:rPr>
              <w:t>in Projected Net Interest Income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60" w:type="dxa"/>
            <w:vAlign w:val="bottom"/>
            <w:gridSpan w:val="3"/>
          </w:tcPr>
          <w:p>
            <w:pPr>
              <w:ind w:left="20"/>
              <w:spacing w:after="0"/>
              <w:rPr>
                <w:sz w:val="20"/>
                <w:szCs w:val="20"/>
                <w:color w:val="auto"/>
              </w:rPr>
            </w:pPr>
            <w:r>
              <w:rPr>
                <w:rFonts w:ascii="Arial" w:cs="Arial" w:eastAsia="Arial" w:hAnsi="Arial"/>
                <w:sz w:val="13"/>
                <w:szCs w:val="13"/>
                <w:b w:val="1"/>
                <w:bCs w:val="1"/>
                <w:color w:val="auto"/>
              </w:rPr>
              <w:t>Changes in interest rates</w:t>
            </w:r>
          </w:p>
        </w:tc>
        <w:tc>
          <w:tcPr>
            <w:tcW w:w="3640" w:type="dxa"/>
            <w:vAlign w:val="bottom"/>
          </w:tcPr>
          <w:p>
            <w:pPr>
              <w:spacing w:after="0"/>
              <w:rPr>
                <w:sz w:val="14"/>
                <w:szCs w:val="14"/>
                <w:color w:val="auto"/>
              </w:rPr>
            </w:pPr>
          </w:p>
        </w:tc>
        <w:tc>
          <w:tcPr>
            <w:tcW w:w="1760" w:type="dxa"/>
            <w:vAlign w:val="bottom"/>
          </w:tcPr>
          <w:p>
            <w:pPr>
              <w:jc w:val="right"/>
              <w:ind w:right="408"/>
              <w:spacing w:after="0"/>
              <w:rPr>
                <w:sz w:val="20"/>
                <w:szCs w:val="20"/>
                <w:color w:val="auto"/>
              </w:rPr>
            </w:pPr>
            <w:r>
              <w:rPr>
                <w:rFonts w:ascii="Arial" w:cs="Arial" w:eastAsia="Arial" w:hAnsi="Arial"/>
                <w:sz w:val="13"/>
                <w:szCs w:val="13"/>
                <w:b w:val="1"/>
                <w:bCs w:val="1"/>
                <w:color w:val="auto"/>
              </w:rPr>
              <w:t>September 30, 2023</w:t>
            </w:r>
          </w:p>
        </w:tc>
        <w:tc>
          <w:tcPr>
            <w:tcW w:w="1720" w:type="dxa"/>
            <w:vAlign w:val="bottom"/>
          </w:tcPr>
          <w:p>
            <w:pPr>
              <w:jc w:val="right"/>
              <w:ind w:right="264"/>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480" w:type="dxa"/>
            <w:vAlign w:val="bottom"/>
            <w:gridSpan w:val="2"/>
          </w:tcPr>
          <w:p>
            <w:pPr>
              <w:jc w:val="center"/>
              <w:ind w:right="184"/>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+200 basis points</w:t>
            </w:r>
          </w:p>
        </w:tc>
        <w:tc>
          <w:tcPr>
            <w:tcW w:w="3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208"/>
              <w:spacing w:after="0"/>
              <w:rPr>
                <w:sz w:val="20"/>
                <w:szCs w:val="20"/>
                <w:color w:val="auto"/>
              </w:rPr>
            </w:pPr>
            <w:r>
              <w:rPr>
                <w:rFonts w:ascii="Arial" w:cs="Arial" w:eastAsia="Arial" w:hAnsi="Arial"/>
                <w:sz w:val="16"/>
                <w:szCs w:val="16"/>
                <w:color w:val="auto"/>
              </w:rPr>
              <w:t>68,953</w:t>
            </w:r>
          </w:p>
        </w:tc>
        <w:tc>
          <w:tcPr>
            <w:tcW w:w="17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224,555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+100 basis points</w:t>
            </w:r>
          </w:p>
        </w:tc>
        <w:tc>
          <w:tcPr>
            <w:tcW w:w="3640" w:type="dxa"/>
            <w:vAlign w:val="bottom"/>
          </w:tcPr>
          <w:p>
            <w:pPr>
              <w:spacing w:after="0"/>
              <w:rPr>
                <w:sz w:val="17"/>
                <w:szCs w:val="17"/>
                <w:color w:val="auto"/>
              </w:rPr>
            </w:pPr>
          </w:p>
        </w:tc>
        <w:tc>
          <w:tcPr>
            <w:tcW w:w="1760" w:type="dxa"/>
            <w:vAlign w:val="bottom"/>
          </w:tcPr>
          <w:p>
            <w:pPr>
              <w:jc w:val="right"/>
              <w:ind w:right="208"/>
              <w:spacing w:after="0"/>
              <w:rPr>
                <w:sz w:val="20"/>
                <w:szCs w:val="20"/>
                <w:color w:val="auto"/>
              </w:rPr>
            </w:pPr>
            <w:r>
              <w:rPr>
                <w:rFonts w:ascii="Arial" w:cs="Arial" w:eastAsia="Arial" w:hAnsi="Arial"/>
                <w:sz w:val="16"/>
                <w:szCs w:val="16"/>
                <w:color w:val="auto"/>
              </w:rPr>
              <w:t>63,958</w:t>
            </w: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158,020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-100 basis points</w:t>
            </w:r>
          </w:p>
        </w:tc>
        <w:tc>
          <w:tcPr>
            <w:tcW w:w="36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(100,361 )</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(216,202 )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-200 basis points</w:t>
            </w:r>
          </w:p>
        </w:tc>
        <w:tc>
          <w:tcPr>
            <w:tcW w:w="3640" w:type="dxa"/>
            <w:vAlign w:val="bottom"/>
          </w:tcPr>
          <w:p>
            <w:pPr>
              <w:spacing w:after="0"/>
              <w:rPr>
                <w:sz w:val="17"/>
                <w:szCs w:val="17"/>
                <w:color w:val="auto"/>
              </w:rPr>
            </w:pPr>
          </w:p>
        </w:tc>
        <w:tc>
          <w:tcPr>
            <w:tcW w:w="1760" w:type="dxa"/>
            <w:vAlign w:val="bottom"/>
            <w:vMerge w:val="restart"/>
          </w:tcPr>
          <w:p>
            <w:pPr>
              <w:jc w:val="right"/>
              <w:ind w:right="128"/>
              <w:spacing w:after="0"/>
              <w:rPr>
                <w:sz w:val="20"/>
                <w:szCs w:val="20"/>
                <w:color w:val="auto"/>
              </w:rPr>
            </w:pPr>
            <w:r>
              <w:rPr>
                <w:rFonts w:ascii="Arial" w:cs="Arial" w:eastAsia="Arial" w:hAnsi="Arial"/>
                <w:sz w:val="16"/>
                <w:szCs w:val="16"/>
                <w:color w:val="auto"/>
              </w:rPr>
              <w:t>(192,878 )</w:t>
            </w: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(439,512 )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40" w:type="dxa"/>
            <w:vAlign w:val="bottom"/>
          </w:tcPr>
          <w:p>
            <w:pPr>
              <w:jc w:val="right"/>
              <w:ind w:right="1462"/>
              <w:spacing w:after="0"/>
              <w:rPr>
                <w:sz w:val="20"/>
                <w:szCs w:val="20"/>
                <w:color w:val="auto"/>
              </w:rPr>
            </w:pPr>
            <w:r>
              <w:rPr>
                <w:rFonts w:ascii="Arial" w:cs="Arial" w:eastAsia="Arial" w:hAnsi="Arial"/>
                <w:sz w:val="16"/>
                <w:szCs w:val="16"/>
                <w:color w:val="auto"/>
              </w:rPr>
              <w:t>- 62 -</w:t>
            </w: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580" w:type="dxa"/>
            <w:vAlign w:val="bottom"/>
            <w:tcBorders>
              <w:bottom w:val="single" w:sz="8" w:color="EEEEEE"/>
            </w:tcBorders>
          </w:tcPr>
          <w:p>
            <w:pPr>
              <w:spacing w:after="0"/>
              <w:rPr>
                <w:sz w:val="8"/>
                <w:szCs w:val="8"/>
                <w:color w:val="auto"/>
              </w:rPr>
            </w:pPr>
          </w:p>
        </w:tc>
        <w:tc>
          <w:tcPr>
            <w:tcW w:w="1760" w:type="dxa"/>
            <w:vAlign w:val="bottom"/>
            <w:tcBorders>
              <w:bottom w:val="single" w:sz="8" w:color="EEEEEE"/>
            </w:tcBorders>
          </w:tcPr>
          <w:p>
            <w:pPr>
              <w:spacing w:after="0"/>
              <w:rPr>
                <w:sz w:val="8"/>
                <w:szCs w:val="8"/>
                <w:color w:val="auto"/>
              </w:rPr>
            </w:pPr>
          </w:p>
        </w:tc>
        <w:tc>
          <w:tcPr>
            <w:tcW w:w="3640" w:type="dxa"/>
            <w:vAlign w:val="bottom"/>
            <w:tcBorders>
              <w:bottom w:val="single" w:sz="8" w:color="EEEEEE"/>
            </w:tcBorders>
          </w:tcPr>
          <w:p>
            <w:pPr>
              <w:spacing w:after="0"/>
              <w:rPr>
                <w:sz w:val="8"/>
                <w:szCs w:val="8"/>
                <w:color w:val="auto"/>
              </w:rPr>
            </w:pPr>
          </w:p>
        </w:tc>
        <w:tc>
          <w:tcPr>
            <w:tcW w:w="1760" w:type="dxa"/>
            <w:vAlign w:val="bottom"/>
            <w:tcBorders>
              <w:bottom w:val="single" w:sz="8" w:color="EEEEEE"/>
            </w:tcBorders>
          </w:tcPr>
          <w:p>
            <w:pPr>
              <w:spacing w:after="0"/>
              <w:rPr>
                <w:sz w:val="8"/>
                <w:szCs w:val="8"/>
                <w:color w:val="auto"/>
              </w:rPr>
            </w:pPr>
          </w:p>
        </w:tc>
        <w:tc>
          <w:tcPr>
            <w:tcW w:w="17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62" w:name="page63"/>
    <w:bookmarkEnd w:id="62"/>
    <w:p>
      <w:pPr>
        <w:ind w:firstLine="468"/>
        <w:spacing w:after="0" w:line="252" w:lineRule="auto"/>
        <w:rPr>
          <w:sz w:val="20"/>
          <w:szCs w:val="20"/>
          <w:color w:val="auto"/>
        </w:rPr>
      </w:pPr>
      <w:r>
        <w:rPr>
          <w:rFonts w:ascii="Arial" w:cs="Arial" w:eastAsia="Arial" w:hAnsi="Arial"/>
          <w:sz w:val="18"/>
          <w:szCs w:val="18"/>
          <w:color w:val="auto"/>
        </w:rPr>
        <w:t>The Company utilized many assumptions to calculate the impact that changes in interest rates may have on net interest income. The more significant of those assumptions included the rate of prepayments of mortgage- related assets, cash flows from derivative and other financial instruments, loan and deposit volumes, mix and pricing, and deposit maturities. In the scenarios presented, the Company also assumed gradual changes in interest rates during a twelve-month period as compared with the base scenario. Changes in amounts presented since December 31, 2022 reflect changes in portfolio composition (including shifts between noninterest-bearing and interest-bearing deposits and higher levels of borrowings), the level of market -implied forward interest rates and hedging actions taken by the Company. Amidst the rising interest rate environment since the first quarter of 2022, M&amp;T's cumulative deposit pricing beta, which is the change in deposit pricing in response to a change in market interest rates, approximated 48 percent. Excluding brokered deposits that cumulative pricing beta approximated 42 percent. The cumulative deposit pricing beta (including and excluding brokered deposits) is assumed to approximate 50 to 55 percent in the interest rate scenarios presented.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77" w:lineRule="exact"/>
        <w:rPr>
          <w:sz w:val="20"/>
          <w:szCs w:val="20"/>
          <w:color w:val="auto"/>
        </w:rPr>
      </w:pPr>
    </w:p>
    <w:p>
      <w:pPr>
        <w:ind w:firstLine="468"/>
        <w:spacing w:after="0" w:line="268" w:lineRule="auto"/>
        <w:rPr>
          <w:sz w:val="20"/>
          <w:szCs w:val="20"/>
          <w:color w:val="auto"/>
        </w:rPr>
      </w:pPr>
      <w:r>
        <w:rPr>
          <w:rFonts w:ascii="Arial" w:cs="Arial" w:eastAsia="Arial" w:hAnsi="Arial"/>
          <w:sz w:val="17"/>
          <w:szCs w:val="17"/>
          <w:color w:val="auto"/>
        </w:rPr>
        <w:t>Certain of the Company's earning assets, interest-bearing liabilities, preferred equity instruments and interest rate swap agreements historically referenced LIBOR. The determination of LIBOR has effectively ceased after its final publication on June 30, 2023. In preparation for the elimination of LIBOR as a reference rate, the Company essentially had discontinued entering into LIBOR-based contracts at the end of 2021. At September 30, 2023 substantially all customer and other counterparty financial instruments have been transitioned to a new index (generally SOFR) through the amendment of pre-existing agreements to include appropriate alternative language effective upon cessation of LIBOR publication, negotiating new agreements, or other means. The outstanding amount of loans and leases that continue to reference LIBOR at September 30, 2023 was not significant. Prior to its cessation, many of the Company's interest rate swap agreements referenced LIBOR. In October 2020, the International Swaps and Derivatives Association, Inc. published the Supplement and the Protocol. The Protocol enabled market participants to incorporate certain revisions into their legacy non-cleared derivative trades with other counterparties that also chose to adhere to the Protocol. M&amp;T adhered to the Protocol in November 2020. With respect to the Company's cleared interest rate swap agreements that referenced LIBOR, clearinghouses have adopted the same SOFR benchmark alternatives of the Supplement and Protocol. All of the Company's LIBOR-based interest rate swap agreements at September 30, 2023 have reset to a suitable alternative index, primarily SOFR.</w:t>
      </w:r>
    </w:p>
    <w:p>
      <w:pPr>
        <w:spacing w:after="0" w:line="67"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In addition to the effect of interest rates, 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12 of Notes to Financial Statements.</w:t>
      </w:r>
    </w:p>
    <w:p>
      <w:pPr>
        <w:spacing w:after="0" w:line="67" w:lineRule="exact"/>
        <w:rPr>
          <w:sz w:val="20"/>
          <w:szCs w:val="20"/>
          <w:color w:val="auto"/>
        </w:rPr>
      </w:pPr>
    </w:p>
    <w:p>
      <w:pPr>
        <w:ind w:right="60" w:firstLine="468"/>
        <w:spacing w:after="0" w:line="252" w:lineRule="auto"/>
        <w:rPr>
          <w:sz w:val="20"/>
          <w:szCs w:val="20"/>
          <w:color w:val="auto"/>
        </w:rPr>
      </w:pPr>
      <w:r>
        <w:rPr>
          <w:rFonts w:ascii="Arial" w:cs="Arial" w:eastAsia="Arial" w:hAnsi="Arial"/>
          <w:sz w:val="18"/>
          <w:szCs w:val="18"/>
          <w:color w:val="auto"/>
        </w:rPr>
        <w:t>The Company enters into interest rate and foreign exchange contracts to meet the financial needs of customers that it includes in its financial statements as other non- 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Consolidated Balance Sheet were $339 million and $1.4 billion, respectively, at September 30, 2023 and $ 380 million and $1.3 billion, respectively, at December 31, 2022. The fair value asset and liability amounts at September 30, 2023 have been reduced by contractual settlements of $ 1.2 billion and $16 million, respectively, and at December 31, 2022 have been reduced by contractual settlements of $1.1 billion and $29 million,</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63" w:name="page64"/>
    <w:bookmarkEnd w:id="63"/>
    <w:p>
      <w:pPr>
        <w:jc w:val="both"/>
        <w:ind w:right="200"/>
        <w:spacing w:after="0" w:line="263" w:lineRule="auto"/>
        <w:rPr>
          <w:sz w:val="20"/>
          <w:szCs w:val="20"/>
          <w:color w:val="auto"/>
        </w:rPr>
      </w:pPr>
      <w:r>
        <w:rPr>
          <w:rFonts w:ascii="Arial" w:cs="Arial" w:eastAsia="Arial" w:hAnsi="Arial"/>
          <w:sz w:val="18"/>
          <w:szCs w:val="18"/>
          <w:color w:val="auto"/>
        </w:rPr>
        <w:t>respectively. The amounts associated with the Company's non- hedging derivative activities at September 30, 2023 and December 31, 2022 reflect changes in values associated with interest rate swap agreements entered into with commercial customers that are not subject to periodic variation margin settlement payments.</w:t>
      </w:r>
    </w:p>
    <w:p>
      <w:pPr>
        <w:spacing w:after="0" w:line="64"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Trading account assets were $137 million at September 30, 2023, $118 million at December 31, 2022 and $130 million at September 30, 2022. Included in trading account assets were assets related to deferred compensation plans of $22 million at September 30, 2023 and $23 million at each of December 31, 2022 and September 30, 2022. Changes in the fair values of such assets are recorded as “trading account and other non-hedging derivative gains” in the Consolidated Statement of Income. Included in “other liabilities” in the Consolidated Balance Sheet at September 30, 2023 was $27 million of liabilities related to deferred compensation plans, compared with $29 million at each of December 31, 2022 and September 30, 2022.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$81 million at September 30, 2023, $95 million at December 31, 2022 and $107 million at September 30, 2022.</w:t>
      </w:r>
    </w:p>
    <w:p>
      <w:pPr>
        <w:spacing w:after="0" w:line="73" w:lineRule="exact"/>
        <w:rPr>
          <w:sz w:val="20"/>
          <w:szCs w:val="20"/>
          <w:color w:val="auto"/>
        </w:rPr>
      </w:pPr>
    </w:p>
    <w:p>
      <w:pPr>
        <w:ind w:firstLine="468"/>
        <w:spacing w:after="0" w:line="256" w:lineRule="auto"/>
        <w:rPr>
          <w:sz w:val="20"/>
          <w:szCs w:val="20"/>
          <w:color w:val="auto"/>
        </w:rPr>
      </w:pPr>
      <w:r>
        <w:rPr>
          <w:rFonts w:ascii="Arial" w:cs="Arial" w:eastAsia="Arial" w:hAnsi="Arial"/>
          <w:sz w:val="18"/>
          <w:szCs w:val="18"/>
          <w:color w:val="auto"/>
        </w:rPr>
        <w:t>Given the Company’s policies and positions, management believes that the potential loss exposure to the Company resulting from market risk associated with trading account and other non-hedging derivative activities was not material, however, as previously noted, the Company is exposed to credit risk associated with counterparties to transactions related to the Company’s actions to mitigate foreign currency and interest rate risk associated with customer activities. Additional information about the Company’s use of derivative financial instruments is included in note 10 of Notes to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A provision for credit losses is recorded to adjust the level of the allowance to reflect expected credit losses that are based on economic forecasts as of each reporting date. A provision for credit losses of $150 million was recorded in each of the third quarter of 2023 and the second quarter of 2023, compared with $115 million in the year-earlier third quarter. The Company's estimates of expected credit losses at September 30, 2023 reflect a modest increase in the unemployment rate, lower economic activity measured by gross domestic product and a decline in commercial and residential real estate prices. Declines in commercial real estate values persisted in the recent quarter as concerns continue around the healthcare and office building sectors. The Company recorded a $ 420 million provision for credit losses in the first nine months of 2023, compared with $ 427 million in the corresponding 2022 period. The provision for credit losses in the first nine months of 2022 included $242 million in the second quarter on loans obtained in the acquisition of People's United not deemed to be PCD. GAAP requires a provision for credit losses to be recorded related to those loans beyond the recognition of credit losses utilized in the determination of the estimated fair value of the loans at the acquisition date. In addition to the recorded provision, the allowance for credit losses was also increased by $99 million in the second quarter of 2022 to reflect the expected credit losses on loans obtained in the acquisition of People's United deemed to be PCD. That addition represented an increase of the carrying values of loans identified as PCD at the time of the acquisition.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64" w:name="page65"/>
    <w:bookmarkEnd w:id="64"/>
    <w:p>
      <w:pPr>
        <w:ind w:right="280" w:firstLine="468"/>
        <w:spacing w:after="0" w:line="275" w:lineRule="auto"/>
        <w:rPr>
          <w:sz w:val="20"/>
          <w:szCs w:val="20"/>
          <w:color w:val="auto"/>
        </w:rPr>
      </w:pPr>
      <w:r>
        <w:rPr>
          <w:rFonts w:ascii="Arial" w:cs="Arial" w:eastAsia="Arial" w:hAnsi="Arial"/>
          <w:sz w:val="18"/>
          <w:szCs w:val="18"/>
          <w:color w:val="auto"/>
        </w:rPr>
        <w:t>A summary of net charge-offs by loan type and as an annualized percentage of such average loans is presented in the table that follows.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 (RECOVERIES)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center"/>
              <w:ind w:left="495"/>
              <w:spacing w:after="0"/>
              <w:rPr>
                <w:sz w:val="20"/>
                <w:szCs w:val="20"/>
                <w:color w:val="auto"/>
              </w:rPr>
            </w:pPr>
            <w:r>
              <w:rPr>
                <w:rFonts w:ascii="Arial" w:cs="Arial" w:eastAsia="Arial" w:hAnsi="Arial"/>
                <w:sz w:val="13"/>
                <w:szCs w:val="13"/>
                <w:b w:val="1"/>
                <w:bCs w:val="1"/>
                <w:color w:val="auto"/>
                <w:w w:val="96"/>
              </w:rPr>
              <w:t>2023</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98"/>
              </w:rPr>
              <w:t>Year-</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15"/>
                <w:szCs w:val="15"/>
                <w:color w:val="auto"/>
              </w:rPr>
            </w:pPr>
          </w:p>
        </w:tc>
        <w:tc>
          <w:tcPr>
            <w:tcW w:w="17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Second Quarter</w:t>
            </w:r>
          </w:p>
        </w:tc>
        <w:tc>
          <w:tcPr>
            <w:tcW w:w="14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Arial" w:cs="Arial" w:eastAsia="Arial" w:hAnsi="Arial"/>
                <w:sz w:val="13"/>
                <w:szCs w:val="13"/>
                <w:b w:val="1"/>
                <w:bCs w:val="1"/>
                <w:color w:val="auto"/>
              </w:rPr>
              <w:t>Third Quarter</w:t>
            </w: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to-date</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Net</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Percenta</w:t>
            </w:r>
          </w:p>
        </w:tc>
        <w:tc>
          <w:tcPr>
            <w:tcW w:w="140" w:type="dxa"/>
            <w:vAlign w:val="bottom"/>
          </w:tcPr>
          <w:p>
            <w:pPr>
              <w:spacing w:after="0"/>
              <w:rPr>
                <w:sz w:val="13"/>
                <w:szCs w:val="13"/>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Net</w:t>
            </w: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Percenta</w:t>
            </w:r>
          </w:p>
        </w:tc>
        <w:tc>
          <w:tcPr>
            <w:tcW w:w="1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Percenta</w:t>
            </w:r>
          </w:p>
        </w:tc>
        <w:tc>
          <w:tcPr>
            <w:tcW w:w="100" w:type="dxa"/>
            <w:vAlign w:val="bottom"/>
          </w:tcPr>
          <w:p>
            <w:pPr>
              <w:spacing w:after="0"/>
              <w:rPr>
                <w:sz w:val="13"/>
                <w:szCs w:val="13"/>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Net</w:t>
            </w: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8"/>
              </w:rPr>
              <w:t>Percenta</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rPr>
              <w:t>Charge-</w:t>
            </w:r>
          </w:p>
        </w:tc>
        <w:tc>
          <w:tcPr>
            <w:tcW w:w="920" w:type="dxa"/>
            <w:vAlign w:val="bottom"/>
            <w:gridSpan w:val="2"/>
            <w:vMerge w:val="continue"/>
          </w:tcPr>
          <w:p>
            <w:pPr>
              <w:spacing w:after="0"/>
              <w:rPr>
                <w:sz w:val="6"/>
                <w:szCs w:val="6"/>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Charge-</w:t>
            </w:r>
          </w:p>
        </w:tc>
        <w:tc>
          <w:tcPr>
            <w:tcW w:w="920" w:type="dxa"/>
            <w:vAlign w:val="bottom"/>
            <w:gridSpan w:val="2"/>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Charge-</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Charge-</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ge of</w:t>
            </w:r>
          </w:p>
        </w:tc>
        <w:tc>
          <w:tcPr>
            <w:tcW w:w="92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ge of</w:t>
            </w:r>
          </w:p>
        </w:tc>
        <w:tc>
          <w:tcPr>
            <w:tcW w:w="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ge of</w:t>
            </w:r>
          </w:p>
        </w:tc>
        <w:tc>
          <w:tcPr>
            <w:tcW w:w="860" w:type="dxa"/>
            <w:vAlign w:val="bottom"/>
            <w:gridSpan w:val="3"/>
            <w:vMerge w:val="continue"/>
          </w:tcPr>
          <w:p>
            <w:pPr>
              <w:spacing w:after="0"/>
              <w:rPr>
                <w:sz w:val="7"/>
                <w:szCs w:val="7"/>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ge of</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Offs</w:t>
            </w: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9"/>
              </w:rPr>
              <w:t>Offs</w:t>
            </w: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74"/>
              <w:spacing w:after="0"/>
              <w:rPr>
                <w:sz w:val="20"/>
                <w:szCs w:val="20"/>
                <w:color w:val="auto"/>
              </w:rPr>
            </w:pPr>
            <w:r>
              <w:rPr>
                <w:rFonts w:ascii="Arial" w:cs="Arial" w:eastAsia="Arial" w:hAnsi="Arial"/>
                <w:sz w:val="13"/>
                <w:szCs w:val="13"/>
                <w:b w:val="1"/>
                <w:bCs w:val="1"/>
                <w:color w:val="auto"/>
                <w:w w:val="99"/>
              </w:rPr>
              <w:t>Offs</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9"/>
              </w:rPr>
              <w:t>Offs</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(Recoveri</w:t>
            </w:r>
          </w:p>
        </w:tc>
        <w:tc>
          <w:tcPr>
            <w:tcW w:w="920" w:type="dxa"/>
            <w:vAlign w:val="bottom"/>
            <w:gridSpan w:val="2"/>
            <w:vMerge w:val="continue"/>
          </w:tcPr>
          <w:p>
            <w:pPr>
              <w:spacing w:after="0"/>
              <w:rPr>
                <w:sz w:val="6"/>
                <w:szCs w:val="6"/>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(Recoveri</w:t>
            </w:r>
          </w:p>
        </w:tc>
        <w:tc>
          <w:tcPr>
            <w:tcW w:w="920" w:type="dxa"/>
            <w:vAlign w:val="bottom"/>
            <w:gridSpan w:val="2"/>
            <w:vMerge w:val="continue"/>
          </w:tcPr>
          <w:p>
            <w:pPr>
              <w:spacing w:after="0"/>
              <w:rPr>
                <w:sz w:val="6"/>
                <w:szCs w:val="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(Recoveri</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(Recoveri</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Loans</w:t>
            </w:r>
          </w:p>
        </w:tc>
        <w:tc>
          <w:tcPr>
            <w:tcW w:w="92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Loans</w:t>
            </w:r>
          </w:p>
        </w:tc>
        <w:tc>
          <w:tcPr>
            <w:tcW w:w="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3"/>
            <w:vMerge w:val="continue"/>
          </w:tcPr>
          <w:p>
            <w:pPr>
              <w:spacing w:after="0"/>
              <w:rPr>
                <w:sz w:val="7"/>
                <w:szCs w:val="7"/>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9"/>
              </w:rPr>
              <w:t>Loans</w:t>
            </w:r>
          </w:p>
        </w:tc>
        <w:tc>
          <w:tcPr>
            <w:tcW w:w="0" w:type="dxa"/>
            <w:vAlign w:val="bottom"/>
          </w:tcPr>
          <w:p>
            <w:pPr>
              <w:spacing w:after="0"/>
              <w:rPr>
                <w:sz w:val="1"/>
                <w:szCs w:val="1"/>
                <w:color w:val="auto"/>
              </w:rPr>
            </w:pPr>
          </w:p>
        </w:tc>
      </w:tr>
      <w:tr>
        <w:trPr>
          <w:trHeight w:val="99"/>
        </w:trPr>
        <w:tc>
          <w:tcPr>
            <w:tcW w:w="3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es)</w:t>
            </w: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5"/>
              </w:rPr>
              <w:t>es)</w:t>
            </w: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es)</w:t>
            </w:r>
          </w:p>
        </w:tc>
        <w:tc>
          <w:tcPr>
            <w:tcW w:w="2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es)</w:t>
            </w: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jc w:val="center"/>
              <w:ind w:right="34"/>
              <w:spacing w:after="0"/>
              <w:rPr>
                <w:sz w:val="20"/>
                <w:szCs w:val="20"/>
                <w:color w:val="auto"/>
              </w:rPr>
            </w:pPr>
            <w:r>
              <w:rPr>
                <w:rFonts w:ascii="Arial" w:cs="Arial" w:eastAsia="Arial" w:hAnsi="Arial"/>
                <w:sz w:val="13"/>
                <w:szCs w:val="13"/>
                <w:b w:val="1"/>
                <w:bCs w:val="1"/>
                <w:color w:val="auto"/>
              </w:rPr>
              <w:t>(Dollars in thousands)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20"/>
              <w:spacing w:after="0"/>
              <w:rPr>
                <w:sz w:val="20"/>
                <w:szCs w:val="20"/>
                <w:color w:val="auto"/>
              </w:rPr>
            </w:pPr>
            <w:r>
              <w:rPr>
                <w:rFonts w:ascii="Arial" w:cs="Arial" w:eastAsia="Arial" w:hAnsi="Arial"/>
                <w:sz w:val="13"/>
                <w:szCs w:val="13"/>
                <w:color w:val="auto"/>
              </w:rPr>
              <w:t>Commercial, financial, leasing, etc.</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9,561</w:t>
            </w:r>
          </w:p>
        </w:tc>
        <w:tc>
          <w:tcPr>
            <w:tcW w:w="2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.09 %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4,827</w:t>
            </w:r>
          </w:p>
        </w:tc>
        <w:tc>
          <w:tcPr>
            <w:tcW w:w="2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.04 %</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ind w:left="100"/>
              <w:spacing w:after="0"/>
              <w:rPr>
                <w:sz w:val="20"/>
                <w:szCs w:val="20"/>
                <w:color w:val="auto"/>
              </w:rPr>
            </w:pPr>
            <w:r>
              <w:rPr>
                <w:rFonts w:ascii="Arial" w:cs="Arial" w:eastAsia="Arial" w:hAnsi="Arial"/>
                <w:sz w:val="13"/>
                <w:szCs w:val="13"/>
                <w:color w:val="auto"/>
              </w:rPr>
              <w:t>19,868</w:t>
            </w:r>
          </w:p>
        </w:tc>
        <w:tc>
          <w:tcPr>
            <w:tcW w:w="1120" w:type="dxa"/>
            <w:vAlign w:val="bottom"/>
            <w:gridSpan w:val="3"/>
            <w:vMerge w:val="restart"/>
          </w:tcPr>
          <w:p>
            <w:pPr>
              <w:ind w:left="640"/>
              <w:spacing w:after="0"/>
              <w:rPr>
                <w:sz w:val="20"/>
                <w:szCs w:val="20"/>
                <w:color w:val="auto"/>
              </w:rPr>
            </w:pPr>
            <w:r>
              <w:rPr>
                <w:rFonts w:ascii="Arial" w:cs="Arial" w:eastAsia="Arial" w:hAnsi="Arial"/>
                <w:sz w:val="13"/>
                <w:szCs w:val="13"/>
                <w:color w:val="auto"/>
              </w:rPr>
              <w:t>.18 %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34,256</w:t>
            </w:r>
          </w:p>
        </w:tc>
        <w:tc>
          <w:tcPr>
            <w:tcW w:w="240" w:type="dxa"/>
            <w:vAlign w:val="bottom"/>
          </w:tcPr>
          <w:p>
            <w:pPr>
              <w:spacing w:after="0"/>
              <w:rPr>
                <w:sz w:val="14"/>
                <w:szCs w:val="14"/>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Commercial</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29,055</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99,037</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47,284</w:t>
            </w:r>
          </w:p>
        </w:tc>
        <w:tc>
          <w:tcPr>
            <w:tcW w:w="840" w:type="dxa"/>
            <w:vAlign w:val="bottom"/>
            <w:gridSpan w:val="2"/>
            <w:shd w:val="clear" w:color="auto" w:fill="CFF0FC"/>
          </w:tcPr>
          <w:p>
            <w:pPr>
              <w:ind w:left="640"/>
              <w:spacing w:after="0"/>
              <w:rPr>
                <w:sz w:val="20"/>
                <w:szCs w:val="20"/>
                <w:color w:val="auto"/>
              </w:rPr>
            </w:pPr>
            <w:r>
              <w:rPr>
                <w:rFonts w:ascii="Arial" w:cs="Arial" w:eastAsia="Arial" w:hAnsi="Arial"/>
                <w:sz w:val="13"/>
                <w:szCs w:val="13"/>
                <w:color w:val="auto"/>
                <w:w w:val="99"/>
              </w:rPr>
              <w:t>.42</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175,376</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378</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(1,243 )</w:t>
            </w: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508</w:t>
            </w:r>
          </w:p>
        </w:tc>
        <w:tc>
          <w:tcPr>
            <w:tcW w:w="840" w:type="dxa"/>
            <w:vAlign w:val="bottom"/>
            <w:gridSpan w:val="2"/>
          </w:tcPr>
          <w:p>
            <w:pPr>
              <w:ind w:left="640"/>
              <w:spacing w:after="0"/>
              <w:rPr>
                <w:sz w:val="20"/>
                <w:szCs w:val="20"/>
                <w:color w:val="auto"/>
              </w:rPr>
            </w:pPr>
            <w:r>
              <w:rPr>
                <w:rFonts w:ascii="Arial" w:cs="Arial" w:eastAsia="Arial" w:hAnsi="Arial"/>
                <w:sz w:val="13"/>
                <w:szCs w:val="13"/>
                <w:color w:val="auto"/>
                <w:w w:val="99"/>
              </w:rPr>
              <w:t>.01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(357 )</w:t>
            </w: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31,227</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24,123</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28,579</w:t>
            </w:r>
          </w:p>
        </w:tc>
        <w:tc>
          <w:tcPr>
            <w:tcW w:w="840" w:type="dxa"/>
            <w:vAlign w:val="bottom"/>
            <w:gridSpan w:val="2"/>
            <w:shd w:val="clear" w:color="auto" w:fill="CFF0FC"/>
          </w:tcPr>
          <w:p>
            <w:pPr>
              <w:ind w:left="640"/>
              <w:spacing w:after="0"/>
              <w:rPr>
                <w:sz w:val="20"/>
                <w:szCs w:val="20"/>
                <w:color w:val="auto"/>
              </w:rPr>
            </w:pPr>
            <w:r>
              <w:rPr>
                <w:rFonts w:ascii="Arial" w:cs="Arial" w:eastAsia="Arial" w:hAnsi="Arial"/>
                <w:sz w:val="13"/>
                <w:szCs w:val="13"/>
                <w:color w:val="auto"/>
                <w:w w:val="99"/>
              </w:rPr>
              <w:t>.56</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83,929</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70,221</w:t>
            </w:r>
          </w:p>
        </w:tc>
        <w:tc>
          <w:tcPr>
            <w:tcW w:w="26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.22 </w:t>
            </w:r>
            <w:r>
              <w:rPr>
                <w:rFonts w:ascii="Arial" w:cs="Arial" w:eastAsia="Arial" w:hAnsi="Arial"/>
                <w:sz w:val="20"/>
                <w:szCs w:val="20"/>
                <w:color w:val="auto"/>
                <w:vertAlign w:val="subscript"/>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$ 126,744</w:t>
            </w:r>
          </w:p>
        </w:tc>
        <w:tc>
          <w:tcPr>
            <w:tcW w:w="26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.38 </w:t>
            </w:r>
            <w:r>
              <w:rPr>
                <w:rFonts w:ascii="Arial" w:cs="Arial" w:eastAsia="Arial" w:hAnsi="Arial"/>
                <w:sz w:val="20"/>
                <w:szCs w:val="20"/>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ind w:left="100"/>
              <w:spacing w:after="0"/>
              <w:rPr>
                <w:sz w:val="20"/>
                <w:szCs w:val="20"/>
                <w:color w:val="auto"/>
              </w:rPr>
            </w:pPr>
            <w:r>
              <w:rPr>
                <w:rFonts w:ascii="Arial" w:cs="Arial" w:eastAsia="Arial" w:hAnsi="Arial"/>
                <w:sz w:val="13"/>
                <w:szCs w:val="13"/>
                <w:color w:val="auto"/>
              </w:rPr>
              <w:t>96,239</w:t>
            </w:r>
          </w:p>
        </w:tc>
        <w:tc>
          <w:tcPr>
            <w:tcW w:w="1120" w:type="dxa"/>
            <w:vAlign w:val="bottom"/>
            <w:gridSpan w:val="3"/>
          </w:tcPr>
          <w:p>
            <w:pPr>
              <w:ind w:left="640"/>
              <w:spacing w:after="0" w:line="180" w:lineRule="exact"/>
              <w:rPr>
                <w:sz w:val="20"/>
                <w:szCs w:val="20"/>
                <w:color w:val="auto"/>
              </w:rPr>
            </w:pPr>
            <w:r>
              <w:rPr>
                <w:rFonts w:ascii="Arial" w:cs="Arial" w:eastAsia="Arial" w:hAnsi="Arial"/>
                <w:sz w:val="11"/>
                <w:szCs w:val="11"/>
                <w:color w:val="auto"/>
              </w:rPr>
              <w:t xml:space="preserve">.29 </w:t>
            </w:r>
            <w:r>
              <w:rPr>
                <w:rFonts w:ascii="Arial" w:cs="Arial" w:eastAsia="Arial" w:hAnsi="Arial"/>
                <w:sz w:val="20"/>
                <w:szCs w:val="20"/>
                <w:color w:val="auto"/>
                <w:vertAlign w:val="subscript"/>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$ 293,204</w:t>
            </w:r>
          </w:p>
        </w:tc>
        <w:tc>
          <w:tcPr>
            <w:tcW w:w="240" w:type="dxa"/>
            <w:vAlign w:val="bottom"/>
          </w:tcPr>
          <w:p>
            <w:pPr>
              <w:spacing w:after="0"/>
              <w:rPr>
                <w:sz w:val="15"/>
                <w:szCs w:val="15"/>
                <w:color w:val="auto"/>
              </w:rPr>
            </w:pPr>
          </w:p>
        </w:tc>
        <w:tc>
          <w:tcPr>
            <w:tcW w:w="7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.30 </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center"/>
              <w:ind w:left="495"/>
              <w:spacing w:after="0"/>
              <w:rPr>
                <w:sz w:val="20"/>
                <w:szCs w:val="20"/>
                <w:color w:val="auto"/>
              </w:rPr>
            </w:pPr>
            <w:r>
              <w:rPr>
                <w:rFonts w:ascii="Arial" w:cs="Arial" w:eastAsia="Arial" w:hAnsi="Arial"/>
                <w:sz w:val="13"/>
                <w:szCs w:val="13"/>
                <w:b w:val="1"/>
                <w:bCs w:val="1"/>
                <w:color w:val="auto"/>
                <w:w w:val="96"/>
              </w:rPr>
              <w:t>2022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98"/>
              </w:rPr>
              <w:t>Year-</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15"/>
                <w:szCs w:val="15"/>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Second Quarter (a)</w:t>
            </w:r>
          </w:p>
        </w:tc>
        <w:tc>
          <w:tcPr>
            <w:tcW w:w="140" w:type="dxa"/>
            <w:vAlign w:val="bottom"/>
          </w:tcPr>
          <w:p>
            <w:pPr>
              <w:spacing w:after="0"/>
              <w:rPr>
                <w:sz w:val="15"/>
                <w:szCs w:val="15"/>
                <w:color w:val="auto"/>
              </w:rPr>
            </w:pPr>
          </w:p>
        </w:tc>
        <w:tc>
          <w:tcPr>
            <w:tcW w:w="1640" w:type="dxa"/>
            <w:vAlign w:val="bottom"/>
            <w:gridSpan w:val="4"/>
          </w:tcPr>
          <w:p>
            <w:pPr>
              <w:ind w:left="180"/>
              <w:spacing w:after="0"/>
              <w:rPr>
                <w:sz w:val="20"/>
                <w:szCs w:val="20"/>
                <w:color w:val="auto"/>
              </w:rPr>
            </w:pPr>
            <w:r>
              <w:rPr>
                <w:rFonts w:ascii="Arial" w:cs="Arial" w:eastAsia="Arial" w:hAnsi="Arial"/>
                <w:sz w:val="13"/>
                <w:szCs w:val="13"/>
                <w:b w:val="1"/>
                <w:bCs w:val="1"/>
                <w:color w:val="auto"/>
              </w:rPr>
              <w:t>Third Quarter</w:t>
            </w:r>
          </w:p>
        </w:tc>
        <w:tc>
          <w:tcPr>
            <w:tcW w:w="100" w:type="dxa"/>
            <w:vAlign w:val="bottom"/>
          </w:tcPr>
          <w:p>
            <w:pPr>
              <w:spacing w:after="0"/>
              <w:rPr>
                <w:sz w:val="15"/>
                <w:szCs w:val="15"/>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to-date (a)</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Net</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Percenta</w:t>
            </w:r>
          </w:p>
        </w:tc>
        <w:tc>
          <w:tcPr>
            <w:tcW w:w="140" w:type="dxa"/>
            <w:vAlign w:val="bottom"/>
          </w:tcPr>
          <w:p>
            <w:pPr>
              <w:spacing w:after="0"/>
              <w:rPr>
                <w:sz w:val="13"/>
                <w:szCs w:val="13"/>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Net</w:t>
            </w: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Percenta</w:t>
            </w:r>
          </w:p>
        </w:tc>
        <w:tc>
          <w:tcPr>
            <w:tcW w:w="1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Percenta</w:t>
            </w:r>
          </w:p>
        </w:tc>
        <w:tc>
          <w:tcPr>
            <w:tcW w:w="100" w:type="dxa"/>
            <w:vAlign w:val="bottom"/>
          </w:tcPr>
          <w:p>
            <w:pPr>
              <w:spacing w:after="0"/>
              <w:rPr>
                <w:sz w:val="13"/>
                <w:szCs w:val="13"/>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Net</w:t>
            </w: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8"/>
              </w:rPr>
              <w:t>Percenta</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rPr>
              <w:t>Charge-</w:t>
            </w:r>
          </w:p>
        </w:tc>
        <w:tc>
          <w:tcPr>
            <w:tcW w:w="920" w:type="dxa"/>
            <w:vAlign w:val="bottom"/>
            <w:gridSpan w:val="2"/>
            <w:vMerge w:val="continue"/>
          </w:tcPr>
          <w:p>
            <w:pPr>
              <w:spacing w:after="0"/>
              <w:rPr>
                <w:sz w:val="6"/>
                <w:szCs w:val="6"/>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Charge-</w:t>
            </w:r>
          </w:p>
        </w:tc>
        <w:tc>
          <w:tcPr>
            <w:tcW w:w="920" w:type="dxa"/>
            <w:vAlign w:val="bottom"/>
            <w:gridSpan w:val="2"/>
            <w:vMerge w:val="continue"/>
          </w:tcPr>
          <w:p>
            <w:pPr>
              <w:spacing w:after="0"/>
              <w:rPr>
                <w:sz w:val="6"/>
                <w:szCs w:val="6"/>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Charge-</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Charge-</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ge of</w:t>
            </w:r>
          </w:p>
        </w:tc>
        <w:tc>
          <w:tcPr>
            <w:tcW w:w="92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ge of</w:t>
            </w:r>
          </w:p>
        </w:tc>
        <w:tc>
          <w:tcPr>
            <w:tcW w:w="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ge of</w:t>
            </w:r>
          </w:p>
        </w:tc>
        <w:tc>
          <w:tcPr>
            <w:tcW w:w="860" w:type="dxa"/>
            <w:vAlign w:val="bottom"/>
            <w:gridSpan w:val="3"/>
            <w:vMerge w:val="continue"/>
          </w:tcPr>
          <w:p>
            <w:pPr>
              <w:spacing w:after="0"/>
              <w:rPr>
                <w:sz w:val="7"/>
                <w:szCs w:val="7"/>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ge of</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Offs</w:t>
            </w: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9"/>
              </w:rPr>
              <w:t>Offs</w:t>
            </w: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jc w:val="center"/>
              <w:ind w:right="74"/>
              <w:spacing w:after="0"/>
              <w:rPr>
                <w:sz w:val="20"/>
                <w:szCs w:val="20"/>
                <w:color w:val="auto"/>
              </w:rPr>
            </w:pPr>
            <w:r>
              <w:rPr>
                <w:rFonts w:ascii="Arial" w:cs="Arial" w:eastAsia="Arial" w:hAnsi="Arial"/>
                <w:sz w:val="13"/>
                <w:szCs w:val="13"/>
                <w:b w:val="1"/>
                <w:bCs w:val="1"/>
                <w:color w:val="auto"/>
                <w:w w:val="99"/>
              </w:rPr>
              <w:t>Offs</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9"/>
              </w:rPr>
              <w:t>Offs</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72"/>
        </w:trPr>
        <w:tc>
          <w:tcPr>
            <w:tcW w:w="3520" w:type="dxa"/>
            <w:vAlign w:val="bottom"/>
          </w:tcPr>
          <w:p>
            <w:pPr>
              <w:spacing w:after="0"/>
              <w:rPr>
                <w:sz w:val="6"/>
                <w:szCs w:val="6"/>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(Recoveri</w:t>
            </w:r>
          </w:p>
        </w:tc>
        <w:tc>
          <w:tcPr>
            <w:tcW w:w="920" w:type="dxa"/>
            <w:vAlign w:val="bottom"/>
            <w:gridSpan w:val="2"/>
            <w:vMerge w:val="continue"/>
          </w:tcPr>
          <w:p>
            <w:pPr>
              <w:spacing w:after="0"/>
              <w:rPr>
                <w:sz w:val="6"/>
                <w:szCs w:val="6"/>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rPr>
              <w:t>(Recoveri</w:t>
            </w:r>
          </w:p>
        </w:tc>
        <w:tc>
          <w:tcPr>
            <w:tcW w:w="920" w:type="dxa"/>
            <w:vAlign w:val="bottom"/>
            <w:gridSpan w:val="2"/>
            <w:vMerge w:val="continue"/>
          </w:tcPr>
          <w:p>
            <w:pPr>
              <w:spacing w:after="0"/>
              <w:rPr>
                <w:sz w:val="6"/>
                <w:szCs w:val="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(Recoveri</w:t>
            </w:r>
          </w:p>
        </w:tc>
        <w:tc>
          <w:tcPr>
            <w:tcW w:w="2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(Recoveri</w:t>
            </w:r>
          </w:p>
        </w:tc>
        <w:tc>
          <w:tcPr>
            <w:tcW w:w="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Loans</w:t>
            </w:r>
          </w:p>
        </w:tc>
        <w:tc>
          <w:tcPr>
            <w:tcW w:w="920" w:type="dxa"/>
            <w:vAlign w:val="bottom"/>
            <w:gridSpan w:val="3"/>
            <w:vMerge w:val="continue"/>
          </w:tcPr>
          <w:p>
            <w:pPr>
              <w:spacing w:after="0"/>
              <w:rPr>
                <w:sz w:val="7"/>
                <w:szCs w:val="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9"/>
              </w:rPr>
              <w:t>Loans</w:t>
            </w:r>
          </w:p>
        </w:tc>
        <w:tc>
          <w:tcPr>
            <w:tcW w:w="6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Loans</w:t>
            </w:r>
          </w:p>
        </w:tc>
        <w:tc>
          <w:tcPr>
            <w:tcW w:w="860" w:type="dxa"/>
            <w:vAlign w:val="bottom"/>
            <w:gridSpan w:val="3"/>
            <w:vMerge w:val="continue"/>
          </w:tcPr>
          <w:p>
            <w:pPr>
              <w:spacing w:after="0"/>
              <w:rPr>
                <w:sz w:val="7"/>
                <w:szCs w:val="7"/>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9"/>
              </w:rPr>
              <w:t>Loans</w:t>
            </w:r>
          </w:p>
        </w:tc>
        <w:tc>
          <w:tcPr>
            <w:tcW w:w="0" w:type="dxa"/>
            <w:vAlign w:val="bottom"/>
          </w:tcPr>
          <w:p>
            <w:pPr>
              <w:spacing w:after="0"/>
              <w:rPr>
                <w:sz w:val="1"/>
                <w:szCs w:val="1"/>
                <w:color w:val="auto"/>
              </w:rPr>
            </w:pPr>
          </w:p>
        </w:tc>
      </w:tr>
      <w:tr>
        <w:trPr>
          <w:trHeight w:val="99"/>
        </w:trPr>
        <w:tc>
          <w:tcPr>
            <w:tcW w:w="3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rPr>
              <w:t>es)</w:t>
            </w: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5"/>
              </w:rPr>
              <w:t>es)</w:t>
            </w: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es)</w:t>
            </w:r>
          </w:p>
        </w:tc>
        <w:tc>
          <w:tcPr>
            <w:tcW w:w="2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es)</w:t>
            </w: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jc w:val="center"/>
              <w:ind w:right="34"/>
              <w:spacing w:after="0"/>
              <w:rPr>
                <w:sz w:val="20"/>
                <w:szCs w:val="20"/>
                <w:color w:val="auto"/>
              </w:rPr>
            </w:pPr>
            <w:r>
              <w:rPr>
                <w:rFonts w:ascii="Arial" w:cs="Arial" w:eastAsia="Arial" w:hAnsi="Arial"/>
                <w:sz w:val="13"/>
                <w:szCs w:val="13"/>
                <w:b w:val="1"/>
                <w:bCs w:val="1"/>
                <w:color w:val="auto"/>
              </w:rPr>
              <w:t>(Dollars in thousands)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Arial" w:cs="Arial" w:eastAsia="Arial" w:hAnsi="Arial"/>
                <w:sz w:val="13"/>
                <w:szCs w:val="13"/>
                <w:color w:val="auto"/>
              </w:rPr>
              <w:t>Commercial, financial, leasing, etc.</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5,569</w:t>
            </w:r>
          </w:p>
        </w:tc>
        <w:tc>
          <w:tcPr>
            <w:tcW w:w="26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29,502</w:t>
            </w:r>
          </w:p>
        </w:tc>
        <w:tc>
          <w:tcPr>
            <w:tcW w:w="26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.31 %</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ind w:left="100"/>
              <w:spacing w:after="0"/>
              <w:rPr>
                <w:sz w:val="20"/>
                <w:szCs w:val="20"/>
                <w:color w:val="auto"/>
              </w:rPr>
            </w:pPr>
            <w:r>
              <w:rPr>
                <w:rFonts w:ascii="Arial" w:cs="Arial" w:eastAsia="Arial" w:hAnsi="Arial"/>
                <w:sz w:val="13"/>
                <w:szCs w:val="13"/>
                <w:color w:val="auto"/>
              </w:rPr>
              <w:t>15,374</w:t>
            </w:r>
          </w:p>
        </w:tc>
        <w:tc>
          <w:tcPr>
            <w:tcW w:w="1120" w:type="dxa"/>
            <w:vAlign w:val="bottom"/>
            <w:gridSpan w:val="3"/>
          </w:tcPr>
          <w:p>
            <w:pPr>
              <w:ind w:left="640"/>
              <w:spacing w:after="0"/>
              <w:rPr>
                <w:sz w:val="20"/>
                <w:szCs w:val="20"/>
                <w:color w:val="auto"/>
              </w:rPr>
            </w:pPr>
            <w:r>
              <w:rPr>
                <w:rFonts w:ascii="Arial" w:cs="Arial" w:eastAsia="Arial" w:hAnsi="Arial"/>
                <w:sz w:val="13"/>
                <w:szCs w:val="13"/>
                <w:color w:val="auto"/>
              </w:rPr>
              <w:t>.16 %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50,445</w:t>
            </w:r>
          </w:p>
        </w:tc>
        <w:tc>
          <w:tcPr>
            <w:tcW w:w="24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Commercial</w:t>
            </w: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(13,143 )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34,812</w:t>
            </w:r>
          </w:p>
        </w:tc>
        <w:tc>
          <w:tcPr>
            <w:tcW w:w="840" w:type="dxa"/>
            <w:vAlign w:val="bottom"/>
            <w:gridSpan w:val="2"/>
            <w:shd w:val="clear" w:color="auto" w:fill="CFF0FC"/>
          </w:tcPr>
          <w:p>
            <w:pPr>
              <w:ind w:left="640"/>
              <w:spacing w:after="0"/>
              <w:rPr>
                <w:sz w:val="20"/>
                <w:szCs w:val="20"/>
                <w:color w:val="auto"/>
              </w:rPr>
            </w:pPr>
            <w:r>
              <w:rPr>
                <w:rFonts w:ascii="Arial" w:cs="Arial" w:eastAsia="Arial" w:hAnsi="Arial"/>
                <w:sz w:val="13"/>
                <w:szCs w:val="13"/>
                <w:color w:val="auto"/>
                <w:w w:val="99"/>
              </w:rPr>
              <w:t>.30</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28,809</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180"/>
              <w:spacing w:after="0"/>
              <w:rPr>
                <w:sz w:val="20"/>
                <w:szCs w:val="20"/>
                <w:color w:val="auto"/>
              </w:rPr>
            </w:pPr>
            <w:r>
              <w:rPr>
                <w:rFonts w:ascii="Arial" w:cs="Arial" w:eastAsia="Arial" w:hAnsi="Arial"/>
                <w:sz w:val="13"/>
                <w:szCs w:val="13"/>
                <w:color w:val="auto"/>
              </w:rPr>
              <w:t>Residential</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865</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256</w:t>
            </w:r>
          </w:p>
        </w:tc>
        <w:tc>
          <w:tcPr>
            <w:tcW w:w="26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3"/>
                <w:szCs w:val="13"/>
                <w:color w:val="auto"/>
              </w:rPr>
              <w:t>338</w:t>
            </w:r>
          </w:p>
        </w:tc>
        <w:tc>
          <w:tcPr>
            <w:tcW w:w="840" w:type="dxa"/>
            <w:vAlign w:val="bottom"/>
            <w:gridSpan w:val="2"/>
          </w:tcPr>
          <w:p>
            <w:pPr>
              <w:ind w:left="640"/>
              <w:spacing w:after="0"/>
              <w:rPr>
                <w:sz w:val="20"/>
                <w:szCs w:val="20"/>
                <w:color w:val="auto"/>
              </w:rPr>
            </w:pPr>
            <w:r>
              <w:rPr>
                <w:rFonts w:ascii="Arial" w:cs="Arial" w:eastAsia="Arial" w:hAnsi="Arial"/>
                <w:sz w:val="13"/>
                <w:szCs w:val="13"/>
                <w:color w:val="auto"/>
                <w:w w:val="99"/>
              </w:rPr>
              <w:t>.01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1,459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13,576</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12,671</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12,675</w:t>
            </w:r>
          </w:p>
        </w:tc>
        <w:tc>
          <w:tcPr>
            <w:tcW w:w="840" w:type="dxa"/>
            <w:vAlign w:val="bottom"/>
            <w:gridSpan w:val="2"/>
            <w:shd w:val="clear" w:color="auto" w:fill="CFF0FC"/>
          </w:tcPr>
          <w:p>
            <w:pPr>
              <w:ind w:left="640"/>
              <w:spacing w:after="0"/>
              <w:rPr>
                <w:sz w:val="20"/>
                <w:szCs w:val="20"/>
                <w:color w:val="auto"/>
              </w:rPr>
            </w:pPr>
            <w:r>
              <w:rPr>
                <w:rFonts w:ascii="Arial" w:cs="Arial" w:eastAsia="Arial" w:hAnsi="Arial"/>
                <w:sz w:val="13"/>
                <w:szCs w:val="13"/>
                <w:color w:val="auto"/>
                <w:w w:val="99"/>
              </w:rPr>
              <w:t>.25</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38,922</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6,867</w:t>
            </w:r>
          </w:p>
        </w:tc>
        <w:tc>
          <w:tcPr>
            <w:tcW w:w="26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.03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49,569</w:t>
            </w:r>
          </w:p>
        </w:tc>
        <w:tc>
          <w:tcPr>
            <w:tcW w:w="260" w:type="dxa"/>
            <w:vAlign w:val="bottom"/>
          </w:tcPr>
          <w:p>
            <w:pPr>
              <w:spacing w:after="0"/>
              <w:rPr>
                <w:sz w:val="15"/>
                <w:szCs w:val="15"/>
                <w:color w:val="auto"/>
              </w:rPr>
            </w:pPr>
          </w:p>
        </w:tc>
        <w:tc>
          <w:tcPr>
            <w:tcW w:w="92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.16 </w:t>
            </w:r>
            <w:r>
              <w:rPr>
                <w:rFonts w:ascii="Arial" w:cs="Arial" w:eastAsia="Arial" w:hAnsi="Arial"/>
                <w:sz w:val="20"/>
                <w:szCs w:val="20"/>
                <w:color w:val="auto"/>
                <w:vertAlign w:val="subscript"/>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ind w:left="100"/>
              <w:spacing w:after="0"/>
              <w:rPr>
                <w:sz w:val="20"/>
                <w:szCs w:val="20"/>
                <w:color w:val="auto"/>
              </w:rPr>
            </w:pPr>
            <w:r>
              <w:rPr>
                <w:rFonts w:ascii="Arial" w:cs="Arial" w:eastAsia="Arial" w:hAnsi="Arial"/>
                <w:sz w:val="13"/>
                <w:szCs w:val="13"/>
                <w:color w:val="auto"/>
              </w:rPr>
              <w:t>63,199</w:t>
            </w:r>
          </w:p>
        </w:tc>
        <w:tc>
          <w:tcPr>
            <w:tcW w:w="1120" w:type="dxa"/>
            <w:vAlign w:val="bottom"/>
            <w:gridSpan w:val="3"/>
          </w:tcPr>
          <w:p>
            <w:pPr>
              <w:ind w:left="640"/>
              <w:spacing w:after="0" w:line="180" w:lineRule="exact"/>
              <w:rPr>
                <w:sz w:val="20"/>
                <w:szCs w:val="20"/>
                <w:color w:val="auto"/>
              </w:rPr>
            </w:pPr>
            <w:r>
              <w:rPr>
                <w:rFonts w:ascii="Arial" w:cs="Arial" w:eastAsia="Arial" w:hAnsi="Arial"/>
                <w:sz w:val="11"/>
                <w:szCs w:val="11"/>
                <w:color w:val="auto"/>
              </w:rPr>
              <w:t xml:space="preserve">.20 </w:t>
            </w:r>
            <w:r>
              <w:rPr>
                <w:rFonts w:ascii="Arial" w:cs="Arial" w:eastAsia="Arial" w:hAnsi="Arial"/>
                <w:sz w:val="20"/>
                <w:szCs w:val="20"/>
                <w:color w:val="auto"/>
                <w:vertAlign w:val="subscript"/>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$ 119,635</w:t>
            </w:r>
          </w:p>
        </w:tc>
        <w:tc>
          <w:tcPr>
            <w:tcW w:w="240" w:type="dxa"/>
            <w:vAlign w:val="bottom"/>
          </w:tcPr>
          <w:p>
            <w:pPr>
              <w:spacing w:after="0"/>
              <w:rPr>
                <w:sz w:val="15"/>
                <w:szCs w:val="15"/>
                <w:color w:val="auto"/>
              </w:rPr>
            </w:pPr>
          </w:p>
        </w:tc>
        <w:tc>
          <w:tcPr>
            <w:tcW w:w="7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.14 </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-2636520</wp:posOffset>
            </wp:positionV>
            <wp:extent cx="6707505" cy="198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981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-708025</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(a)For the three months ended June 30, 2022 and nine months ended September 30, 2022, net charge-offs do not reflect $33 million of charge-offs related to PCD acquired loans.</w:t>
      </w:r>
    </w:p>
    <w:p>
      <w:pPr>
        <w:spacing w:after="0" w:line="109" w:lineRule="exact"/>
        <w:rPr>
          <w:sz w:val="20"/>
          <w:szCs w:val="20"/>
          <w:color w:val="auto"/>
        </w:rPr>
      </w:pPr>
    </w:p>
    <w:p>
      <w:pPr>
        <w:ind w:right="40" w:firstLine="468"/>
        <w:spacing w:after="0" w:line="252" w:lineRule="auto"/>
        <w:rPr>
          <w:sz w:val="20"/>
          <w:szCs w:val="20"/>
          <w:color w:val="auto"/>
        </w:rPr>
      </w:pPr>
      <w:r>
        <w:rPr>
          <w:rFonts w:ascii="Arial" w:cs="Arial" w:eastAsia="Arial" w:hAnsi="Arial"/>
          <w:sz w:val="18"/>
          <w:szCs w:val="18"/>
          <w:color w:val="auto"/>
        </w:rPr>
        <w:t>There were no individually notable commercial loan charge-offs or recoveries in the third quarter of 2023. Net charge-offs of commercial loans in the second quarter of 2023 reflected a $9 million recovery of a previously charged off loan to a skilled nursing facility. Net charge-offs of commercial loans in the year-earlier quarter reflected a $23 million charge-off of a loan to a paper distribution company, partially offset by recoveries of previously charged- off loan balances. The net charge-offs of commercial real estate loans in the third quarter of 2023 included a $15 million charge-off of a loan to a real estate development and management company in the mid-Atlantic region. Net charge-offs of commercial real estate loans in the second quarter of 2023 reflected a $38 million charge-off of a loan secured by a multi-tenant office and retail building in New York City, a $28 million charge-off of eight loans related to a single operator of multiple healthcare facilities located in New York, Vermont, and Rhode Island, a $ 13 million charge-off of a loan secured by a multi-tenant office and retail building in Massachusetts, and a $12 million charge-off to a real estate development and management company in the mid- Atlantic region. Net charge-offs of commercial real estate loans in the year-earlier quarter reflected a $20 million charge -off of a loan to a healthcare provider. Included in net charge-offs of consumer loans were: net charge-offs of automobile loans of $1 million in the recent quarter and less than $1 million in the second quarter of 2023, compared with net recoveries of less than $1 million in the third quarter of 2022; net charge-offs of recreational finance loans of $11 million in the third quarter of 2023, $5 million in the year-earlier quarter and $ 10 million in the second quarter of 2023; and net charge-offs associated with other consumer loans including credit cards and installment loans that totaled $17 million in the recent quarter, $8 million in the year-earlier quarter and $14 million in the second quarter of 2023.</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39" w:right="640" w:bottom="1440" w:gutter="0" w:footer="0" w:header="0"/>
        </w:sectPr>
      </w:pPr>
    </w:p>
    <w:bookmarkStart w:id="65" w:name="page66"/>
    <w:bookmarkEnd w:id="65"/>
    <w:p>
      <w:pPr>
        <w:ind w:right="340" w:firstLine="468"/>
        <w:spacing w:after="0" w:line="275"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is presented in the accompanying table.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9"/>
              <w:spacing w:after="0"/>
              <w:rPr>
                <w:sz w:val="20"/>
                <w:szCs w:val="20"/>
                <w:color w:val="auto"/>
              </w:rPr>
            </w:pPr>
            <w:r>
              <w:rPr>
                <w:rFonts w:ascii="Arial" w:cs="Arial" w:eastAsia="Arial" w:hAnsi="Arial"/>
                <w:sz w:val="13"/>
                <w:szCs w:val="13"/>
                <w:b w:val="1"/>
                <w:bCs w:val="1"/>
                <w:color w:val="auto"/>
                <w:w w:val="98"/>
              </w:rPr>
              <w:t>September 30,</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r>
      <w:tr>
        <w:trPr>
          <w:trHeight w:val="180"/>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09"/>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June 30, 2023</w:t>
            </w:r>
          </w:p>
        </w:tc>
        <w:tc>
          <w:tcPr>
            <w:tcW w:w="30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9"/>
              </w:rPr>
              <w:t>March 31, 2023</w:t>
            </w:r>
          </w:p>
        </w:tc>
        <w:tc>
          <w:tcPr>
            <w:tcW w:w="960" w:type="dxa"/>
            <w:vAlign w:val="bottom"/>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1200" w:type="dxa"/>
            <w:vAlign w:val="bottom"/>
            <w:gridSpan w:val="2"/>
          </w:tcPr>
          <w:p>
            <w:pPr>
              <w:jc w:val="right"/>
              <w:ind w:right="25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ind w:left="960"/>
              <w:spacing w:after="0"/>
              <w:rPr>
                <w:sz w:val="20"/>
                <w:szCs w:val="20"/>
                <w:color w:val="auto"/>
              </w:rPr>
            </w:pPr>
            <w:r>
              <w:rPr>
                <w:rFonts w:ascii="Arial" w:cs="Arial" w:eastAsia="Arial" w:hAnsi="Arial"/>
                <w:sz w:val="13"/>
                <w:szCs w:val="13"/>
                <w:b w:val="1"/>
                <w:bCs w:val="1"/>
                <w:color w:val="auto"/>
              </w:rPr>
              <w:t>(Dollars in thousands)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4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Nonaccrual loans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2,341,938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2,435,581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2,556,799</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2,438,435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2,429,326</w:t>
            </w:r>
          </w:p>
        </w:tc>
        <w:tc>
          <w:tcPr>
            <w:tcW w:w="80" w:type="dxa"/>
            <w:vAlign w:val="bottom"/>
            <w:shd w:val="clear" w:color="auto" w:fill="CFF0FC"/>
          </w:tcPr>
          <w:p>
            <w:pPr>
              <w:spacing w:after="0"/>
              <w:rPr>
                <w:sz w:val="16"/>
                <w:szCs w:val="16"/>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4"/>
                <w:szCs w:val="14"/>
                <w:color w:val="auto"/>
              </w:rPr>
              <w:t>Real estate and other foreclosed assets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37,097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42,720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44,567</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41,375</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37,031</w:t>
            </w:r>
          </w:p>
        </w:tc>
        <w:tc>
          <w:tcPr>
            <w:tcW w:w="80" w:type="dxa"/>
            <w:vAlign w:val="bottom"/>
          </w:tcPr>
          <w:p>
            <w:pPr>
              <w:spacing w:after="0"/>
              <w:rPr>
                <w:sz w:val="16"/>
                <w:szCs w:val="16"/>
                <w:color w:val="auto"/>
              </w:rPr>
            </w:pPr>
          </w:p>
        </w:tc>
      </w:tr>
      <w:tr>
        <w:trPr>
          <w:trHeight w:val="232"/>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nonperforming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2,379,035</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2,478,301</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2,601,366</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2,479,810</w:t>
            </w:r>
          </w:p>
        </w:tc>
        <w:tc>
          <w:tcPr>
            <w:tcW w:w="2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2,466,357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68"/>
        </w:trPr>
        <w:tc>
          <w:tcPr>
            <w:tcW w:w="4420" w:type="dxa"/>
            <w:vAlign w:val="bottom"/>
          </w:tcPr>
          <w:p>
            <w:pPr>
              <w:ind w:left="20"/>
              <w:spacing w:after="0"/>
              <w:rPr>
                <w:sz w:val="20"/>
                <w:szCs w:val="20"/>
                <w:color w:val="auto"/>
              </w:rPr>
            </w:pPr>
            <w:r>
              <w:rPr>
                <w:rFonts w:ascii="Arial" w:cs="Arial" w:eastAsia="Arial" w:hAnsi="Arial"/>
                <w:sz w:val="14"/>
                <w:szCs w:val="14"/>
                <w:color w:val="auto"/>
              </w:rPr>
              <w:t>Accruing loans past due 90 days or more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354,029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380,079</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407,457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491,018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476,503</w:t>
            </w:r>
          </w:p>
        </w:tc>
        <w:tc>
          <w:tcPr>
            <w:tcW w:w="80" w:type="dxa"/>
            <w:vAlign w:val="bottom"/>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4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Government guaranteed loans included in totals above:</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4420" w:type="dxa"/>
            <w:vAlign w:val="bottom"/>
          </w:tcPr>
          <w:p>
            <w:pPr>
              <w:ind w:left="140"/>
              <w:spacing w:after="0"/>
              <w:rPr>
                <w:sz w:val="20"/>
                <w:szCs w:val="20"/>
                <w:color w:val="auto"/>
              </w:rPr>
            </w:pPr>
            <w:r>
              <w:rPr>
                <w:rFonts w:ascii="Arial" w:cs="Arial" w:eastAsia="Arial" w:hAnsi="Arial"/>
                <w:sz w:val="14"/>
                <w:szCs w:val="14"/>
                <w:color w:val="auto"/>
              </w:rPr>
              <w:t>Nonaccrual loans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39,801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39,846</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42,102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43,536</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44,797</w:t>
            </w:r>
          </w:p>
        </w:tc>
        <w:tc>
          <w:tcPr>
            <w:tcW w:w="80" w:type="dxa"/>
            <w:vAlign w:val="bottom"/>
          </w:tcPr>
          <w:p>
            <w:pPr>
              <w:spacing w:after="0"/>
              <w:rPr>
                <w:sz w:val="16"/>
                <w:szCs w:val="16"/>
                <w:color w:val="auto"/>
              </w:rPr>
            </w:pPr>
          </w:p>
        </w:tc>
      </w:tr>
      <w:tr>
        <w:trPr>
          <w:trHeight w:val="195"/>
        </w:trPr>
        <w:tc>
          <w:tcPr>
            <w:tcW w:w="4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Accruing loans past due 90 days or more (a)</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268,783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294,184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306,049</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363,409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423,371</w:t>
            </w:r>
          </w:p>
        </w:tc>
        <w:tc>
          <w:tcPr>
            <w:tcW w:w="8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6707505" cy="228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ind w:left="20"/>
              <w:spacing w:after="0"/>
              <w:rPr>
                <w:sz w:val="20"/>
                <w:szCs w:val="20"/>
                <w:color w:val="auto"/>
              </w:rPr>
            </w:pPr>
            <w:r>
              <w:rPr>
                <w:rFonts w:ascii="Arial" w:cs="Arial" w:eastAsia="Arial" w:hAnsi="Arial"/>
                <w:sz w:val="14"/>
                <w:szCs w:val="14"/>
                <w:color w:val="auto"/>
              </w:rPr>
              <w:t>Nonaccrual loans to total loans and leases, net of</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20" w:type="dxa"/>
            <w:vAlign w:val="bottom"/>
          </w:tcPr>
          <w:p>
            <w:pPr>
              <w:ind w:left="140"/>
              <w:spacing w:after="0"/>
              <w:rPr>
                <w:sz w:val="20"/>
                <w:szCs w:val="20"/>
                <w:color w:val="auto"/>
              </w:rPr>
            </w:pPr>
            <w:r>
              <w:rPr>
                <w:rFonts w:ascii="Arial" w:cs="Arial" w:eastAsia="Arial" w:hAnsi="Arial"/>
                <w:sz w:val="14"/>
                <w:szCs w:val="14"/>
                <w:color w:val="auto"/>
              </w:rPr>
              <w:t>unearned discount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1.77 %</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1.83 %</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1.92 %</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1.85 %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Nonperforming assets to total net loans and</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20" w:type="dxa"/>
            <w:vAlign w:val="bottom"/>
          </w:tcPr>
          <w:p>
            <w:pPr>
              <w:ind w:left="140"/>
              <w:spacing w:after="0"/>
              <w:rPr>
                <w:sz w:val="20"/>
                <w:szCs w:val="20"/>
                <w:color w:val="auto"/>
              </w:rPr>
            </w:pPr>
            <w:r>
              <w:rPr>
                <w:rFonts w:ascii="Arial" w:cs="Arial" w:eastAsia="Arial" w:hAnsi="Arial"/>
                <w:sz w:val="14"/>
                <w:szCs w:val="14"/>
                <w:color w:val="auto"/>
              </w:rPr>
              <w:t>leases and real estate and other foreclosed assets</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1.80 %</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1.86 %</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1.96 %</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1.88 %</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78"/>
        </w:trPr>
        <w:tc>
          <w:tcPr>
            <w:tcW w:w="4420" w:type="dxa"/>
            <w:vAlign w:val="bottom"/>
          </w:tcPr>
          <w:p>
            <w:pPr>
              <w:ind w:left="20"/>
              <w:spacing w:after="0"/>
              <w:rPr>
                <w:sz w:val="20"/>
                <w:szCs w:val="20"/>
                <w:color w:val="auto"/>
              </w:rPr>
            </w:pPr>
            <w:r>
              <w:rPr>
                <w:rFonts w:ascii="Arial" w:cs="Arial" w:eastAsia="Arial" w:hAnsi="Arial"/>
                <w:sz w:val="14"/>
                <w:szCs w:val="14"/>
                <w:color w:val="auto"/>
              </w:rPr>
              <w:t>Accruing loans past due 90 days or more to</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xml:space="preserve">.27 </w:t>
            </w:r>
            <w:r>
              <w:rPr>
                <w:rFonts w:ascii="Arial" w:cs="Arial" w:eastAsia="Arial" w:hAnsi="Arial"/>
                <w:sz w:val="28"/>
                <w:szCs w:val="28"/>
                <w:color w:val="auto"/>
                <w:vertAlign w:val="subscript"/>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xml:space="preserve">.29 </w:t>
            </w:r>
            <w:r>
              <w:rPr>
                <w:rFonts w:ascii="Arial" w:cs="Arial" w:eastAsia="Arial" w:hAnsi="Arial"/>
                <w:sz w:val="28"/>
                <w:szCs w:val="28"/>
                <w:color w:val="auto"/>
                <w:vertAlign w:val="subscript"/>
              </w:rPr>
              <w:t>%</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28"/>
                <w:szCs w:val="28"/>
                <w:color w:val="auto"/>
                <w:vertAlign w:val="subscript"/>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xml:space="preserve">.37 </w:t>
            </w:r>
            <w:r>
              <w:rPr>
                <w:rFonts w:ascii="Arial" w:cs="Arial" w:eastAsia="Arial" w:hAnsi="Arial"/>
                <w:sz w:val="28"/>
                <w:szCs w:val="28"/>
                <w:color w:val="auto"/>
                <w:vertAlign w:val="subscript"/>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 xml:space="preserve">.37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52"/>
        </w:trPr>
        <w:tc>
          <w:tcPr>
            <w:tcW w:w="4420" w:type="dxa"/>
            <w:vAlign w:val="bottom"/>
          </w:tcPr>
          <w:p>
            <w:pPr>
              <w:ind w:left="140"/>
              <w:spacing w:after="0" w:line="153" w:lineRule="exact"/>
              <w:rPr>
                <w:sz w:val="20"/>
                <w:szCs w:val="20"/>
                <w:color w:val="auto"/>
              </w:rPr>
            </w:pPr>
            <w:r>
              <w:rPr>
                <w:rFonts w:ascii="Arial" w:cs="Arial" w:eastAsia="Arial" w:hAnsi="Arial"/>
                <w:sz w:val="14"/>
                <w:szCs w:val="14"/>
                <w:color w:val="auto"/>
              </w:rPr>
              <w:t>total loans and leases, net of unearned discount</w:t>
            </w:r>
          </w:p>
        </w:tc>
        <w:tc>
          <w:tcPr>
            <w:tcW w:w="138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-227965</wp:posOffset>
            </wp:positionV>
            <wp:extent cx="6707505" cy="228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(a)Predominantly residential real estate loans.</w:t>
      </w:r>
    </w:p>
    <w:p>
      <w:pPr>
        <w:spacing w:after="0" w:line="109" w:lineRule="exact"/>
        <w:rPr>
          <w:sz w:val="20"/>
          <w:szCs w:val="20"/>
          <w:color w:val="auto"/>
        </w:rPr>
      </w:pPr>
    </w:p>
    <w:p>
      <w:pPr>
        <w:ind w:right="100" w:firstLine="468"/>
        <w:spacing w:after="0" w:line="259" w:lineRule="auto"/>
        <w:rPr>
          <w:sz w:val="20"/>
          <w:szCs w:val="20"/>
          <w:color w:val="auto"/>
        </w:rPr>
      </w:pPr>
      <w:r>
        <w:rPr>
          <w:rFonts w:ascii="Arial" w:cs="Arial" w:eastAsia="Arial" w:hAnsi="Arial"/>
          <w:sz w:val="18"/>
          <w:szCs w:val="18"/>
          <w:color w:val="auto"/>
        </w:rPr>
        <w:t>Loans obtained in the acquisition of People's United that have been classified as nonaccrual totaled $556 million at September 30, 2023, $ 581 million at September 30, 2022, $572 million at December 31, 2022, and $570 million at June 30, 2023. The level of nonaccrual loans reflects the continuing impact of economic conditions on borrowers’ abilities to make contractual payments on their loans, most notably commercial real estate loans in the retail, office, healthcare and hospitality sectors.</w:t>
      </w:r>
    </w:p>
    <w:p>
      <w:pPr>
        <w:spacing w:after="0" w:line="67" w:lineRule="exact"/>
        <w:rPr>
          <w:sz w:val="20"/>
          <w:szCs w:val="20"/>
          <w:color w:val="auto"/>
        </w:rPr>
      </w:pPr>
    </w:p>
    <w:p>
      <w:pPr>
        <w:ind w:right="140" w:firstLine="468"/>
        <w:spacing w:after="0" w:line="254" w:lineRule="auto"/>
        <w:rPr>
          <w:sz w:val="20"/>
          <w:szCs w:val="20"/>
          <w:color w:val="auto"/>
        </w:rPr>
      </w:pPr>
      <w:r>
        <w:rPr>
          <w:rFonts w:ascii="Arial" w:cs="Arial" w:eastAsia="Arial" w:hAnsi="Arial"/>
          <w:sz w:val="18"/>
          <w:szCs w:val="18"/>
          <w:color w:val="auto"/>
        </w:rPr>
        <w:t>Government guaranteed loans classified as accruing loans past due 90 days or more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included in the amounts noted above that are guaranteed by government-related entities totaled $202 million at September 30, 2023, $366 million at September 30, 2022, $294 million at December 31, 2022, and $223 million at June 30, 2023. The remaining accruing loans past due 90 days or more not guaranteed by government-related entities were loans considered to be with creditworthy borrowers that were in the process of collection or renewal.</w:t>
      </w:r>
    </w:p>
    <w:p>
      <w:pPr>
        <w:spacing w:after="0" w:line="72" w:lineRule="exact"/>
        <w:rPr>
          <w:sz w:val="20"/>
          <w:szCs w:val="20"/>
          <w:color w:val="auto"/>
        </w:rPr>
      </w:pPr>
    </w:p>
    <w:p>
      <w:pPr>
        <w:ind w:right="80" w:firstLine="528"/>
        <w:spacing w:after="0" w:line="256" w:lineRule="auto"/>
        <w:rPr>
          <w:sz w:val="20"/>
          <w:szCs w:val="20"/>
          <w:color w:val="auto"/>
        </w:rPr>
      </w:pPr>
      <w:r>
        <w:rPr>
          <w:rFonts w:ascii="Arial" w:cs="Arial" w:eastAsia="Arial" w:hAnsi="Arial"/>
          <w:sz w:val="18"/>
          <w:szCs w:val="18"/>
          <w:color w:val="auto"/>
        </w:rPr>
        <w:t>Loans that were 30-89 days past due were $1.7 billion at September 30, 2023, or 1.32% of total loans outstanding, $1.6 billion or 1.23% of total loans outstanding at September 30, 2022, $1.8 billion or 1.35% of total loans outstanding at December 31, 2022, and $1.7 billion or 1.24% of total loans outstanding at June 30, 2023. At September 30, 2023, 72% of loans 30-89 days past due were less than 60 days delinquent. Information about delinquent loans at September 30, 2023 and December 31, 2022 is included in note 4 of Notes to Financial Statements.</w:t>
      </w:r>
    </w:p>
    <w:p>
      <w:pPr>
        <w:spacing w:after="0" w:line="72" w:lineRule="exact"/>
        <w:rPr>
          <w:sz w:val="20"/>
          <w:szCs w:val="20"/>
          <w:color w:val="auto"/>
        </w:rPr>
      </w:pPr>
    </w:p>
    <w:p>
      <w:pPr>
        <w:ind w:right="240" w:firstLine="468"/>
        <w:spacing w:after="0" w:line="255" w:lineRule="auto"/>
        <w:rPr>
          <w:sz w:val="20"/>
          <w:szCs w:val="20"/>
          <w:color w:val="auto"/>
        </w:rPr>
      </w:pPr>
      <w:r>
        <w:rPr>
          <w:rFonts w:ascii="Arial" w:cs="Arial" w:eastAsia="Arial" w:hAnsi="Arial"/>
          <w:sz w:val="18"/>
          <w:szCs w:val="18"/>
          <w:color w:val="auto"/>
        </w:rPr>
        <w:t>During the normal course of business, the Company modifies loans to maximize recovery efforts. The types of modifications that the Company grants typically include principal deferrals and interest rate reductions but may also include other types of modifications. The Company may offer such modified terms to borrowers experiencing financial difficulty. Such modified loans may be considered nonaccrual if the Company does not expect to collect the contractual cash flows owed under the loan agreement. Information about modifications of loans to borrowers experiencing financial difficulty is included in note 4 of Notes to Financial Statements.</w:t>
      </w:r>
    </w:p>
    <w:p>
      <w:pPr>
        <w:spacing w:after="0" w:line="73" w:lineRule="exact"/>
        <w:rPr>
          <w:sz w:val="20"/>
          <w:szCs w:val="20"/>
          <w:color w:val="auto"/>
        </w:rPr>
      </w:pPr>
    </w:p>
    <w:p>
      <w:pPr>
        <w:ind w:right="60" w:firstLine="468"/>
        <w:spacing w:after="0" w:line="256" w:lineRule="auto"/>
        <w:rPr>
          <w:sz w:val="20"/>
          <w:szCs w:val="20"/>
          <w:color w:val="auto"/>
        </w:rPr>
      </w:pPr>
      <w:r>
        <w:rPr>
          <w:rFonts w:ascii="Arial" w:cs="Arial" w:eastAsia="Arial" w:hAnsi="Arial"/>
          <w:sz w:val="18"/>
          <w:szCs w:val="18"/>
          <w:color w:val="auto"/>
        </w:rPr>
        <w:t>Commercial loans and leases classified as nonaccrual totaled $485 million, $368 million, $347 million and $416 million at September 30, 2023, September 30, 2022, December 31, 2022 and June 30, 2023, respectively. The higher level of commercial loans and leases classified as nonaccrual at the two most recent quarter ends as compared with September 30, 2022 and December 31, 2022 reflects an increase in loans to motor vehicle and recreational finance dealers classified as nonaccrual. Commercial real estate loans in nonaccrual status aggregated $1.4 billion at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39" w:right="620"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September 30, 2023 and $1.5 billion at each of September 30, 2022, December 31, 2022 and June 30, 2023. Commercial real estate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loans in nonaccrual status were largely reflective of loans in the retail, office, healthcare and hospitality sectors. Commercial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leases and commercial real estate loans acquired from People's United and classified as nonaccrual totaled $67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$428 million, respectively, at September 30, 2023, $136 million and $416 million, respectively, at September 30, 2022, $118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$401 million, respectively, at December 31, 2022 and $96 million and $418 million, respectively, at June 30, 2023.</w:t>
      </w:r>
    </w:p>
    <w:p>
      <w:pPr>
        <w:spacing w:after="0" w:line="93"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Nonaccrual residential real estate loans totaled $303 million at September 30, 2023, compared with $381 million at September 30, 2022, $350 million at December 31, 2022 and $ 305 million at June 30, 2023. The lower balance of nonaccrual residential real estate loans since September 30, 2022 is reflective of improved customer repayment performance in current economic conditions. Residential real estate loans obtained in the acquisition of People's United and classified as nonaccrual aggregated $40 million at September 30, 2023, $17 million at September 30, 2022, $36 million at December 31, 2022 and $39 million at June 30, 2023. Included in residential real estate loans classified as nonaccrual were limited documentation first lien mortgage loans of $62 million at September 30, 2023, compared with $95 million at September 30, 2022, $ 78 million at December 31, 2022 and $67 million at June 30, 2023. Limited documentation first lien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$261 million at September 30, 2023, compared with $412 million at September 30, 2022, $345 million at December 31, 2022 and $284 million at June 30, 2023. Those amounts related predominantly to government-guaranteed loans. The declining balances of those loans since 2022's third quarter reflect improved borrower repayment performance. Information about the location of nonaccrual and charged-off residential real estate loans as of and for the quarter ended September 30, 2023 is presented in the accompanying table.</w:t>
      </w:r>
    </w:p>
    <w:p>
      <w:pPr>
        <w:spacing w:after="0" w:line="77" w:lineRule="exact"/>
        <w:rPr>
          <w:sz w:val="20"/>
          <w:szCs w:val="20"/>
          <w:color w:val="auto"/>
        </w:rPr>
      </w:pPr>
    </w:p>
    <w:p>
      <w:pPr>
        <w:ind w:right="160" w:firstLine="468"/>
        <w:spacing w:after="0" w:line="253" w:lineRule="auto"/>
        <w:rPr>
          <w:sz w:val="20"/>
          <w:szCs w:val="20"/>
          <w:color w:val="auto"/>
        </w:rPr>
      </w:pPr>
      <w:r>
        <w:rPr>
          <w:rFonts w:ascii="Arial" w:cs="Arial" w:eastAsia="Arial" w:hAnsi="Arial"/>
          <w:sz w:val="18"/>
          <w:szCs w:val="18"/>
          <w:color w:val="auto"/>
        </w:rPr>
        <w:t>Nonaccrual consumer loans were $178 million at September 30, 2023, $206 million at September 30, 2022, $218 million at December 31, 2022 and $184 million at June 30, 2023. Nonaccrual automotive loans were $16 million at September 30, 2023, $40 million at each of September 30, 2022 and December 31, 2022 and $22 million at June 30, 2023. Recreational finance loans classified as nonaccrual were $31 million, $39 million, $45 million and $32 million at September 30, 2023, September 30, 2022, December 31, 2022 and June 30, 2023, respectively. Outstanding balances of home equity loans and lines of credit classified as nonaccrual were $78 million at each of September 30, 2023 and September 30, 2022, compared with $85 million and $ 77 million at December 31, 2022 and June 30, 2023, respectively. Consumer loans acquired from People's United and classified as nonaccrual were $18 million at September 30, 2023, $12 million at September 30, 2022, $17 million at December 31, 2022 and $16 million at June 30, 2023 and consisted predominantly of home equity loans and lines of credit. Information about the location of nonaccrual and charged-off home equity loans and lines of credit as of and for the quarter ended September 30, 2023 is presented in the accompanying table.</w:t>
      </w:r>
    </w:p>
    <w:p>
      <w:pPr>
        <w:spacing w:after="0" w:line="73" w:lineRule="exact"/>
        <w:rPr>
          <w:sz w:val="20"/>
          <w:szCs w:val="20"/>
          <w:color w:val="auto"/>
        </w:rPr>
      </w:pPr>
    </w:p>
    <w:p>
      <w:pPr>
        <w:ind w:right="100" w:firstLine="468"/>
        <w:spacing w:after="0" w:line="275" w:lineRule="auto"/>
        <w:rPr>
          <w:sz w:val="20"/>
          <w:szCs w:val="20"/>
          <w:color w:val="auto"/>
        </w:rPr>
      </w:pPr>
      <w:r>
        <w:rPr>
          <w:rFonts w:ascii="Arial" w:cs="Arial" w:eastAsia="Arial" w:hAnsi="Arial"/>
          <w:sz w:val="18"/>
          <w:szCs w:val="18"/>
          <w:color w:val="auto"/>
        </w:rPr>
        <w:t>Information about past due and nonaccrual loans as of September 30, 2023 and December 31, 2022 is also included in note 4 of Notes to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rPr>
              <w:t>Quarter Ended</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4"/>
          </w:tcPr>
          <w:p>
            <w:pPr>
              <w:ind w:left="180"/>
              <w:spacing w:after="0"/>
              <w:rPr>
                <w:sz w:val="20"/>
                <w:szCs w:val="20"/>
                <w:color w:val="auto"/>
              </w:rPr>
            </w:pPr>
            <w:r>
              <w:rPr>
                <w:rFonts w:ascii="Arial" w:cs="Arial" w:eastAsia="Arial" w:hAnsi="Arial"/>
                <w:sz w:val="12"/>
                <w:szCs w:val="12"/>
                <w:b w:val="1"/>
                <w:bCs w:val="1"/>
                <w:color w:val="auto"/>
              </w:rPr>
              <w:t>September 30, 2023</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9"/>
              </w:rPr>
              <w:t>September 30, 2023</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680"/>
              <w:spacing w:after="0"/>
              <w:rPr>
                <w:sz w:val="20"/>
                <w:szCs w:val="20"/>
                <w:color w:val="auto"/>
              </w:rPr>
            </w:pPr>
            <w:r>
              <w:rPr>
                <w:rFonts w:ascii="Arial" w:cs="Arial" w:eastAsia="Arial" w:hAnsi="Arial"/>
                <w:sz w:val="12"/>
                <w:szCs w:val="12"/>
                <w:b w:val="1"/>
                <w:bCs w:val="1"/>
                <w:color w:val="auto"/>
              </w:rPr>
              <w:t>Nonaccrual</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Net Charge-offs (Recoveries)</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9"/>
              </w:rPr>
              <w:t>Annualized</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8"/>
              </w:rPr>
              <w:t>Percent of</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Percent of</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7"/>
              </w:rPr>
              <w:t>Average</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2"/>
                <w:szCs w:val="12"/>
                <w:b w:val="1"/>
                <w:bCs w:val="1"/>
                <w:color w:val="auto"/>
              </w:rPr>
              <w:t>Outstanding</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Outstanding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8"/>
              </w:rPr>
              <w:t>Outstanding</w:t>
            </w:r>
          </w:p>
        </w:tc>
      </w:tr>
      <w:tr>
        <w:trPr>
          <w:trHeight w:val="180"/>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2"/>
                <w:szCs w:val="12"/>
                <w:b w:val="1"/>
                <w:bCs w:val="1"/>
                <w:color w:val="auto"/>
              </w:rPr>
              <w:t>Balances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Arial" w:cs="Arial" w:eastAsia="Arial" w:hAnsi="Arial"/>
                <w:sz w:val="12"/>
                <w:szCs w:val="12"/>
                <w:b w:val="1"/>
                <w:bCs w:val="1"/>
                <w:color w:val="auto"/>
              </w:rPr>
              <w:t>Balances</w:t>
            </w:r>
          </w:p>
        </w:tc>
        <w:tc>
          <w:tcPr>
            <w:tcW w:w="14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Balances</w:t>
            </w:r>
          </w:p>
        </w:tc>
        <w:tc>
          <w:tcPr>
            <w:tcW w:w="14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Balances</w:t>
            </w:r>
          </w:p>
        </w:tc>
        <w:tc>
          <w:tcPr>
            <w:tcW w:w="11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Balances</w:t>
            </w:r>
          </w:p>
        </w:tc>
      </w:tr>
      <w:tr>
        <w:trPr>
          <w:trHeight w:val="182"/>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(Dollars in thousands)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 loans:</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6,750,999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97,829</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1.45 %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(19 )</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 %</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6,687,467</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70,652</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6,089,505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54,261</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(12 )</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2,922,815</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16,182</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(38 )</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352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22,450,786</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238,924</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line="180" w:lineRule="exact"/>
              <w:rPr>
                <w:sz w:val="20"/>
                <w:szCs w:val="20"/>
                <w:color w:val="auto"/>
              </w:rPr>
            </w:pPr>
            <w:r>
              <w:rPr>
                <w:rFonts w:ascii="Arial" w:cs="Arial" w:eastAsia="Arial" w:hAnsi="Arial"/>
                <w:sz w:val="11"/>
                <w:szCs w:val="11"/>
                <w:color w:val="auto"/>
              </w:rPr>
              <w:t xml:space="preserve">1.06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521</w:t>
            </w:r>
          </w:p>
        </w:tc>
        <w:tc>
          <w:tcPr>
            <w:tcW w:w="260" w:type="dxa"/>
            <w:vAlign w:val="bottom"/>
          </w:tcPr>
          <w:p>
            <w:pPr>
              <w:spacing w:after="0"/>
              <w:rPr>
                <w:sz w:val="15"/>
                <w:szCs w:val="15"/>
                <w:color w:val="auto"/>
              </w:rPr>
            </w:pPr>
          </w:p>
        </w:tc>
        <w:tc>
          <w:tcPr>
            <w:tcW w:w="11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.01 </w:t>
            </w:r>
            <w:r>
              <w:rPr>
                <w:rFonts w:ascii="Arial" w:cs="Arial" w:eastAsia="Arial" w:hAnsi="Arial"/>
                <w:sz w:val="20"/>
                <w:szCs w:val="20"/>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construction loans:</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17,929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1,605</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8.95 %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 %</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8,622</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10,189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2,759</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FF0FC"/>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180"/>
        </w:trPr>
        <w:tc>
          <w:tcPr>
            <w:tcW w:w="352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39,499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1,829</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line="180" w:lineRule="exact"/>
              <w:rPr>
                <w:sz w:val="20"/>
                <w:szCs w:val="20"/>
                <w:color w:val="auto"/>
              </w:rPr>
            </w:pPr>
            <w:r>
              <w:rPr>
                <w:rFonts w:ascii="Arial" w:cs="Arial" w:eastAsia="Arial" w:hAnsi="Arial"/>
                <w:sz w:val="11"/>
                <w:szCs w:val="11"/>
                <w:color w:val="auto"/>
              </w:rPr>
              <w:t xml:space="preserve">4.63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 </w:t>
            </w:r>
            <w:r>
              <w:rPr>
                <w:rFonts w:ascii="Arial" w:cs="Arial" w:eastAsia="Arial" w:hAnsi="Arial"/>
                <w:sz w:val="20"/>
                <w:szCs w:val="20"/>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3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Limited documentation first lien mortgage loans:</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437,059</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27,583</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6.31 %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(13 )</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-.01 %</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392,062</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22,386</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89,958</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8,919</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38,906</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3,362</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180"/>
        </w:trPr>
        <w:tc>
          <w:tcPr>
            <w:tcW w:w="352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957,985</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62,250</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line="180" w:lineRule="exact"/>
              <w:rPr>
                <w:sz w:val="20"/>
                <w:szCs w:val="20"/>
                <w:color w:val="auto"/>
              </w:rPr>
            </w:pPr>
            <w:r>
              <w:rPr>
                <w:rFonts w:ascii="Arial" w:cs="Arial" w:eastAsia="Arial" w:hAnsi="Arial"/>
                <w:sz w:val="11"/>
                <w:szCs w:val="11"/>
                <w:color w:val="auto"/>
              </w:rPr>
              <w:t xml:space="preserve">6.50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line="180" w:lineRule="exact"/>
              <w:rPr>
                <w:sz w:val="20"/>
                <w:szCs w:val="20"/>
                <w:color w:val="auto"/>
              </w:rPr>
            </w:pPr>
            <w:r>
              <w:rPr>
                <w:rFonts w:ascii="Arial" w:cs="Arial" w:eastAsia="Arial" w:hAnsi="Arial"/>
                <w:sz w:val="11"/>
                <w:szCs w:val="11"/>
                <w:color w:val="auto"/>
              </w:rPr>
              <w:t xml:space="preserve">(13 </w:t>
            </w:r>
            <w:r>
              <w:rPr>
                <w:rFonts w:ascii="Arial" w:cs="Arial" w:eastAsia="Arial" w:hAnsi="Arial"/>
                <w:sz w:val="20"/>
                <w:szCs w:val="20"/>
                <w:color w:val="auto"/>
                <w:vertAlign w:val="subscript"/>
              </w:rPr>
              <w:t>)</w:t>
            </w:r>
          </w:p>
        </w:tc>
        <w:tc>
          <w:tcPr>
            <w:tcW w:w="11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-.01 </w:t>
            </w:r>
            <w:r>
              <w:rPr>
                <w:rFonts w:ascii="Arial" w:cs="Arial" w:eastAsia="Arial" w:hAnsi="Arial"/>
                <w:sz w:val="20"/>
                <w:szCs w:val="20"/>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352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First lien home equity loans and lines of</w:t>
            </w:r>
          </w:p>
        </w:tc>
        <w:tc>
          <w:tcPr>
            <w:tcW w:w="2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35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882,813</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16,655</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1.89 %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(21 )</w:t>
            </w: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-.01 %</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1,026,174</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19,318</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(73 )</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484,359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5,343</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13,445</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(113 )</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352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2,406,791</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41,604</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line="180" w:lineRule="exact"/>
              <w:rPr>
                <w:sz w:val="20"/>
                <w:szCs w:val="20"/>
                <w:color w:val="auto"/>
              </w:rPr>
            </w:pPr>
            <w:r>
              <w:rPr>
                <w:rFonts w:ascii="Arial" w:cs="Arial" w:eastAsia="Arial" w:hAnsi="Arial"/>
                <w:sz w:val="11"/>
                <w:szCs w:val="11"/>
                <w:color w:val="auto"/>
              </w:rPr>
              <w:t xml:space="preserve">1.73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00"/>
              <w:spacing w:after="0" w:line="180" w:lineRule="exact"/>
              <w:rPr>
                <w:sz w:val="20"/>
                <w:szCs w:val="20"/>
                <w:color w:val="auto"/>
              </w:rPr>
            </w:pPr>
            <w:r>
              <w:rPr>
                <w:rFonts w:ascii="Arial" w:cs="Arial" w:eastAsia="Arial" w:hAnsi="Arial"/>
                <w:sz w:val="11"/>
                <w:szCs w:val="11"/>
                <w:color w:val="auto"/>
              </w:rPr>
              <w:t xml:space="preserve">(205 </w:t>
            </w:r>
            <w:r>
              <w:rPr>
                <w:rFonts w:ascii="Arial" w:cs="Arial" w:eastAsia="Arial" w:hAnsi="Arial"/>
                <w:sz w:val="20"/>
                <w:szCs w:val="20"/>
                <w:color w:val="auto"/>
                <w:vertAlign w:val="subscript"/>
              </w:rPr>
              <w:t>)</w:t>
            </w:r>
          </w:p>
        </w:tc>
        <w:tc>
          <w:tcPr>
            <w:tcW w:w="11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-.02 </w:t>
            </w:r>
            <w:r>
              <w:rPr>
                <w:rFonts w:ascii="Arial" w:cs="Arial" w:eastAsia="Arial" w:hAnsi="Arial"/>
                <w:sz w:val="20"/>
                <w:szCs w:val="20"/>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3520" w:type="dxa"/>
            <w:vAlign w:val="bottom"/>
            <w:shd w:val="clear" w:color="auto" w:fill="CFF0FC"/>
          </w:tcPr>
          <w:p>
            <w:pPr>
              <w:ind w:left="20"/>
              <w:spacing w:after="0" w:line="137" w:lineRule="exact"/>
              <w:rPr>
                <w:sz w:val="20"/>
                <w:szCs w:val="20"/>
                <w:color w:val="auto"/>
              </w:rPr>
            </w:pPr>
            <w:r>
              <w:rPr>
                <w:rFonts w:ascii="Arial" w:cs="Arial" w:eastAsia="Arial" w:hAnsi="Arial"/>
                <w:sz w:val="13"/>
                <w:szCs w:val="13"/>
                <w:color w:val="auto"/>
              </w:rPr>
              <w:t>Junior lien home equity loans and lines of</w:t>
            </w:r>
          </w:p>
        </w:tc>
        <w:tc>
          <w:tcPr>
            <w:tcW w:w="2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r>
      <w:tr>
        <w:trPr>
          <w:trHeight w:val="176"/>
        </w:trPr>
        <w:tc>
          <w:tcPr>
            <w:tcW w:w="35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credit:</w:t>
            </w: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York</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768,591</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16,543</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3"/>
                <w:szCs w:val="13"/>
                <w:color w:val="auto"/>
              </w:rPr>
              <w:t>2.15 %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w:t>
            </w:r>
          </w:p>
        </w:tc>
        <w:tc>
          <w:tcPr>
            <w:tcW w:w="2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.03 %</w:t>
            </w: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Mid-Atlantic (a)</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898,832</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14,174</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3520" w:type="dxa"/>
            <w:vAlign w:val="bottom"/>
          </w:tcPr>
          <w:p>
            <w:pPr>
              <w:ind w:left="220"/>
              <w:spacing w:after="0"/>
              <w:rPr>
                <w:sz w:val="20"/>
                <w:szCs w:val="20"/>
                <w:color w:val="auto"/>
              </w:rPr>
            </w:pPr>
            <w:r>
              <w:rPr>
                <w:rFonts w:ascii="Arial" w:cs="Arial" w:eastAsia="Arial" w:hAnsi="Arial"/>
                <w:sz w:val="13"/>
                <w:szCs w:val="13"/>
                <w:color w:val="auto"/>
              </w:rPr>
              <w:t>New England (b)</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596,349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5,898</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(11 )</w:t>
            </w: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35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22,148</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(21 )</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3520" w:type="dxa"/>
            <w:vAlign w:val="bottom"/>
          </w:tcPr>
          <w:p>
            <w:pPr>
              <w:ind w:left="2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2,285,920</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36,712</w:t>
            </w:r>
          </w:p>
        </w:tc>
        <w:tc>
          <w:tcPr>
            <w:tcW w:w="280" w:type="dxa"/>
            <w:vAlign w:val="bottom"/>
          </w:tcPr>
          <w:p>
            <w:pPr>
              <w:spacing w:after="0"/>
              <w:rPr>
                <w:sz w:val="15"/>
                <w:szCs w:val="15"/>
                <w:color w:val="auto"/>
              </w:rPr>
            </w:pPr>
          </w:p>
        </w:tc>
        <w:tc>
          <w:tcPr>
            <w:tcW w:w="1420" w:type="dxa"/>
            <w:vAlign w:val="bottom"/>
            <w:gridSpan w:val="2"/>
          </w:tcPr>
          <w:p>
            <w:pPr>
              <w:jc w:val="right"/>
              <w:ind w:right="420"/>
              <w:spacing w:after="0" w:line="180" w:lineRule="exact"/>
              <w:rPr>
                <w:sz w:val="20"/>
                <w:szCs w:val="20"/>
                <w:color w:val="auto"/>
              </w:rPr>
            </w:pPr>
            <w:r>
              <w:rPr>
                <w:rFonts w:ascii="Arial" w:cs="Arial" w:eastAsia="Arial" w:hAnsi="Arial"/>
                <w:sz w:val="11"/>
                <w:szCs w:val="11"/>
                <w:color w:val="auto"/>
              </w:rPr>
              <w:t xml:space="preserve">1.61 </w:t>
            </w:r>
            <w:r>
              <w:rPr>
                <w:rFonts w:ascii="Arial" w:cs="Arial" w:eastAsia="Arial" w:hAnsi="Arial"/>
                <w:sz w:val="20"/>
                <w:szCs w:val="20"/>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121</w:t>
            </w:r>
          </w:p>
        </w:tc>
        <w:tc>
          <w:tcPr>
            <w:tcW w:w="260" w:type="dxa"/>
            <w:vAlign w:val="bottom"/>
          </w:tcPr>
          <w:p>
            <w:pPr>
              <w:spacing w:after="0"/>
              <w:rPr>
                <w:sz w:val="15"/>
                <w:szCs w:val="15"/>
                <w:color w:val="auto"/>
              </w:rPr>
            </w:pPr>
          </w:p>
        </w:tc>
        <w:tc>
          <w:tcPr>
            <w:tcW w:w="1180" w:type="dxa"/>
            <w:vAlign w:val="bottom"/>
            <w:gridSpan w:val="3"/>
          </w:tcPr>
          <w:p>
            <w:pPr>
              <w:jc w:val="right"/>
              <w:spacing w:after="0" w:line="180" w:lineRule="exact"/>
              <w:rPr>
                <w:sz w:val="20"/>
                <w:szCs w:val="20"/>
                <w:color w:val="auto"/>
              </w:rPr>
            </w:pPr>
            <w:r>
              <w:rPr>
                <w:rFonts w:ascii="Arial" w:cs="Arial" w:eastAsia="Arial" w:hAnsi="Arial"/>
                <w:sz w:val="11"/>
                <w:szCs w:val="11"/>
                <w:color w:val="auto"/>
              </w:rPr>
              <w:t xml:space="preserve">.02 </w:t>
            </w:r>
            <w:r>
              <w:rPr>
                <w:rFonts w:ascii="Arial" w:cs="Arial" w:eastAsia="Arial" w:hAnsi="Arial"/>
                <w:sz w:val="20"/>
                <w:szCs w:val="20"/>
                <w:color w:val="auto"/>
                <w:vertAlign w:val="subscript"/>
              </w:rPr>
              <w:t>%</w:t>
            </w: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w:t>
      </w:r>
      <w:r>
        <w:rPr>
          <w:rFonts w:ascii="Arial" w:cs="Arial" w:eastAsia="Arial" w:hAnsi="Arial"/>
          <w:sz w:val="13"/>
          <w:szCs w:val="13"/>
          <w:i w:val="1"/>
          <w:iCs w:val="1"/>
          <w:color w:val="auto"/>
        </w:rPr>
        <w:t>Includes Delaware, Maryland, New Jersey, Pennsylvania, Virginia, West Virginia and the District of Columbia.</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w:t>
      </w:r>
      <w:r>
        <w:rPr>
          <w:rFonts w:ascii="Arial" w:cs="Arial" w:eastAsia="Arial" w:hAnsi="Arial"/>
          <w:sz w:val="13"/>
          <w:szCs w:val="13"/>
          <w:i w:val="1"/>
          <w:iCs w:val="1"/>
          <w:color w:val="auto"/>
        </w:rPr>
        <w:t>Includes Connecticut, Maine, Massachusetts, New Hampshire, Rhode Island and Vermont.</w:t>
      </w:r>
    </w:p>
    <w:p>
      <w:pPr>
        <w:spacing w:after="0" w:line="109" w:lineRule="exact"/>
        <w:rPr>
          <w:sz w:val="20"/>
          <w:szCs w:val="20"/>
          <w:color w:val="auto"/>
        </w:rPr>
      </w:pPr>
    </w:p>
    <w:p>
      <w:pPr>
        <w:ind w:right="240" w:firstLine="468"/>
        <w:spacing w:after="0" w:line="259" w:lineRule="auto"/>
        <w:rPr>
          <w:sz w:val="20"/>
          <w:szCs w:val="20"/>
          <w:color w:val="auto"/>
        </w:rPr>
      </w:pPr>
      <w:r>
        <w:rPr>
          <w:rFonts w:ascii="Arial" w:cs="Arial" w:eastAsia="Arial" w:hAnsi="Arial"/>
          <w:sz w:val="18"/>
          <w:szCs w:val="18"/>
          <w:color w:val="auto"/>
        </w:rPr>
        <w:t>Real estate and other foreclosed assets totaled $37 million at each of September 30, 2023 and September 30, 2022, compared with $41 million at December 31, 2022 and $43 million at June 30, 2023. Net gains or losses associated with real estate and other foreclosed assets were not material during each of the three and nine months ended September 30, 2023 and 2022. At September 30, 2023, foreclosed assets are comprised predominantly of residential real estate-related properties.</w:t>
      </w:r>
    </w:p>
    <w:p>
      <w:pPr>
        <w:spacing w:after="0" w:line="67" w:lineRule="exact"/>
        <w:rPr>
          <w:sz w:val="20"/>
          <w:szCs w:val="20"/>
          <w:color w:val="auto"/>
        </w:rPr>
      </w:pPr>
    </w:p>
    <w:p>
      <w:pPr>
        <w:ind w:right="60" w:firstLine="468"/>
        <w:spacing w:after="0" w:line="285" w:lineRule="auto"/>
        <w:rPr>
          <w:sz w:val="20"/>
          <w:szCs w:val="20"/>
          <w:color w:val="auto"/>
        </w:rPr>
      </w:pPr>
      <w:r>
        <w:rPr>
          <w:rFonts w:ascii="Arial" w:cs="Arial" w:eastAsia="Arial" w:hAnsi="Arial"/>
          <w:sz w:val="17"/>
          <w:szCs w:val="17"/>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8" w:lineRule="exact"/>
        <w:rPr>
          <w:sz w:val="20"/>
          <w:szCs w:val="20"/>
          <w:color w:val="auto"/>
        </w:rPr>
      </w:pPr>
    </w:p>
    <w:p>
      <w:pPr>
        <w:ind w:right="80" w:firstLine="468"/>
        <w:spacing w:after="0" w:line="254"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September 30, 2023 concerns existed about elevated levels of inflation; fears of liquidity shortages and tightening credit in the financial services markets and a slowing economy or possible recession in coming quarters; the volatile nature of global markets and international economic conditions that could impact the U.S. economy; Federal Reserve positioning of monetary policy; downward pressures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39" w:right="640" w:bottom="1440" w:gutter="0" w:footer="0" w:header="0"/>
        </w:sectPr>
      </w:pPr>
    </w:p>
    <w:bookmarkStart w:id="68" w:name="page69"/>
    <w:bookmarkEnd w:id="68"/>
    <w:p>
      <w:pPr>
        <w:spacing w:after="0" w:line="252" w:lineRule="auto"/>
        <w:rPr>
          <w:sz w:val="20"/>
          <w:szCs w:val="20"/>
          <w:color w:val="auto"/>
        </w:rPr>
      </w:pPr>
      <w:r>
        <w:rPr>
          <w:rFonts w:ascii="Arial" w:cs="Arial" w:eastAsia="Arial" w:hAnsi="Arial"/>
          <w:sz w:val="18"/>
          <w:szCs w:val="18"/>
          <w:color w:val="auto"/>
        </w:rPr>
        <w:t>on commercial and residential real estate values especially in the office and healthcare sectors; rising interest rates and wage pressures impacting commercial borrowers; the extent to which borrowers, in particular commercial real estate borrowers, may be negatively affected by general economic conditions; and continued stagnant population and economic growth in the upstate New York and central Pennsylvania regions (approximately 37% of the Company’s loans and leases are to customers in New York State and Pennsylvania) that historically lag other regions of the country.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Criticized commercial and commercial real estate loans totaled $11.1 billion, $10.9 billion, $10.7 billion, and $10.5 billion and included $2.1 billion, $2.8 billion, $ 2.5 billion, and $2.2 billion of loans acquired from People's United at September 30, 2023, September 30, 2022, December 31, 2022 and June 30, 2023, respectively. Although economic conditions improved during 2022 as pandemic -related restrictions were lifted and consumer spending increased, the business climate through the first nine months of 2023 has been subjected to inflationary pressures, rising interest rates and liquidity concerns. The level of criticized loans remains reflective of the impact of current conditions on many borrowers, particularly those with investor-owned commercial real estate loans in the hotel, office, retail, multi- family and healthcare sectors. Investor-owned commercial real estate loans comprised $8.0 billion or 72% of total criticized loans at September 30, 2023. The weighted- average LTV ratio for loans secured by investor-owned commercial real estate was approximately 56%. Criticized loans secured by investor-owned commercial real estate had a weighted-average LTV ratio of approximately 63%.</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39" w:right="720" w:bottom="1440" w:gutter="0" w:footer="0" w:header="0"/>
        </w:sectPr>
      </w:pPr>
    </w:p>
    <w:bookmarkStart w:id="69" w:name="page70"/>
    <w:bookmarkEnd w:id="69"/>
    <w:p>
      <w:pPr>
        <w:ind w:right="280" w:firstLine="468"/>
        <w:spacing w:after="0" w:line="275" w:lineRule="auto"/>
        <w:rPr>
          <w:sz w:val="20"/>
          <w:szCs w:val="20"/>
          <w:color w:val="auto"/>
        </w:rPr>
      </w:pPr>
      <w:r>
        <w:rPr>
          <w:rFonts w:ascii="Arial" w:cs="Arial" w:eastAsia="Arial" w:hAnsi="Arial"/>
          <w:sz w:val="18"/>
          <w:szCs w:val="18"/>
          <w:color w:val="auto"/>
        </w:rPr>
        <w:t>The accompanying tables summarize the outstanding balances of commercial loans and leases and commercial real estate loans by industry or property type at September 30, 2023 and December 31, 2022.</w:t>
      </w:r>
    </w:p>
    <w:p>
      <w:pPr>
        <w:spacing w:after="0" w:line="54" w:lineRule="exact"/>
        <w:rPr>
          <w:sz w:val="20"/>
          <w:szCs w:val="20"/>
          <w:color w:val="auto"/>
        </w:rPr>
      </w:pPr>
    </w:p>
    <w:p>
      <w:pPr>
        <w:ind w:right="4680"/>
        <w:spacing w:after="0" w:line="266" w:lineRule="auto"/>
        <w:rPr>
          <w:sz w:val="20"/>
          <w:szCs w:val="20"/>
          <w:color w:val="auto"/>
        </w:rPr>
      </w:pPr>
      <w:r>
        <w:rPr>
          <w:rFonts w:ascii="Arial" w:cs="Arial" w:eastAsia="Arial" w:hAnsi="Arial"/>
          <w:sz w:val="18"/>
          <w:szCs w:val="18"/>
          <w:color w:val="auto"/>
        </w:rPr>
        <w:t xml:space="preserve">COMMERCIAL LOANS AND LEASES, NET OF UNEARNED DISCOUNT </w:t>
      </w:r>
      <w:r>
        <w:rPr>
          <w:rFonts w:ascii="Arial" w:cs="Arial" w:eastAsia="Arial" w:hAnsi="Arial"/>
          <w:sz w:val="18"/>
          <w:szCs w:val="18"/>
          <w:i w:val="1"/>
          <w:iCs w:val="1"/>
          <w:color w:val="auto"/>
        </w:rPr>
        <w:t>(Excludes Loans Secured by Real Estate)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154"/>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Criticized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Outstandin</w:t>
            </w:r>
          </w:p>
        </w:tc>
        <w:tc>
          <w:tcPr>
            <w:tcW w:w="2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Nonaccrua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Outstandin</w:t>
            </w:r>
          </w:p>
        </w:tc>
        <w:tc>
          <w:tcPr>
            <w:tcW w:w="2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54"/>
              <w:spacing w:after="0"/>
              <w:rPr>
                <w:sz w:val="20"/>
                <w:szCs w:val="20"/>
                <w:color w:val="auto"/>
              </w:rPr>
            </w:pPr>
            <w:r>
              <w:rPr>
                <w:rFonts w:ascii="Arial" w:cs="Arial" w:eastAsia="Arial" w:hAnsi="Arial"/>
                <w:sz w:val="13"/>
                <w:szCs w:val="13"/>
                <w:b w:val="1"/>
                <w:bCs w:val="1"/>
                <w:color w:val="auto"/>
              </w:rPr>
              <w:t>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b w:val="1"/>
                <w:bCs w:val="1"/>
                <w:color w:val="auto"/>
              </w:rPr>
              <w:t>Accrual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74"/>
              <w:spacing w:after="0"/>
              <w:rPr>
                <w:sz w:val="20"/>
                <w:szCs w:val="20"/>
                <w:color w:val="auto"/>
              </w:rPr>
            </w:pPr>
            <w:r>
              <w:rPr>
                <w:rFonts w:ascii="Arial" w:cs="Arial" w:eastAsia="Arial" w:hAnsi="Arial"/>
                <w:sz w:val="13"/>
                <w:szCs w:val="13"/>
                <w:b w:val="1"/>
                <w:bCs w:val="1"/>
                <w:color w:val="auto"/>
              </w:rPr>
              <w:t>l</w:t>
            </w:r>
          </w:p>
        </w:tc>
        <w:tc>
          <w:tcPr>
            <w:tcW w:w="2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254"/>
              <w:spacing w:after="0"/>
              <w:rPr>
                <w:sz w:val="20"/>
                <w:szCs w:val="20"/>
                <w:color w:val="auto"/>
              </w:rPr>
            </w:pPr>
            <w:r>
              <w:rPr>
                <w:rFonts w:ascii="Arial" w:cs="Arial" w:eastAsia="Arial" w:hAnsi="Arial"/>
                <w:sz w:val="13"/>
                <w:szCs w:val="13"/>
                <w:b w:val="1"/>
                <w:bCs w:val="1"/>
                <w:color w:val="auto"/>
              </w:rPr>
              <w:t>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b w:val="1"/>
                <w:bCs w:val="1"/>
                <w:color w:val="auto"/>
              </w:rPr>
              <w:t>Accrual</w:t>
            </w:r>
          </w:p>
        </w:tc>
        <w:tc>
          <w:tcPr>
            <w:tcW w:w="220" w:type="dxa"/>
            <w:vAlign w:val="bottom"/>
          </w:tcPr>
          <w:p>
            <w:pPr>
              <w:spacing w:after="0"/>
              <w:rPr>
                <w:sz w:val="15"/>
                <w:szCs w:val="15"/>
                <w:color w:val="auto"/>
              </w:rPr>
            </w:pPr>
          </w:p>
        </w:tc>
        <w:tc>
          <w:tcPr>
            <w:tcW w:w="460" w:type="dxa"/>
            <w:vAlign w:val="bottom"/>
          </w:tcPr>
          <w:p>
            <w:pPr>
              <w:jc w:val="center"/>
              <w:ind w:left="174"/>
              <w:spacing w:after="0"/>
              <w:rPr>
                <w:sz w:val="20"/>
                <w:szCs w:val="20"/>
                <w:color w:val="auto"/>
              </w:rPr>
            </w:pPr>
            <w:r>
              <w:rPr>
                <w:rFonts w:ascii="Arial" w:cs="Arial" w:eastAsia="Arial" w:hAnsi="Arial"/>
                <w:sz w:val="13"/>
                <w:szCs w:val="13"/>
                <w:b w:val="1"/>
                <w:bCs w:val="1"/>
                <w:color w:val="auto"/>
                <w:w w:val="91"/>
              </w:rPr>
              <w:t>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Financial and insurance</w:t>
            </w:r>
          </w:p>
        </w:tc>
        <w:tc>
          <w:tcPr>
            <w:tcW w:w="2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9,675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480" w:type="dxa"/>
            <w:vAlign w:val="bottom"/>
            <w:gridSpan w:val="2"/>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w:t>
            </w:r>
          </w:p>
        </w:tc>
        <w:tc>
          <w:tcPr>
            <w:tcW w:w="680" w:type="dxa"/>
            <w:vAlign w:val="bottom"/>
            <w:gridSpan w:val="2"/>
            <w:shd w:val="clear" w:color="auto" w:fill="CFF0FC"/>
          </w:tcPr>
          <w:p>
            <w:pPr>
              <w:jc w:val="right"/>
              <w:ind w:right="3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Services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6,587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6,494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Manufacturing</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0"/>
              <w:spacing w:after="0"/>
              <w:rPr>
                <w:sz w:val="20"/>
                <w:szCs w:val="20"/>
                <w:color w:val="auto"/>
              </w:rPr>
            </w:pPr>
            <w:r>
              <w:rPr>
                <w:rFonts w:ascii="Arial" w:cs="Arial" w:eastAsia="Arial" w:hAnsi="Arial"/>
                <w:sz w:val="13"/>
                <w:szCs w:val="13"/>
                <w:color w:val="auto"/>
              </w:rPr>
              <w:t>Motor vehicle and recreational</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0" w:type="dxa"/>
            <w:vAlign w:val="bottom"/>
          </w:tcPr>
          <w:p>
            <w:pPr>
              <w:ind w:left="120"/>
              <w:spacing w:after="0"/>
              <w:rPr>
                <w:sz w:val="20"/>
                <w:szCs w:val="20"/>
                <w:color w:val="auto"/>
              </w:rPr>
            </w:pPr>
            <w:r>
              <w:rPr>
                <w:rFonts w:ascii="Arial" w:cs="Arial" w:eastAsia="Arial" w:hAnsi="Arial"/>
                <w:sz w:val="13"/>
                <w:szCs w:val="13"/>
                <w:color w:val="auto"/>
              </w:rPr>
              <w:t>finance dealers</w:t>
            </w: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5,442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4,797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Wholesale</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Transportation, communications, utilities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3,078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217</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Retail</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2,147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248</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Health services</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Real estate investors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1,743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45,058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1,979</w:t>
            </w:r>
          </w:p>
        </w:tc>
        <w:tc>
          <w:tcPr>
            <w:tcW w:w="4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485</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2,464</w:t>
            </w:r>
          </w:p>
        </w:tc>
        <w:tc>
          <w:tcPr>
            <w:tcW w:w="48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41,850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1,882</w:t>
            </w:r>
          </w:p>
        </w:tc>
        <w:tc>
          <w:tcPr>
            <w:tcW w:w="680" w:type="dxa"/>
            <w:vAlign w:val="bottom"/>
            <w:gridSpan w:val="2"/>
          </w:tcPr>
          <w:p>
            <w:pPr>
              <w:jc w:val="right"/>
              <w:ind w:right="314"/>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w w:val="92"/>
              </w:rPr>
              <w:t>347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LOANS, NET OF UNEARNED DISCOUNT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154"/>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right"/>
              <w:ind w:right="194"/>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Criticized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Outstandin</w:t>
            </w:r>
          </w:p>
        </w:tc>
        <w:tc>
          <w:tcPr>
            <w:tcW w:w="2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Nonaccrua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Outstandin</w:t>
            </w:r>
          </w:p>
        </w:tc>
        <w:tc>
          <w:tcPr>
            <w:tcW w:w="2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Nonaccru</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54"/>
              <w:spacing w:after="0"/>
              <w:rPr>
                <w:sz w:val="20"/>
                <w:szCs w:val="20"/>
                <w:color w:val="auto"/>
              </w:rPr>
            </w:pPr>
            <w:r>
              <w:rPr>
                <w:rFonts w:ascii="Arial" w:cs="Arial" w:eastAsia="Arial" w:hAnsi="Arial"/>
                <w:sz w:val="13"/>
                <w:szCs w:val="13"/>
                <w:b w:val="1"/>
                <w:bCs w:val="1"/>
                <w:color w:val="auto"/>
              </w:rPr>
              <w:t>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b w:val="1"/>
                <w:bCs w:val="1"/>
                <w:color w:val="auto"/>
              </w:rPr>
              <w:t>Accrual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274"/>
              <w:spacing w:after="0"/>
              <w:rPr>
                <w:sz w:val="20"/>
                <w:szCs w:val="20"/>
                <w:color w:val="auto"/>
              </w:rPr>
            </w:pPr>
            <w:r>
              <w:rPr>
                <w:rFonts w:ascii="Arial" w:cs="Arial" w:eastAsia="Arial" w:hAnsi="Arial"/>
                <w:sz w:val="13"/>
                <w:szCs w:val="13"/>
                <w:b w:val="1"/>
                <w:bCs w:val="1"/>
                <w:color w:val="auto"/>
              </w:rPr>
              <w:t>l</w:t>
            </w:r>
          </w:p>
        </w:tc>
        <w:tc>
          <w:tcPr>
            <w:tcW w:w="2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Criticized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254"/>
              <w:spacing w:after="0"/>
              <w:rPr>
                <w:sz w:val="20"/>
                <w:szCs w:val="20"/>
                <w:color w:val="auto"/>
              </w:rPr>
            </w:pPr>
            <w:r>
              <w:rPr>
                <w:rFonts w:ascii="Arial" w:cs="Arial" w:eastAsia="Arial" w:hAnsi="Arial"/>
                <w:sz w:val="13"/>
                <w:szCs w:val="13"/>
                <w:b w:val="1"/>
                <w:bCs w:val="1"/>
                <w:color w:val="auto"/>
              </w:rPr>
              <w:t>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b w:val="1"/>
                <w:bCs w:val="1"/>
                <w:color w:val="auto"/>
              </w:rPr>
              <w:t>Accrual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center"/>
              <w:ind w:right="114"/>
              <w:spacing w:after="0"/>
              <w:rPr>
                <w:sz w:val="20"/>
                <w:szCs w:val="20"/>
                <w:color w:val="auto"/>
              </w:rPr>
            </w:pPr>
            <w:r>
              <w:rPr>
                <w:rFonts w:ascii="Arial" w:cs="Arial" w:eastAsia="Arial" w:hAnsi="Arial"/>
                <w:sz w:val="13"/>
                <w:szCs w:val="13"/>
                <w:b w:val="1"/>
                <w:bCs w:val="1"/>
                <w:color w:val="auto"/>
                <w:w w:val="91"/>
              </w:rPr>
              <w:t>al</w:t>
            </w:r>
          </w:p>
        </w:tc>
        <w:tc>
          <w:tcPr>
            <w:tcW w:w="20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Criticized</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Investor-owned</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Permanent finance by property type</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6,198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1,006</w:t>
            </w:r>
          </w:p>
        </w:tc>
        <w:tc>
          <w:tcPr>
            <w:tcW w:w="4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1,108</w:t>
            </w:r>
          </w:p>
        </w:tc>
        <w:tc>
          <w:tcPr>
            <w:tcW w:w="48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5,888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684</w:t>
            </w:r>
          </w:p>
        </w:tc>
        <w:tc>
          <w:tcPr>
            <w:tcW w:w="4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78</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Retail/Service</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5,989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Office</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4,898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1,129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Health services</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Hotel</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2,677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854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Industrial/Warehouse</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permanent</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25,860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4,621</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26,612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180"/>
              <w:spacing w:after="0"/>
              <w:rPr>
                <w:sz w:val="20"/>
                <w:szCs w:val="20"/>
                <w:color w:val="auto"/>
              </w:rPr>
            </w:pPr>
            <w:r>
              <w:rPr>
                <w:rFonts w:ascii="Arial" w:cs="Arial" w:eastAsia="Arial" w:hAnsi="Arial"/>
                <w:sz w:val="13"/>
                <w:szCs w:val="13"/>
                <w:color w:val="auto"/>
              </w:rPr>
              <w:t>Construction/development</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2,187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2,326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investor-owned</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20"/>
              <w:spacing w:after="0"/>
              <w:rPr>
                <w:sz w:val="20"/>
                <w:szCs w:val="20"/>
                <w:color w:val="auto"/>
              </w:rPr>
            </w:pPr>
            <w:r>
              <w:rPr>
                <w:rFonts w:ascii="Arial" w:cs="Arial" w:eastAsia="Arial" w:hAnsi="Arial"/>
                <w:sz w:val="13"/>
                <w:szCs w:val="13"/>
                <w:color w:val="auto"/>
              </w:rPr>
              <w:t>Owner-occupied by industry (a)</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Services</w:t>
            </w: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60"/>
              <w:spacing w:after="0"/>
              <w:rPr>
                <w:sz w:val="20"/>
                <w:szCs w:val="20"/>
                <w:color w:val="auto"/>
              </w:rPr>
            </w:pPr>
            <w:r>
              <w:rPr>
                <w:rFonts w:ascii="Arial" w:cs="Arial" w:eastAsia="Arial" w:hAnsi="Arial"/>
                <w:sz w:val="13"/>
                <w:szCs w:val="13"/>
                <w:color w:val="auto"/>
              </w:rPr>
              <w:t>Motor vehicle and recreational</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360"/>
              <w:spacing w:after="0"/>
              <w:rPr>
                <w:sz w:val="20"/>
                <w:szCs w:val="20"/>
                <w:color w:val="auto"/>
              </w:rPr>
            </w:pPr>
            <w:r>
              <w:rPr>
                <w:rFonts w:ascii="Arial" w:cs="Arial" w:eastAsia="Arial" w:hAnsi="Arial"/>
                <w:sz w:val="13"/>
                <w:szCs w:val="13"/>
                <w:color w:val="auto"/>
              </w:rPr>
              <w:t>finance dealers</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Retail</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Wholesale</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Manufacturing</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Real estate investors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Health services</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1,167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owner-occupied</w:t>
            </w: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10,306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00" w:type="dxa"/>
            <w:vAlign w:val="bottom"/>
          </w:tcPr>
          <w:p>
            <w:pPr>
              <w:spacing w:after="0"/>
              <w:rPr>
                <w:sz w:val="14"/>
                <w:szCs w:val="14"/>
                <w:color w:val="auto"/>
              </w:rPr>
            </w:pPr>
          </w:p>
        </w:tc>
        <w:tc>
          <w:tcPr>
            <w:tcW w:w="200" w:type="dxa"/>
            <w:vAlign w:val="bottom"/>
            <w:vMerge w:val="restart"/>
          </w:tcPr>
          <w:p>
            <w:pPr>
              <w:jc w:val="right"/>
              <w:ind w:right="54"/>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43,574</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7,230</w:t>
            </w:r>
          </w:p>
        </w:tc>
        <w:tc>
          <w:tcPr>
            <w:tcW w:w="440" w:type="dxa"/>
            <w:vAlign w:val="bottom"/>
            <w:gridSpan w:val="2"/>
            <w:vMerge w:val="restart"/>
          </w:tcPr>
          <w:p>
            <w:pPr>
              <w:ind w:left="2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1,375</w:t>
            </w: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8,605</w:t>
            </w:r>
          </w:p>
        </w:tc>
        <w:tc>
          <w:tcPr>
            <w:tcW w:w="480" w:type="dxa"/>
            <w:vAlign w:val="bottom"/>
            <w:gridSpan w:val="2"/>
            <w:vMerge w:val="restart"/>
          </w:tcPr>
          <w:p>
            <w:pPr>
              <w:jc w:val="right"/>
              <w:ind w:right="94"/>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45,365</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6,989</w:t>
            </w:r>
          </w:p>
        </w:tc>
        <w:tc>
          <w:tcPr>
            <w:tcW w:w="40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1,523</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8,512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ind w:left="60"/>
              <w:spacing w:after="0" w:line="143" w:lineRule="exact"/>
              <w:rPr>
                <w:sz w:val="20"/>
                <w:szCs w:val="20"/>
                <w:color w:val="auto"/>
              </w:rPr>
            </w:pPr>
            <w:r>
              <w:rPr>
                <w:rFonts w:ascii="Arial" w:cs="Arial" w:eastAsia="Arial" w:hAnsi="Arial"/>
                <w:sz w:val="13"/>
                <w:szCs w:val="13"/>
                <w:color w:val="auto"/>
              </w:rPr>
              <w:t>Total commercial real estate</w:t>
            </w:r>
          </w:p>
        </w:tc>
        <w:tc>
          <w:tcPr>
            <w:tcW w:w="2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(a)Includes $422 million and $359 million of construction loans at September 30, 2023 and December 31, 2022, respectively.</w:t>
      </w:r>
    </w:p>
    <w:p>
      <w:pPr>
        <w:spacing w:after="0" w:line="109" w:lineRule="exact"/>
        <w:rPr>
          <w:sz w:val="20"/>
          <w:szCs w:val="20"/>
          <w:color w:val="auto"/>
        </w:rPr>
      </w:pPr>
    </w:p>
    <w:p>
      <w:pPr>
        <w:ind w:right="40" w:firstLine="528"/>
        <w:spacing w:after="0" w:line="253" w:lineRule="auto"/>
        <w:rPr>
          <w:sz w:val="20"/>
          <w:szCs w:val="20"/>
          <w:color w:val="auto"/>
        </w:rPr>
      </w:pPr>
      <w:r>
        <w:rPr>
          <w:rFonts w:ascii="Arial" w:cs="Arial" w:eastAsia="Arial" w:hAnsi="Arial"/>
          <w:sz w:val="18"/>
          <w:szCs w:val="18"/>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credit personnel review all criticized commercial loans and commercial real estate loans greater than $ 5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0" w:name="page71"/>
    <w:bookmarkEnd w:id="70"/>
    <w:p>
      <w:pPr>
        <w:ind w:right="420"/>
        <w:spacing w:after="0" w:line="275" w:lineRule="auto"/>
        <w:rPr>
          <w:sz w:val="20"/>
          <w:szCs w:val="20"/>
          <w:color w:val="auto"/>
        </w:rPr>
      </w:pPr>
      <w:r>
        <w:rPr>
          <w:rFonts w:ascii="Arial" w:cs="Arial" w:eastAsia="Arial" w:hAnsi="Arial"/>
          <w:sz w:val="18"/>
          <w:szCs w:val="18"/>
          <w:color w:val="auto"/>
        </w:rPr>
        <w:t>borrower’s outlook, and other pertinent data. The timing and extent of potential losses, considering collateral valuation and other factors, and the Company’s potential courses of action are contemplated.</w:t>
      </w:r>
    </w:p>
    <w:p>
      <w:pPr>
        <w:spacing w:after="0" w:line="54"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2023, approximately 51% of the Company’s home equity portfolio consisted of first lien loans and lines of credit and 49% were junior liens.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2023, approximately 86% of all outstanding balances of home equity lines of credit related to lines that were still in the draw period, the weighted-average remaining draw periods were approximately five years, and approximately 16% were making contractually allowed payments that do not include any repayment of principal.</w:t>
      </w:r>
    </w:p>
    <w:p>
      <w:pPr>
        <w:spacing w:after="0" w:line="73" w:lineRule="exact"/>
        <w:rPr>
          <w:sz w:val="20"/>
          <w:szCs w:val="20"/>
          <w:color w:val="auto"/>
        </w:rPr>
      </w:pPr>
    </w:p>
    <w:p>
      <w:pPr>
        <w:ind w:right="120" w:firstLine="468"/>
        <w:spacing w:after="0" w:line="254"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commercial and residential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5" w:lineRule="exact"/>
        <w:rPr>
          <w:sz w:val="20"/>
          <w:szCs w:val="20"/>
          <w:color w:val="auto"/>
        </w:rPr>
      </w:pPr>
    </w:p>
    <w:p>
      <w:pPr>
        <w:ind w:right="20" w:firstLine="468"/>
        <w:spacing w:after="0" w:line="252" w:lineRule="auto"/>
        <w:rPr>
          <w:sz w:val="20"/>
          <w:szCs w:val="20"/>
          <w:color w:val="auto"/>
        </w:rPr>
      </w:pPr>
      <w:r>
        <w:rPr>
          <w:rFonts w:ascii="Arial" w:cs="Arial" w:eastAsia="Arial" w:hAnsi="Arial"/>
          <w:sz w:val="18"/>
          <w:szCs w:val="18"/>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September 30, 2023, June 30, 2023, December 31, 2022 and September 30, 2022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Events posing emerging risks to the macroeconomic environment, such as international conflicts and other events, liquidity concerns, inflation and supply chain issues, are considered when developing economic forecasts even if the events do not directly and materially impact the Company’s financial results. Supply chain disruptions, inflationary pressures, liquidity trends or other peripheral impacts of global events may alter economic forecasts and the Company monitors this activity as part of its risk management procedures in assessing the allowance for credit losses. Among the assumptions utilized as of September 30, 2023 was that the national unemployment rate will average 4.6% through the reasonable and supportable forecast period. The forecast also assumed gross domestic product grows at a 0.7% rate during the first year of the reasonable and supportable forecast period and at a 2.0% rate in the second year. Commercial real estate and residential real estate prices were assumed to cumulatively contract 8.5% and 4.8%, respectively over the two-year reasonable and supportable forecast period. The assumptions utilized as of June 30, 2023 included an average national unemployment rate of 4.6% through the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71" w:name="page72"/>
    <w:bookmarkEnd w:id="71"/>
    <w:p>
      <w:pPr>
        <w:spacing w:after="0" w:line="252" w:lineRule="auto"/>
        <w:rPr>
          <w:sz w:val="20"/>
          <w:szCs w:val="20"/>
          <w:color w:val="auto"/>
        </w:rPr>
      </w:pPr>
      <w:r>
        <w:rPr>
          <w:rFonts w:ascii="Arial" w:cs="Arial" w:eastAsia="Arial" w:hAnsi="Arial"/>
          <w:sz w:val="18"/>
          <w:szCs w:val="18"/>
          <w:color w:val="auto"/>
        </w:rPr>
        <w:t>reasonable and supportable forecast period. The forecast also assumed gross domestic product would grow 0.8% during the first year of the reasonable and supportable forecast period followed by a 2.3% rate in the second year. Commercial real estate prices were assumed to cumulatively contract 11.1% and residential real estate prices were assumed to contract 6.6% over the two-year reasonable and supportable forecast period. The assumptions utilized as of December 31, 2022 included an average national unemployment rate of 4.0% through the reasonable and supportable forecast period. The forecast also assumed gross domestic product would grow during the first year of the reasonable and supportable period at a 1.0% annual rate followed by a 2.5% rate in the second year. Commercial real estate prices were assumed to cumulatively grow 1.9% and residential real estate prices were assumed to contract 6.2% over the two-year reasonable and supportable forecast period. Among the assumptions utilized as of September 30, 2022 was that the national unemployment rate would average 3.9% through the reasonable and supportable forecast period. The forecast also assumed gross domestic product would grow at a 1.5% rate during the first year of the reasonable and supportable forecast period and at a 2.7% rate in the second year. Commercial real estate prices were assumed to cumulatively grow 6.5% and residential real estate values were assumed to contract 4.4%, over the two -year reasonable and supportable forecast period. The assumptions utilized were based on the information available to the Company at or near the time the Company was preparing its estimate of expected credit losses as of those dates.</w:t>
      </w:r>
    </w:p>
    <w:p>
      <w:pPr>
        <w:spacing w:after="0" w:line="78"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could have an adverse impact on expected credit losses and may result in an increase to the allowance for credit losses. Forward 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spacing w:after="0" w:line="72" w:lineRule="exact"/>
        <w:rPr>
          <w:sz w:val="20"/>
          <w:szCs w:val="20"/>
          <w:color w:val="auto"/>
        </w:rPr>
      </w:pPr>
    </w:p>
    <w:p>
      <w:pPr>
        <w:ind w:right="40" w:firstLine="468"/>
        <w:spacing w:after="0" w:line="278" w:lineRule="auto"/>
        <w:rPr>
          <w:sz w:val="20"/>
          <w:szCs w:val="20"/>
          <w:color w:val="auto"/>
        </w:rPr>
      </w:pPr>
      <w:r>
        <w:rPr>
          <w:rFonts w:ascii="Arial" w:cs="Arial" w:eastAsia="Arial" w:hAnsi="Arial"/>
          <w:sz w:val="17"/>
          <w:szCs w:val="17"/>
          <w:color w:val="auto"/>
        </w:rPr>
        <w:t>A potential downside economic scenario assumed the unemployment rate averages 7.1% during the reasonable and supportable forecast period. The scenario also assumed gross domestic product contracts 2.5% in the first year of the reasonable and supportable forecast period before recovering to 1.9% growth in the second year and commercial real estate and residential real estate prices cumulatively decline 25.3% and 11.1%, respectively, by the end of the reasonable and supportable forecast period.</w:t>
      </w:r>
    </w:p>
    <w:p>
      <w:pPr>
        <w:spacing w:after="0" w:line="55" w:lineRule="exact"/>
        <w:rPr>
          <w:sz w:val="20"/>
          <w:szCs w:val="20"/>
          <w:color w:val="auto"/>
        </w:rPr>
      </w:pPr>
    </w:p>
    <w:p>
      <w:pPr>
        <w:ind w:right="60" w:firstLine="468"/>
        <w:spacing w:after="0" w:line="278" w:lineRule="auto"/>
        <w:rPr>
          <w:sz w:val="20"/>
          <w:szCs w:val="20"/>
          <w:color w:val="auto"/>
        </w:rPr>
      </w:pPr>
      <w:r>
        <w:rPr>
          <w:rFonts w:ascii="Arial" w:cs="Arial" w:eastAsia="Arial" w:hAnsi="Arial"/>
          <w:sz w:val="17"/>
          <w:szCs w:val="17"/>
          <w:color w:val="auto"/>
        </w:rPr>
        <w:t>A potential upside economic scenario assumed the unemployment rate averages approximately 3.3% for the duration of the reasonable and supportable forecast period. The scenario also assumes gross domestic product grows 3.4% in the initial year of the reasonable and supportable forecast period and 2.3% in the second year while commercial real estate prices cumulatively decline 0.4% and residential real estate prices cumulatively rise 1.1% over the two-year reasonable and supportable forecast period.</w:t>
      </w:r>
    </w:p>
    <w:p>
      <w:pPr>
        <w:spacing w:after="0" w:line="55" w:lineRule="exact"/>
        <w:rPr>
          <w:sz w:val="20"/>
          <w:szCs w:val="20"/>
          <w:color w:val="auto"/>
        </w:rPr>
      </w:pPr>
    </w:p>
    <w:p>
      <w:pPr>
        <w:ind w:right="20" w:firstLine="468"/>
        <w:spacing w:after="0" w:line="275" w:lineRule="auto"/>
        <w:rPr>
          <w:sz w:val="20"/>
          <w:szCs w:val="20"/>
          <w:color w:val="auto"/>
        </w:rPr>
      </w:pPr>
      <w:r>
        <w:rPr>
          <w:rFonts w:ascii="Arial" w:cs="Arial" w:eastAsia="Arial" w:hAnsi="Arial"/>
          <w:sz w:val="17"/>
          <w:szCs w:val="17"/>
          <w:color w:val="auto"/>
        </w:rPr>
        <w:t>The scenario analyses resulted in an additional $ 388 million of modeled credit losses under the assumptions of the downside economic scenario, whereas under the assumptions of the upside economic scenario a $180 million reduction in modeled credit losses could occur. 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spacing w:after="0" w:line="56" w:lineRule="exact"/>
        <w:rPr>
          <w:sz w:val="20"/>
          <w:szCs w:val="20"/>
          <w:color w:val="auto"/>
        </w:rPr>
      </w:pPr>
    </w:p>
    <w:p>
      <w:pPr>
        <w:ind w:right="60" w:firstLine="468"/>
        <w:spacing w:after="0" w:line="256" w:lineRule="auto"/>
        <w:rPr>
          <w:sz w:val="20"/>
          <w:szCs w:val="20"/>
          <w:color w:val="auto"/>
        </w:rPr>
      </w:pPr>
      <w:r>
        <w:rPr>
          <w:rFonts w:ascii="Arial" w:cs="Arial" w:eastAsia="Arial" w:hAnsi="Arial"/>
          <w:sz w:val="18"/>
          <w:szCs w:val="18"/>
          <w:color w:val="auto"/>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72" w:lineRule="exact"/>
        <w:rPr>
          <w:sz w:val="20"/>
          <w:szCs w:val="20"/>
          <w:color w:val="auto"/>
        </w:rPr>
      </w:pPr>
    </w:p>
    <w:p>
      <w:pPr>
        <w:ind w:right="140" w:firstLine="468"/>
        <w:spacing w:after="0" w:line="259" w:lineRule="auto"/>
        <w:rPr>
          <w:sz w:val="20"/>
          <w:szCs w:val="20"/>
          <w:color w:val="auto"/>
        </w:rPr>
      </w:pPr>
      <w:r>
        <w:rPr>
          <w:rFonts w:ascii="Arial" w:cs="Arial" w:eastAsia="Arial" w:hAnsi="Arial"/>
          <w:sz w:val="18"/>
          <w:szCs w:val="18"/>
          <w:color w:val="auto"/>
        </w:rPr>
        <w:t>Management believes that the allowance for credit losses at September 30, 2023 appropriately reflected expected credit losses inherent in the portfolio as of that date. The allowance for credit losses totaled $2.1 billion at September 30, 2023, compared with $ 1.9 billion at each of September 30, 2022, and at December 31, 2022, and $2.0 billion at June 30, 2023. As a percentage of loans outstanding, the allowance was 1.55% at September 30, 2023, 1.46%</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2" w:name="page73"/>
    <w:bookmarkEnd w:id="72"/>
    <w:p>
      <w:pPr>
        <w:ind w:right="80" w:firstLine="50"/>
        <w:spacing w:after="0" w:line="253" w:lineRule="auto"/>
        <w:rPr>
          <w:sz w:val="20"/>
          <w:szCs w:val="20"/>
          <w:color w:val="auto"/>
        </w:rPr>
      </w:pPr>
      <w:r>
        <w:rPr>
          <w:rFonts w:ascii="Arial" w:cs="Arial" w:eastAsia="Arial" w:hAnsi="Arial"/>
          <w:sz w:val="18"/>
          <w:szCs w:val="18"/>
          <w:color w:val="auto"/>
        </w:rPr>
        <w:t>at each of September 30, 2022 and December 31, 2022, and 1.50% at June 30, 2023. Using the same methodology described herein, the Company added $341 million to the allowance for credit losses related to the $ 35.8 billion of loans and leases obtained in the acquisition of People's United on April 1, 2022. The combined Company allowance for credit losses at April 1, 2022 as a percentage of loans outstanding was 1.42%.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77" w:lineRule="exact"/>
        <w:rPr>
          <w:sz w:val="20"/>
          <w:szCs w:val="20"/>
          <w:color w:val="auto"/>
        </w:rPr>
      </w:pPr>
    </w:p>
    <w:p>
      <w:pPr>
        <w:ind w:right="80" w:firstLine="468"/>
        <w:spacing w:after="0" w:line="256" w:lineRule="auto"/>
        <w:rPr>
          <w:sz w:val="20"/>
          <w:szCs w:val="20"/>
          <w:color w:val="auto"/>
        </w:rPr>
      </w:pPr>
      <w:r>
        <w:rPr>
          <w:rFonts w:ascii="Arial" w:cs="Arial" w:eastAsia="Arial" w:hAnsi="Arial"/>
          <w:sz w:val="18"/>
          <w:szCs w:val="18"/>
          <w:color w:val="auto"/>
        </w:rPr>
        <w:t>The ratio of the allowance for credit losses to total nonaccrual loans at September 30, 2023, September 30, 2022, December 31, 2022 and June 30, 2023 was 88%, 77%, 79% and 82%,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are presented in the accompanying table.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jc w:val="center"/>
              <w:ind w:right="54"/>
              <w:spacing w:after="0"/>
              <w:rPr>
                <w:sz w:val="20"/>
                <w:szCs w:val="20"/>
                <w:color w:val="auto"/>
              </w:rPr>
            </w:pPr>
            <w:r>
              <w:rPr>
                <w:rFonts w:ascii="Arial" w:cs="Arial" w:eastAsia="Arial" w:hAnsi="Arial"/>
                <w:sz w:val="13"/>
                <w:szCs w:val="13"/>
                <w:b w:val="1"/>
                <w:bCs w:val="1"/>
                <w:color w:val="auto"/>
              </w:rPr>
              <w:t>Three Months Ended</w:t>
            </w:r>
          </w:p>
        </w:tc>
        <w:tc>
          <w:tcPr>
            <w:tcW w:w="2100" w:type="dxa"/>
            <w:vAlign w:val="bottom"/>
            <w:gridSpan w:val="2"/>
          </w:tcPr>
          <w:p>
            <w:pPr>
              <w:jc w:val="right"/>
              <w:ind w:right="315"/>
              <w:spacing w:after="0"/>
              <w:rPr>
                <w:sz w:val="20"/>
                <w:szCs w:val="20"/>
                <w:color w:val="auto"/>
              </w:rPr>
            </w:pPr>
            <w:r>
              <w:rPr>
                <w:rFonts w:ascii="Arial" w:cs="Arial" w:eastAsia="Arial" w:hAnsi="Arial"/>
                <w:sz w:val="13"/>
                <w:szCs w:val="13"/>
                <w:b w:val="1"/>
                <w:bCs w:val="1"/>
                <w:color w:val="auto"/>
              </w:rPr>
              <w:t>Percent Change from</w:t>
            </w:r>
          </w:p>
        </w:tc>
        <w:tc>
          <w:tcPr>
            <w:tcW w:w="120" w:type="dxa"/>
            <w:vAlign w:val="bottom"/>
          </w:tcPr>
          <w:p>
            <w:pPr>
              <w:spacing w:after="0"/>
              <w:rPr>
                <w:sz w:val="15"/>
                <w:szCs w:val="15"/>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Nine Months Ended</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tcPr>
          <w:p>
            <w:pPr>
              <w:jc w:val="center"/>
              <w:ind w:right="35"/>
              <w:spacing w:after="0"/>
              <w:rPr>
                <w:sz w:val="20"/>
                <w:szCs w:val="20"/>
                <w:color w:val="auto"/>
              </w:rPr>
            </w:pPr>
            <w:r>
              <w:rPr>
                <w:rFonts w:ascii="Arial" w:cs="Arial" w:eastAsia="Arial" w:hAnsi="Arial"/>
                <w:sz w:val="13"/>
                <w:szCs w:val="13"/>
                <w:b w:val="1"/>
                <w:bCs w:val="1"/>
                <w:color w:val="auto"/>
                <w:w w:val="98"/>
              </w:rPr>
              <w:t>Third</w:t>
            </w:r>
          </w:p>
        </w:tc>
        <w:tc>
          <w:tcPr>
            <w:tcW w:w="880" w:type="dxa"/>
            <w:vAlign w:val="bottom"/>
          </w:tcPr>
          <w:p>
            <w:pPr>
              <w:jc w:val="center"/>
              <w:ind w:right="295"/>
              <w:spacing w:after="0"/>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8"/>
              </w:rPr>
              <w:t>Septemb</w:t>
            </w: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w:t>
            </w:r>
          </w:p>
        </w:tc>
        <w:tc>
          <w:tcPr>
            <w:tcW w:w="10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rPr>
              <w:t>September</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1220" w:type="dxa"/>
            <w:vAlign w:val="bottom"/>
          </w:tcPr>
          <w:p>
            <w:pPr>
              <w:jc w:val="center"/>
              <w:ind w:right="55"/>
              <w:spacing w:after="0"/>
              <w:rPr>
                <w:sz w:val="20"/>
                <w:szCs w:val="20"/>
                <w:color w:val="auto"/>
              </w:rPr>
            </w:pPr>
            <w:r>
              <w:rPr>
                <w:rFonts w:ascii="Arial" w:cs="Arial" w:eastAsia="Arial" w:hAnsi="Arial"/>
                <w:sz w:val="13"/>
                <w:szCs w:val="13"/>
                <w:b w:val="1"/>
                <w:bCs w:val="1"/>
                <w:color w:val="auto"/>
                <w:w w:val="97"/>
              </w:rPr>
              <w:t>Quarter</w:t>
            </w:r>
          </w:p>
        </w:tc>
        <w:tc>
          <w:tcPr>
            <w:tcW w:w="880" w:type="dxa"/>
            <w:vAlign w:val="bottom"/>
          </w:tcPr>
          <w:p>
            <w:pPr>
              <w:jc w:val="center"/>
              <w:ind w:right="295"/>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Septembe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er 30,</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r 30, 2023</w:t>
            </w:r>
          </w:p>
        </w:tc>
        <w:tc>
          <w:tcPr>
            <w:tcW w:w="100" w:type="dxa"/>
            <w:vAlign w:val="bottom"/>
          </w:tcPr>
          <w:p>
            <w:pPr>
              <w:spacing w:after="0"/>
              <w:rPr>
                <w:sz w:val="15"/>
                <w:szCs w:val="15"/>
                <w:color w:val="auto"/>
              </w:rPr>
            </w:pPr>
          </w:p>
        </w:tc>
        <w:tc>
          <w:tcPr>
            <w:tcW w:w="660" w:type="dxa"/>
            <w:vAlign w:val="bottom"/>
          </w:tcPr>
          <w:p>
            <w:pPr>
              <w:jc w:val="center"/>
              <w:ind w:right="34"/>
              <w:spacing w:after="0"/>
              <w:rPr>
                <w:sz w:val="20"/>
                <w:szCs w:val="20"/>
                <w:color w:val="auto"/>
              </w:rPr>
            </w:pPr>
            <w:r>
              <w:rPr>
                <w:rFonts w:ascii="Arial" w:cs="Arial" w:eastAsia="Arial" w:hAnsi="Arial"/>
                <w:sz w:val="13"/>
                <w:szCs w:val="13"/>
                <w:b w:val="1"/>
                <w:bCs w:val="1"/>
                <w:color w:val="auto"/>
              </w:rPr>
              <w:t>30, 2022</w:t>
            </w:r>
          </w:p>
        </w:tc>
        <w:tc>
          <w:tcPr>
            <w:tcW w:w="24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3"/>
                <w:szCs w:val="13"/>
                <w:b w:val="1"/>
                <w:bCs w:val="1"/>
                <w:color w:val="auto"/>
              </w:rPr>
              <w:t>2023</w:t>
            </w:r>
          </w:p>
        </w:tc>
        <w:tc>
          <w:tcPr>
            <w:tcW w:w="1220" w:type="dxa"/>
            <w:vAlign w:val="bottom"/>
          </w:tcPr>
          <w:p>
            <w:pPr>
              <w:jc w:val="center"/>
              <w:ind w:right="55"/>
              <w:spacing w:after="0"/>
              <w:rPr>
                <w:sz w:val="20"/>
                <w:szCs w:val="20"/>
                <w:color w:val="auto"/>
              </w:rPr>
            </w:pPr>
            <w:r>
              <w:rPr>
                <w:rFonts w:ascii="Arial" w:cs="Arial" w:eastAsia="Arial" w:hAnsi="Arial"/>
                <w:sz w:val="13"/>
                <w:szCs w:val="13"/>
                <w:b w:val="1"/>
                <w:bCs w:val="1"/>
                <w:color w:val="auto"/>
              </w:rPr>
              <w:t>2022</w:t>
            </w:r>
          </w:p>
        </w:tc>
        <w:tc>
          <w:tcPr>
            <w:tcW w:w="880" w:type="dxa"/>
            <w:vAlign w:val="bottom"/>
          </w:tcPr>
          <w:p>
            <w:pPr>
              <w:jc w:val="center"/>
              <w:ind w:right="275"/>
              <w:spacing w:after="0"/>
              <w:rPr>
                <w:sz w:val="20"/>
                <w:szCs w:val="20"/>
                <w:color w:val="auto"/>
              </w:rPr>
            </w:pPr>
            <w:r>
              <w:rPr>
                <w:rFonts w:ascii="Arial" w:cs="Arial" w:eastAsia="Arial" w:hAnsi="Arial"/>
                <w:sz w:val="13"/>
                <w:szCs w:val="13"/>
                <w:b w:val="1"/>
                <w:bCs w:val="1"/>
                <w:color w:val="auto"/>
              </w:rPr>
              <w:t>2023</w:t>
            </w: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r 30, 2023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34"/>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center"/>
              <w:ind w:left="454"/>
              <w:spacing w:after="0"/>
              <w:rPr>
                <w:sz w:val="20"/>
                <w:szCs w:val="20"/>
                <w:color w:val="auto"/>
              </w:rPr>
            </w:pPr>
            <w:r>
              <w:rPr>
                <w:rFonts w:ascii="Arial" w:cs="Arial" w:eastAsia="Arial" w:hAnsi="Arial"/>
                <w:sz w:val="13"/>
                <w:szCs w:val="13"/>
                <w:color w:val="auto"/>
              </w:rPr>
              <w:t>(Dollars in thousands)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3"/>
                <w:szCs w:val="13"/>
                <w:color w:val="auto"/>
              </w:rPr>
              <w:t>Mortgage banking revenues</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104,478</w:t>
            </w:r>
          </w:p>
        </w:tc>
        <w:tc>
          <w:tcPr>
            <w:tcW w:w="2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83,041</w:t>
            </w:r>
          </w:p>
        </w:tc>
        <w:tc>
          <w:tcPr>
            <w:tcW w:w="2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$ 107,112</w:t>
            </w:r>
          </w:p>
        </w:tc>
        <w:tc>
          <w:tcPr>
            <w:tcW w:w="1220" w:type="dxa"/>
            <w:vAlign w:val="bottom"/>
            <w:vMerge w:val="restart"/>
          </w:tcPr>
          <w:p>
            <w:pPr>
              <w:jc w:val="right"/>
              <w:ind w:right="135"/>
              <w:spacing w:after="0"/>
              <w:rPr>
                <w:sz w:val="20"/>
                <w:szCs w:val="20"/>
                <w:color w:val="auto"/>
              </w:rPr>
            </w:pPr>
            <w:r>
              <w:rPr>
                <w:rFonts w:ascii="Arial" w:cs="Arial" w:eastAsia="Arial" w:hAnsi="Arial"/>
                <w:sz w:val="13"/>
                <w:szCs w:val="13"/>
                <w:color w:val="auto"/>
              </w:rPr>
              <w:t>26 %</w:t>
            </w:r>
          </w:p>
        </w:tc>
        <w:tc>
          <w:tcPr>
            <w:tcW w:w="880" w:type="dxa"/>
            <w:vAlign w:val="bottom"/>
            <w:vMerge w:val="restart"/>
          </w:tcPr>
          <w:p>
            <w:pPr>
              <w:jc w:val="right"/>
              <w:ind w:right="35"/>
              <w:spacing w:after="0"/>
              <w:rPr>
                <w:sz w:val="20"/>
                <w:szCs w:val="20"/>
                <w:color w:val="auto"/>
              </w:rPr>
            </w:pPr>
            <w:r>
              <w:rPr>
                <w:rFonts w:ascii="Arial" w:cs="Arial" w:eastAsia="Arial" w:hAnsi="Arial"/>
                <w:sz w:val="13"/>
                <w:szCs w:val="13"/>
                <w:color w:val="auto"/>
              </w:rPr>
              <w:t>-2 %</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296,575</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275,115</w:t>
            </w:r>
          </w:p>
        </w:tc>
        <w:tc>
          <w:tcPr>
            <w:tcW w:w="18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53"/>
        </w:trPr>
        <w:tc>
          <w:tcPr>
            <w:tcW w:w="34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Service charges on deposit accounts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121,360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115,213</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118,697</w:t>
            </w:r>
          </w:p>
        </w:tc>
        <w:tc>
          <w:tcPr>
            <w:tcW w:w="1220" w:type="dxa"/>
            <w:vAlign w:val="bottom"/>
            <w:shd w:val="clear" w:color="auto" w:fill="CFF0FC"/>
          </w:tcPr>
          <w:p>
            <w:pPr>
              <w:jc w:val="right"/>
              <w:ind w:right="275"/>
              <w:spacing w:after="0"/>
              <w:rPr>
                <w:sz w:val="20"/>
                <w:szCs w:val="20"/>
                <w:color w:val="auto"/>
              </w:rPr>
            </w:pPr>
            <w:r>
              <w:rPr>
                <w:rFonts w:ascii="Arial" w:cs="Arial" w:eastAsia="Arial" w:hAnsi="Arial"/>
                <w:sz w:val="13"/>
                <w:szCs w:val="13"/>
                <w:color w:val="auto"/>
              </w:rPr>
              <w:t>5</w:t>
            </w:r>
          </w:p>
        </w:tc>
        <w:tc>
          <w:tcPr>
            <w:tcW w:w="880" w:type="dxa"/>
            <w:vAlign w:val="bottom"/>
            <w:shd w:val="clear" w:color="auto" w:fill="CFF0FC"/>
          </w:tcPr>
          <w:p>
            <w:pPr>
              <w:jc w:val="right"/>
              <w:ind w:right="175"/>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353,603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340,890</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rPr>
                <w:sz w:val="20"/>
                <w:szCs w:val="20"/>
                <w:color w:val="auto"/>
              </w:rPr>
            </w:pPr>
            <w:r>
              <w:rPr>
                <w:rFonts w:ascii="Arial" w:cs="Arial" w:eastAsia="Arial" w:hAnsi="Arial"/>
                <w:sz w:val="13"/>
                <w:szCs w:val="13"/>
                <w:color w:val="auto"/>
              </w:rPr>
              <w:t>Trust income</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155,092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186,577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172,463</w:t>
            </w:r>
          </w:p>
        </w:tc>
        <w:tc>
          <w:tcPr>
            <w:tcW w:w="1220" w:type="dxa"/>
            <w:vAlign w:val="bottom"/>
          </w:tcPr>
          <w:p>
            <w:pPr>
              <w:jc w:val="right"/>
              <w:ind w:right="275"/>
              <w:spacing w:after="0"/>
              <w:rPr>
                <w:sz w:val="20"/>
                <w:szCs w:val="20"/>
                <w:color w:val="auto"/>
              </w:rPr>
            </w:pPr>
            <w:r>
              <w:rPr>
                <w:rFonts w:ascii="Arial" w:cs="Arial" w:eastAsia="Arial" w:hAnsi="Arial"/>
                <w:sz w:val="13"/>
                <w:szCs w:val="13"/>
                <w:color w:val="auto"/>
              </w:rPr>
              <w:t>-17</w:t>
            </w:r>
          </w:p>
        </w:tc>
        <w:tc>
          <w:tcPr>
            <w:tcW w:w="880" w:type="dxa"/>
            <w:vAlign w:val="bottom"/>
          </w:tcPr>
          <w:p>
            <w:pPr>
              <w:jc w:val="right"/>
              <w:ind w:right="175"/>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521,357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545,874</w:t>
            </w:r>
          </w:p>
        </w:tc>
        <w:tc>
          <w:tcPr>
            <w:tcW w:w="180" w:type="dxa"/>
            <w:vAlign w:val="bottom"/>
          </w:tcPr>
          <w:p>
            <w:pPr>
              <w:spacing w:after="0"/>
              <w:rPr>
                <w:sz w:val="15"/>
                <w:szCs w:val="15"/>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Brokerage services income</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26,988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21,086</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25,126</w:t>
            </w:r>
          </w:p>
        </w:tc>
        <w:tc>
          <w:tcPr>
            <w:tcW w:w="1220" w:type="dxa"/>
            <w:vAlign w:val="bottom"/>
            <w:shd w:val="clear" w:color="auto" w:fill="CFF0FC"/>
          </w:tcPr>
          <w:p>
            <w:pPr>
              <w:jc w:val="right"/>
              <w:ind w:right="275"/>
              <w:spacing w:after="0"/>
              <w:rPr>
                <w:sz w:val="20"/>
                <w:szCs w:val="20"/>
                <w:color w:val="auto"/>
              </w:rPr>
            </w:pPr>
            <w:r>
              <w:rPr>
                <w:rFonts w:ascii="Arial" w:cs="Arial" w:eastAsia="Arial" w:hAnsi="Arial"/>
                <w:sz w:val="13"/>
                <w:szCs w:val="13"/>
                <w:color w:val="auto"/>
              </w:rPr>
              <w:t>28</w:t>
            </w:r>
          </w:p>
        </w:tc>
        <w:tc>
          <w:tcPr>
            <w:tcW w:w="880" w:type="dxa"/>
            <w:vAlign w:val="bottom"/>
            <w:shd w:val="clear" w:color="auto" w:fill="CFF0FC"/>
          </w:tcPr>
          <w:p>
            <w:pPr>
              <w:jc w:val="right"/>
              <w:ind w:right="175"/>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76,155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65,414</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rPr>
                <w:sz w:val="20"/>
                <w:szCs w:val="20"/>
                <w:color w:val="auto"/>
              </w:rPr>
            </w:pPr>
            <w:r>
              <w:rPr>
                <w:rFonts w:ascii="Arial" w:cs="Arial" w:eastAsia="Arial" w:hAnsi="Arial"/>
                <w:sz w:val="13"/>
                <w:szCs w:val="13"/>
                <w:color w:val="auto"/>
              </w:rPr>
              <w:t>Trading account and non-hedging derivative gains</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9,379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5,081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16,754</w:t>
            </w:r>
          </w:p>
        </w:tc>
        <w:tc>
          <w:tcPr>
            <w:tcW w:w="1220" w:type="dxa"/>
            <w:vAlign w:val="bottom"/>
          </w:tcPr>
          <w:p>
            <w:pPr>
              <w:jc w:val="right"/>
              <w:ind w:right="275"/>
              <w:spacing w:after="0"/>
              <w:rPr>
                <w:sz w:val="20"/>
                <w:szCs w:val="20"/>
                <w:color w:val="auto"/>
              </w:rPr>
            </w:pPr>
            <w:r>
              <w:rPr>
                <w:rFonts w:ascii="Arial" w:cs="Arial" w:eastAsia="Arial" w:hAnsi="Arial"/>
                <w:sz w:val="13"/>
                <w:szCs w:val="13"/>
                <w:color w:val="auto"/>
              </w:rPr>
              <w:t>85</w:t>
            </w:r>
          </w:p>
        </w:tc>
        <w:tc>
          <w:tcPr>
            <w:tcW w:w="880" w:type="dxa"/>
            <w:vAlign w:val="bottom"/>
          </w:tcPr>
          <w:p>
            <w:pPr>
              <w:jc w:val="right"/>
              <w:ind w:right="175"/>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37,808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12,743</w:t>
            </w:r>
          </w:p>
        </w:tc>
        <w:tc>
          <w:tcPr>
            <w:tcW w:w="180" w:type="dxa"/>
            <w:vAlign w:val="bottom"/>
          </w:tcPr>
          <w:p>
            <w:pPr>
              <w:spacing w:after="0"/>
              <w:rPr>
                <w:sz w:val="15"/>
                <w:szCs w:val="15"/>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197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Gain (loss) on bank investment securities</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(235 )</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(1,108 )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w:t>
            </w:r>
          </w:p>
        </w:tc>
        <w:tc>
          <w:tcPr>
            <w:tcW w:w="1220" w:type="dxa"/>
            <w:vAlign w:val="bottom"/>
            <w:shd w:val="clear" w:color="auto" w:fill="CFF0FC"/>
          </w:tcPr>
          <w:p>
            <w:pPr>
              <w:jc w:val="right"/>
              <w:ind w:right="275"/>
              <w:spacing w:after="0"/>
              <w:rPr>
                <w:sz w:val="20"/>
                <w:szCs w:val="20"/>
                <w:color w:val="auto"/>
              </w:rPr>
            </w:pPr>
            <w:r>
              <w:rPr>
                <w:rFonts w:ascii="Arial" w:cs="Arial" w:eastAsia="Arial" w:hAnsi="Arial"/>
                <w:sz w:val="11"/>
                <w:szCs w:val="11"/>
                <w:color w:val="auto"/>
              </w:rPr>
              <w:t>—</w:t>
            </w:r>
          </w:p>
        </w:tc>
        <w:tc>
          <w:tcPr>
            <w:tcW w:w="880" w:type="dxa"/>
            <w:vAlign w:val="bottom"/>
            <w:shd w:val="clear" w:color="auto" w:fill="CFF0FC"/>
          </w:tcPr>
          <w:p>
            <w:pPr>
              <w:jc w:val="right"/>
              <w:ind w:right="175"/>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(1,913 )</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Arial" w:cs="Arial" w:eastAsia="Arial" w:hAnsi="Arial"/>
                <w:sz w:val="13"/>
                <w:szCs w:val="13"/>
                <w:color w:val="auto"/>
              </w:rPr>
              <w:t>Other revenues from operations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142,519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153,189</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362,015</w:t>
            </w:r>
          </w:p>
        </w:tc>
        <w:tc>
          <w:tcPr>
            <w:tcW w:w="1220" w:type="dxa"/>
            <w:vAlign w:val="bottom"/>
          </w:tcPr>
          <w:p>
            <w:pPr>
              <w:jc w:val="right"/>
              <w:ind w:right="295"/>
              <w:spacing w:after="0"/>
              <w:rPr>
                <w:sz w:val="20"/>
                <w:szCs w:val="20"/>
                <w:color w:val="auto"/>
              </w:rPr>
            </w:pPr>
            <w:r>
              <w:rPr>
                <w:rFonts w:ascii="Arial" w:cs="Arial" w:eastAsia="Arial" w:hAnsi="Arial"/>
                <w:sz w:val="13"/>
                <w:szCs w:val="13"/>
                <w:color w:val="auto"/>
              </w:rPr>
              <w:t>-7</w:t>
            </w:r>
          </w:p>
        </w:tc>
        <w:tc>
          <w:tcPr>
            <w:tcW w:w="880" w:type="dxa"/>
            <w:vAlign w:val="bottom"/>
          </w:tcPr>
          <w:p>
            <w:pPr>
              <w:jc w:val="right"/>
              <w:ind w:right="175"/>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664,034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436,943</w:t>
            </w:r>
          </w:p>
        </w:tc>
        <w:tc>
          <w:tcPr>
            <w:tcW w:w="18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ind w:left="100"/>
              <w:spacing w:after="0"/>
              <w:rPr>
                <w:sz w:val="20"/>
                <w:szCs w:val="20"/>
                <w:color w:val="auto"/>
              </w:rPr>
            </w:pPr>
            <w:r>
              <w:rPr>
                <w:rFonts w:ascii="Arial" w:cs="Arial" w:eastAsia="Arial" w:hAnsi="Arial"/>
                <w:sz w:val="13"/>
                <w:szCs w:val="13"/>
                <w:color w:val="auto"/>
              </w:rPr>
              <w:t>Total other income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1,949,88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1,675,06</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440" w:type="dxa"/>
            <w:vAlign w:val="bottom"/>
            <w:vMerge w:val="continue"/>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559,581</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563,079</w:t>
            </w:r>
          </w:p>
        </w:tc>
        <w:tc>
          <w:tcPr>
            <w:tcW w:w="2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$ 803,171</w:t>
            </w:r>
          </w:p>
        </w:tc>
        <w:tc>
          <w:tcPr>
            <w:tcW w:w="1220" w:type="dxa"/>
            <w:vAlign w:val="bottom"/>
            <w:vMerge w:val="restart"/>
          </w:tcPr>
          <w:p>
            <w:pPr>
              <w:jc w:val="right"/>
              <w:ind w:right="135"/>
              <w:spacing w:after="0"/>
              <w:rPr>
                <w:sz w:val="20"/>
                <w:szCs w:val="20"/>
                <w:color w:val="auto"/>
              </w:rPr>
            </w:pPr>
            <w:r>
              <w:rPr>
                <w:rFonts w:ascii="Arial" w:cs="Arial" w:eastAsia="Arial" w:hAnsi="Arial"/>
                <w:sz w:val="13"/>
                <w:szCs w:val="13"/>
                <w:color w:val="auto"/>
              </w:rPr>
              <w:t>-1 %</w:t>
            </w:r>
          </w:p>
        </w:tc>
        <w:tc>
          <w:tcPr>
            <w:tcW w:w="880" w:type="dxa"/>
            <w:vAlign w:val="bottom"/>
            <w:vMerge w:val="restart"/>
          </w:tcPr>
          <w:p>
            <w:pPr>
              <w:jc w:val="right"/>
              <w:ind w:right="35"/>
              <w:spacing w:after="0"/>
              <w:rPr>
                <w:sz w:val="20"/>
                <w:szCs w:val="20"/>
                <w:color w:val="auto"/>
              </w:rPr>
            </w:pPr>
            <w:r>
              <w:rPr>
                <w:rFonts w:ascii="Arial" w:cs="Arial" w:eastAsia="Arial" w:hAnsi="Arial"/>
                <w:sz w:val="13"/>
                <w:szCs w:val="13"/>
                <w:color w:val="auto"/>
              </w:rPr>
              <w:t>-30 %</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70"/>
        </w:trPr>
        <w:tc>
          <w:tcPr>
            <w:tcW w:w="34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6707505" cy="2362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2362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banking revenues</w:t>
      </w:r>
    </w:p>
    <w:p>
      <w:pPr>
        <w:spacing w:after="0" w:line="11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Mortgage banking revenues are comprised of both residential and commercial mortgage banking activities, which consist of realized gains and losses from sales of real estate loans and loan servicing rights, unrealized gains and losses on real estate loans held for sale and related commitments, real estate loan servicing fees, and other real estate loan-related fees and income. The Company's involvement in commercial mortgage banking activities includes the origination, sales and servicing of loans under the multi-family loan program of Fannie Mae, Freddie Mac, and the U.S. Department of Housing and Urban Development.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39" w:right="6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RESIDENTIAL MORTGAGE BANKING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Nine Months Ended</w:t>
            </w:r>
          </w:p>
        </w:tc>
      </w:tr>
      <w:tr>
        <w:trPr>
          <w:trHeight w:val="156"/>
        </w:trPr>
        <w:tc>
          <w:tcPr>
            <w:tcW w:w="48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Arial" w:cs="Arial" w:eastAsia="Arial" w:hAnsi="Arial"/>
                <w:sz w:val="13"/>
                <w:szCs w:val="13"/>
                <w:b w:val="1"/>
                <w:bCs w:val="1"/>
                <w:color w:val="auto"/>
              </w:rPr>
              <w:t>September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September</w:t>
            </w:r>
          </w:p>
        </w:tc>
      </w:tr>
      <w:tr>
        <w:trPr>
          <w:trHeight w:val="18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30, 2023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30, 2022</w:t>
            </w:r>
          </w:p>
        </w:tc>
        <w:tc>
          <w:tcPr>
            <w:tcW w:w="80" w:type="dxa"/>
            <w:vAlign w:val="bottom"/>
          </w:tcPr>
          <w:p>
            <w:pPr>
              <w:spacing w:after="0"/>
              <w:rPr>
                <w:sz w:val="15"/>
                <w:szCs w:val="15"/>
                <w:color w:val="auto"/>
              </w:rPr>
            </w:pPr>
          </w:p>
        </w:tc>
      </w:t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Residential mortgage banking 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
        </w:trPr>
        <w:tc>
          <w:tcPr>
            <w:tcW w:w="4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80"/>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Gains (losses) on loans originated for sale</w:t>
            </w: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8,298</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8,380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(2,082 )</w:t>
            </w:r>
          </w:p>
        </w:tc>
      </w:tr>
      <w:tr>
        <w:trPr>
          <w:trHeight w:val="175"/>
        </w:trPr>
        <w:tc>
          <w:tcPr>
            <w:tcW w:w="4800" w:type="dxa"/>
            <w:vAlign w:val="bottom"/>
          </w:tcPr>
          <w:p>
            <w:pPr>
              <w:ind w:left="20"/>
              <w:spacing w:after="0"/>
              <w:rPr>
                <w:sz w:val="20"/>
                <w:szCs w:val="20"/>
                <w:color w:val="auto"/>
              </w:rPr>
            </w:pPr>
            <w:r>
              <w:rPr>
                <w:rFonts w:ascii="Arial" w:cs="Arial" w:eastAsia="Arial" w:hAnsi="Arial"/>
                <w:sz w:val="13"/>
                <w:szCs w:val="13"/>
                <w:color w:val="auto"/>
              </w:rPr>
              <w:t>Loan servicing fees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37,325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21,676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37,690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94,645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64,369</w:t>
            </w:r>
          </w:p>
        </w:tc>
        <w:tc>
          <w:tcPr>
            <w:tcW w:w="80" w:type="dxa"/>
            <w:vAlign w:val="bottom"/>
          </w:tcPr>
          <w:p>
            <w:pPr>
              <w:spacing w:after="0"/>
              <w:rPr>
                <w:sz w:val="15"/>
                <w:szCs w:val="15"/>
                <w:color w:val="auto"/>
              </w:rPr>
            </w:pPr>
          </w:p>
        </w:tc>
      </w:tr>
      <w:tr>
        <w:trPr>
          <w:trHeight w:val="185"/>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Loan sub-servicing and other fees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30,250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32,615</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31,361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93,926</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118,928</w:t>
            </w:r>
          </w:p>
        </w:tc>
        <w:tc>
          <w:tcPr>
            <w:tcW w:w="80" w:type="dxa"/>
            <w:vAlign w:val="bottom"/>
            <w:shd w:val="clear" w:color="auto" w:fill="CFF0FC"/>
          </w:tcPr>
          <w:p>
            <w:pPr>
              <w:spacing w:after="0"/>
              <w:rPr>
                <w:sz w:val="16"/>
                <w:szCs w:val="16"/>
                <w:color w:val="auto"/>
              </w:rPr>
            </w:pPr>
          </w:p>
        </w:tc>
      </w:tr>
      <w:tr>
        <w:trPr>
          <w:trHeight w:val="175"/>
        </w:trPr>
        <w:tc>
          <w:tcPr>
            <w:tcW w:w="4800" w:type="dxa"/>
            <w:vAlign w:val="bottom"/>
          </w:tcPr>
          <w:p>
            <w:pPr>
              <w:ind w:left="120"/>
              <w:spacing w:after="0"/>
              <w:rPr>
                <w:sz w:val="20"/>
                <w:szCs w:val="20"/>
                <w:color w:val="auto"/>
              </w:rPr>
            </w:pPr>
            <w:r>
              <w:rPr>
                <w:rFonts w:ascii="Arial" w:cs="Arial" w:eastAsia="Arial" w:hAnsi="Arial"/>
                <w:sz w:val="13"/>
                <w:szCs w:val="13"/>
                <w:color w:val="auto"/>
              </w:rPr>
              <w:t>Total loan servicing revenues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67,575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54,291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69,051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188,571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183,297</w:t>
            </w:r>
          </w:p>
        </w:tc>
        <w:tc>
          <w:tcPr>
            <w:tcW w:w="80" w:type="dxa"/>
            <w:vAlign w:val="bottom"/>
          </w:tcPr>
          <w:p>
            <w:pPr>
              <w:spacing w:after="0"/>
              <w:rPr>
                <w:sz w:val="15"/>
                <w:szCs w:val="15"/>
                <w:color w:val="auto"/>
              </w:rPr>
            </w:pPr>
          </w:p>
        </w:tc>
      </w:tr>
      <w:tr>
        <w:trPr>
          <w:trHeight w:val="225"/>
        </w:trPr>
        <w:tc>
          <w:tcPr>
            <w:tcW w:w="4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Total residential mortgage banking revenues</w:t>
            </w: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75,873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55,279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77,431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208,101</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181,215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46"/>
        </w:trPr>
        <w:tc>
          <w:tcPr>
            <w:tcW w:w="4800" w:type="dxa"/>
            <w:vAlign w:val="bottom"/>
          </w:tcPr>
          <w:p>
            <w:pPr>
              <w:ind w:left="20"/>
              <w:spacing w:after="0" w:line="146" w:lineRule="exact"/>
              <w:rPr>
                <w:sz w:val="20"/>
                <w:szCs w:val="20"/>
                <w:color w:val="auto"/>
              </w:rPr>
            </w:pPr>
            <w:r>
              <w:rPr>
                <w:rFonts w:ascii="Arial" w:cs="Arial" w:eastAsia="Arial" w:hAnsi="Arial"/>
                <w:sz w:val="13"/>
                <w:szCs w:val="13"/>
                <w:color w:val="auto"/>
              </w:rPr>
              <w:t>New commitments to originate loans for sale</w:t>
            </w:r>
          </w:p>
        </w:tc>
        <w:tc>
          <w:tcPr>
            <w:tcW w:w="200" w:type="dxa"/>
            <w:vAlign w:val="bottom"/>
          </w:tcPr>
          <w:p>
            <w:pPr>
              <w:ind w:left="2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340,949</w:t>
            </w:r>
          </w:p>
        </w:tc>
        <w:tc>
          <w:tcPr>
            <w:tcW w:w="460" w:type="dxa"/>
            <w:vAlign w:val="bottom"/>
            <w:gridSpan w:val="2"/>
          </w:tcPr>
          <w:p>
            <w:pPr>
              <w:ind w:left="28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47,295</w:t>
            </w:r>
          </w:p>
        </w:tc>
        <w:tc>
          <w:tcPr>
            <w:tcW w:w="260" w:type="dxa"/>
            <w:vAlign w:val="bottom"/>
          </w:tcPr>
          <w:p>
            <w:pPr>
              <w:spacing w:after="0"/>
              <w:rPr>
                <w:sz w:val="12"/>
                <w:szCs w:val="12"/>
                <w:color w:val="auto"/>
              </w:rPr>
            </w:pPr>
          </w:p>
        </w:tc>
        <w:tc>
          <w:tcPr>
            <w:tcW w:w="260" w:type="dxa"/>
            <w:vAlign w:val="bottom"/>
          </w:tcPr>
          <w:p>
            <w:pPr>
              <w:ind w:left="20"/>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394,618</w:t>
            </w:r>
          </w:p>
        </w:tc>
        <w:tc>
          <w:tcPr>
            <w:tcW w:w="3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1,011,367</w:t>
            </w:r>
          </w:p>
        </w:tc>
        <w:tc>
          <w:tcPr>
            <w:tcW w:w="3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286,081</w:t>
            </w:r>
          </w:p>
        </w:tc>
        <w:tc>
          <w:tcPr>
            <w:tcW w:w="80" w:type="dxa"/>
            <w:vAlign w:val="bottom"/>
          </w:tcPr>
          <w:p>
            <w:pPr>
              <w:spacing w:after="0"/>
              <w:rPr>
                <w:sz w:val="12"/>
                <w:szCs w:val="12"/>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6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September 30,</w:t>
            </w:r>
          </w:p>
        </w:tc>
      </w:tr>
      <w:tr>
        <w:trPr>
          <w:trHeight w:val="183"/>
        </w:trPr>
        <w:tc>
          <w:tcPr>
            <w:tcW w:w="2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June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30"/>
        </w:trPr>
        <w:tc>
          <w:tcPr>
            <w:tcW w:w="2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734"/>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540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Balances at period end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Loans held for sale</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204,697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216,277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31,742</w:t>
            </w:r>
          </w:p>
        </w:tc>
        <w:tc>
          <w:tcPr>
            <w:tcW w:w="46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42,344</w:t>
            </w:r>
          </w:p>
        </w:tc>
        <w:tc>
          <w:tcPr>
            <w:tcW w:w="80" w:type="dxa"/>
            <w:vAlign w:val="bottom"/>
          </w:tcPr>
          <w:p>
            <w:pPr>
              <w:spacing w:after="0"/>
              <w:rPr>
                <w:sz w:val="18"/>
                <w:szCs w:val="18"/>
                <w:color w:val="auto"/>
              </w:rPr>
            </w:pPr>
          </w:p>
        </w:tc>
      </w:tr>
      <w:tr>
        <w:trPr>
          <w:trHeight w:val="185"/>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Commitments to originate loans for sale</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237,683</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242,739</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31,208</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57,155</w:t>
            </w:r>
          </w:p>
        </w:tc>
        <w:tc>
          <w:tcPr>
            <w:tcW w:w="80" w:type="dxa"/>
            <w:vAlign w:val="bottom"/>
            <w:shd w:val="clear" w:color="auto" w:fill="CFF0FC"/>
          </w:tcPr>
          <w:p>
            <w:pPr>
              <w:spacing w:after="0"/>
              <w:rPr>
                <w:sz w:val="16"/>
                <w:szCs w:val="16"/>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Commitments to sell loans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383,599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393,585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52,988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80,132</w:t>
            </w:r>
          </w:p>
        </w:tc>
        <w:tc>
          <w:tcPr>
            <w:tcW w:w="80" w:type="dxa"/>
            <w:vAlign w:val="bottom"/>
          </w:tcPr>
          <w:p>
            <w:pPr>
              <w:spacing w:after="0"/>
              <w:rPr>
                <w:sz w:val="15"/>
                <w:szCs w:val="15"/>
                <w:color w:val="auto"/>
              </w:rPr>
            </w:pPr>
          </w:p>
        </w:tc>
      </w:tr>
      <w:tr>
        <w:trPr>
          <w:trHeight w:val="185"/>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Capitalized mortgage servicing rights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505,175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194,335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207,944</w:t>
            </w:r>
          </w:p>
        </w:tc>
        <w:tc>
          <w:tcPr>
            <w:tcW w:w="80" w:type="dxa"/>
            <w:vAlign w:val="bottom"/>
            <w:shd w:val="clear" w:color="auto" w:fill="CFF0FC"/>
          </w:tcPr>
          <w:p>
            <w:pPr>
              <w:spacing w:after="0"/>
              <w:rPr>
                <w:sz w:val="16"/>
                <w:szCs w:val="16"/>
                <w:color w:val="auto"/>
              </w:rPr>
            </w:pPr>
          </w:p>
        </w:tc>
      </w:tr>
      <w:tr>
        <w:trPr>
          <w:trHeight w:val="180"/>
        </w:trPr>
        <w:tc>
          <w:tcPr>
            <w:tcW w:w="2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Loans serviced for others</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40,504,163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40,942,973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22,329,879</w:t>
            </w:r>
          </w:p>
        </w:tc>
        <w:tc>
          <w:tcPr>
            <w:tcW w:w="46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22,834,323</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Loans sub-serviced for others (a)</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114,598,944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112,756,135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96,026,835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81,196,851</w:t>
            </w:r>
          </w:p>
        </w:tc>
        <w:tc>
          <w:tcPr>
            <w:tcW w:w="80" w:type="dxa"/>
            <w:vAlign w:val="bottom"/>
          </w:tcPr>
          <w:p>
            <w:pPr>
              <w:spacing w:after="0"/>
              <w:rPr>
                <w:sz w:val="15"/>
                <w:szCs w:val="15"/>
                <w:color w:val="auto"/>
              </w:rPr>
            </w:pPr>
          </w:p>
        </w:tc>
      </w:tr>
      <w:tr>
        <w:trPr>
          <w:trHeight w:val="225"/>
        </w:trPr>
        <w:tc>
          <w:tcPr>
            <w:tcW w:w="54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Total loans serviced for others</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155,103,107</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153,699,108</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118,356,714</w:t>
            </w:r>
          </w:p>
        </w:tc>
        <w:tc>
          <w:tcPr>
            <w:tcW w:w="46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104,031,174</w:t>
            </w:r>
          </w:p>
        </w:tc>
        <w:tc>
          <w:tcPr>
            <w:tcW w:w="80" w:type="dxa"/>
            <w:vAlign w:val="bottom"/>
            <w:shd w:val="clear" w:color="auto" w:fill="CFF0FC"/>
          </w:tcPr>
          <w:p>
            <w:pPr>
              <w:spacing w:after="0"/>
              <w:rPr>
                <w:sz w:val="19"/>
                <w:szCs w:val="19"/>
                <w:color w:val="auto"/>
              </w:rPr>
            </w:pPr>
          </w:p>
        </w:tc>
      </w:tr>
      <w:tr>
        <w:trPr>
          <w:trHeight w:val="36"/>
        </w:trPr>
        <w:tc>
          <w:tcPr>
            <w:tcW w:w="2820" w:type="dxa"/>
            <w:vAlign w:val="bottom"/>
            <w:tcBorders>
              <w:top w:val="single" w:sz="8" w:color="CFF0FC"/>
              <w:bottom w:val="single" w:sz="8" w:color="auto"/>
            </w:tcBorders>
          </w:tcPr>
          <w:p>
            <w:pPr>
              <w:spacing w:after="0"/>
              <w:rPr>
                <w:sz w:val="3"/>
                <w:szCs w:val="3"/>
                <w:color w:val="auto"/>
              </w:rPr>
            </w:pPr>
          </w:p>
        </w:tc>
        <w:tc>
          <w:tcPr>
            <w:tcW w:w="2580" w:type="dxa"/>
            <w:vAlign w:val="bottom"/>
            <w:tcBorders>
              <w:top w:val="single" w:sz="8" w:color="CFF0FC"/>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3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3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8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r>
    </w:tbl>
    <w:p>
      <w:pPr>
        <w:ind w:right="340"/>
        <w:spacing w:after="0" w:line="264" w:lineRule="auto"/>
        <w:rPr>
          <w:sz w:val="20"/>
          <w:szCs w:val="20"/>
          <w:color w:val="auto"/>
        </w:rPr>
      </w:pPr>
      <w:r>
        <w:rPr>
          <w:rFonts w:ascii="Arial" w:cs="Arial" w:eastAsia="Arial" w:hAnsi="Arial"/>
          <w:sz w:val="13"/>
          <w:szCs w:val="13"/>
          <w:i w:val="1"/>
          <w:iCs w:val="1"/>
          <w:color w:val="auto"/>
        </w:rPr>
        <w:t>(a)The contractual servicing rights associated with residential mortgage loans sub-serviced by the Company were predominantly held by affiliates of BLG. Information about the Company’s relationship with BLG and its affiliates is included in note 15 of Notes to Financial Statements</w:t>
      </w:r>
    </w:p>
    <w:p>
      <w:pPr>
        <w:spacing w:after="0" w:line="132" w:lineRule="exact"/>
        <w:rPr>
          <w:sz w:val="20"/>
          <w:szCs w:val="20"/>
          <w:color w:val="auto"/>
        </w:rPr>
      </w:pPr>
    </w:p>
    <w:p>
      <w:pPr>
        <w:ind w:left="480" w:right="60"/>
        <w:spacing w:after="0" w:line="256" w:lineRule="auto"/>
        <w:rPr>
          <w:sz w:val="20"/>
          <w:szCs w:val="20"/>
          <w:color w:val="auto"/>
        </w:rPr>
      </w:pPr>
      <w:r>
        <w:rPr>
          <w:rFonts w:ascii="Arial" w:cs="Arial" w:eastAsia="Arial" w:hAnsi="Arial"/>
          <w:sz w:val="18"/>
          <w:szCs w:val="18"/>
          <w:color w:val="auto"/>
        </w:rPr>
        <w:t>•Throughout 2022, the Company originated the majority of its residential real estate loans for retention in its loan portfolio rather than for sale. In the first quarter of 2023, the Company returned to originating for sale the majority of its newly originated residential mortgage loans. Gains associated with residential mortgage loans originated for sale increased $7 million in the recent quarter as compared with the third quarter of 2022. Similarly, gains associated with residential mortgage loans originated for sale increased $22 million in the first nine months of 2023 as compared with the similar 2022 period.</w:t>
      </w:r>
    </w:p>
    <w:p>
      <w:pPr>
        <w:spacing w:after="0" w:line="72" w:lineRule="exact"/>
        <w:rPr>
          <w:sz w:val="20"/>
          <w:szCs w:val="20"/>
          <w:color w:val="auto"/>
        </w:rPr>
      </w:pPr>
    </w:p>
    <w:p>
      <w:pPr>
        <w:ind w:left="480"/>
        <w:spacing w:after="0" w:line="256" w:lineRule="auto"/>
        <w:rPr>
          <w:sz w:val="20"/>
          <w:szCs w:val="20"/>
          <w:color w:val="auto"/>
        </w:rPr>
      </w:pPr>
      <w:r>
        <w:rPr>
          <w:rFonts w:ascii="Arial" w:cs="Arial" w:eastAsia="Arial" w:hAnsi="Arial"/>
          <w:sz w:val="18"/>
          <w:szCs w:val="18"/>
          <w:color w:val="auto"/>
        </w:rPr>
        <w:t>•The increase in residential mortgage loan servicing fees of $16 million and $30 million in the three- and nine-month periods ending September 30, 2023 as compared with the similar 2022 periods, respectively, primarily reflects a $350 million bulk purchase of residential mortgage loan servicing rights associated with $19.5 billion of residential real estate loans on March 31, 2023. The decline in residential mortgage loan sub -servicing and other fees in the first nine months of 2023 as compared with the first nine months of 2022 reflects lower fees on reduced loan modification activity.</w:t>
      </w:r>
    </w:p>
    <w:p>
      <w:pPr>
        <w:spacing w:after="0" w:line="72" w:lineRule="exact"/>
        <w:rPr>
          <w:sz w:val="20"/>
          <w:szCs w:val="20"/>
          <w:color w:val="auto"/>
        </w:rPr>
      </w:pPr>
    </w:p>
    <w:p>
      <w:pPr>
        <w:ind w:left="480" w:right="40"/>
        <w:spacing w:after="0" w:line="263" w:lineRule="auto"/>
        <w:rPr>
          <w:sz w:val="20"/>
          <w:szCs w:val="20"/>
          <w:color w:val="auto"/>
        </w:rPr>
      </w:pPr>
      <w:r>
        <w:rPr>
          <w:rFonts w:ascii="Arial" w:cs="Arial" w:eastAsia="Arial" w:hAnsi="Arial"/>
          <w:sz w:val="18"/>
          <w:szCs w:val="18"/>
          <w:color w:val="auto"/>
        </w:rPr>
        <w:t>•The higher balances of capitalized residential mortgage servicing rights and outstanding balances of residential mortgage loans serviced for others at September 30, 2023 and June 30, 2023 as compared with December 31, 2022 and September 30, 2022 each reflect the bulk purchase of residential mortgage loan servicing rights in the first quarter of 2023.</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COMMERCIAL MORTGAGE BANKING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156"/>
        </w:trPr>
        <w:tc>
          <w:tcPr>
            <w:tcW w:w="48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4"/>
              <w:spacing w:after="0"/>
              <w:rPr>
                <w:sz w:val="20"/>
                <w:szCs w:val="20"/>
                <w:color w:val="auto"/>
              </w:rPr>
            </w:pPr>
            <w:r>
              <w:rPr>
                <w:rFonts w:ascii="Arial" w:cs="Arial" w:eastAsia="Arial" w:hAnsi="Arial"/>
                <w:sz w:val="13"/>
                <w:szCs w:val="13"/>
                <w:b w:val="1"/>
                <w:bCs w:val="1"/>
                <w:color w:val="auto"/>
              </w:rPr>
              <w:t>September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w:t>
            </w:r>
          </w:p>
        </w:tc>
      </w:tr>
      <w:tr>
        <w:trPr>
          <w:trHeight w:val="18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30, 2023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30, 2022</w:t>
            </w:r>
          </w:p>
        </w:tc>
        <w:tc>
          <w:tcPr>
            <w:tcW w:w="80" w:type="dxa"/>
            <w:vAlign w:val="bottom"/>
          </w:tcPr>
          <w:p>
            <w:pPr>
              <w:spacing w:after="0"/>
              <w:rPr>
                <w:sz w:val="15"/>
                <w:szCs w:val="15"/>
                <w:color w:val="auto"/>
              </w:rPr>
            </w:pPr>
          </w:p>
        </w:tc>
      </w:t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Commercial mortgage banking 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4800" w:type="dxa"/>
            <w:vAlign w:val="bottom"/>
          </w:tcPr>
          <w:p>
            <w:pPr>
              <w:ind w:left="20"/>
              <w:spacing w:after="0"/>
              <w:rPr>
                <w:sz w:val="20"/>
                <w:szCs w:val="20"/>
                <w:color w:val="auto"/>
              </w:rPr>
            </w:pPr>
            <w:r>
              <w:rPr>
                <w:rFonts w:ascii="Arial" w:cs="Arial" w:eastAsia="Arial" w:hAnsi="Arial"/>
                <w:sz w:val="13"/>
                <w:szCs w:val="13"/>
                <w:color w:val="auto"/>
              </w:rPr>
              <w:t>Gains on loans originated for sale</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11,649</w:t>
            </w:r>
          </w:p>
        </w:tc>
        <w:tc>
          <w:tcPr>
            <w:tcW w:w="4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11,666</w:t>
            </w:r>
          </w:p>
        </w:tc>
        <w:tc>
          <w:tcPr>
            <w:tcW w:w="2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12,219</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37,795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40,061</w:t>
            </w:r>
          </w:p>
        </w:tc>
        <w:tc>
          <w:tcPr>
            <w:tcW w:w="80" w:type="dxa"/>
            <w:vAlign w:val="bottom"/>
          </w:tcPr>
          <w:p>
            <w:pPr>
              <w:spacing w:after="0"/>
              <w:rPr>
                <w:sz w:val="18"/>
                <w:szCs w:val="18"/>
                <w:color w:val="auto"/>
              </w:rPr>
            </w:pPr>
          </w:p>
        </w:tc>
      </w:tr>
      <w:tr>
        <w:trPr>
          <w:trHeight w:val="185"/>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Loan servicing fees and other</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16,956</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16,096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17,462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50,679</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53,839</w:t>
            </w:r>
          </w:p>
        </w:tc>
        <w:tc>
          <w:tcPr>
            <w:tcW w:w="80" w:type="dxa"/>
            <w:vAlign w:val="bottom"/>
            <w:shd w:val="clear" w:color="auto" w:fill="CFF0FC"/>
          </w:tcPr>
          <w:p>
            <w:pPr>
              <w:spacing w:after="0"/>
              <w:rPr>
                <w:sz w:val="16"/>
                <w:szCs w:val="16"/>
                <w:color w:val="auto"/>
              </w:rPr>
            </w:pPr>
          </w:p>
        </w:tc>
      </w:tr>
      <w:tr>
        <w:trPr>
          <w:trHeight w:val="180"/>
        </w:trPr>
        <w:tc>
          <w:tcPr>
            <w:tcW w:w="4800" w:type="dxa"/>
            <w:vAlign w:val="bottom"/>
          </w:tcPr>
          <w:p>
            <w:pPr>
              <w:ind w:left="120"/>
              <w:spacing w:after="0"/>
              <w:rPr>
                <w:sz w:val="20"/>
                <w:szCs w:val="20"/>
                <w:color w:val="auto"/>
              </w:rPr>
            </w:pPr>
            <w:r>
              <w:rPr>
                <w:rFonts w:ascii="Arial" w:cs="Arial" w:eastAsia="Arial" w:hAnsi="Arial"/>
                <w:sz w:val="13"/>
                <w:szCs w:val="13"/>
                <w:color w:val="auto"/>
              </w:rPr>
              <w:t>Total commercial mortgage banking revenues</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28,605</w:t>
            </w:r>
          </w:p>
        </w:tc>
        <w:tc>
          <w:tcPr>
            <w:tcW w:w="4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27,762</w:t>
            </w:r>
          </w:p>
        </w:tc>
        <w:tc>
          <w:tcPr>
            <w:tcW w:w="26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29,681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88,474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93,900</w:t>
            </w:r>
          </w:p>
        </w:tc>
        <w:tc>
          <w:tcPr>
            <w:tcW w:w="80" w:type="dxa"/>
            <w:vAlign w:val="bottom"/>
          </w:tcPr>
          <w:p>
            <w:pPr>
              <w:spacing w:after="0"/>
              <w:rPr>
                <w:sz w:val="15"/>
                <w:szCs w:val="15"/>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Loans originated for sale to other investors</w:t>
            </w: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934,047</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906,032</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940,442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2,546,862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2,204,134</w:t>
            </w:r>
          </w:p>
        </w:tc>
        <w:tc>
          <w:tcPr>
            <w:tcW w:w="80" w:type="dxa"/>
            <w:vAlign w:val="bottom"/>
            <w:shd w:val="clear" w:color="auto" w:fill="CFF0FC"/>
          </w:tcPr>
          <w:p>
            <w:pPr>
              <w:spacing w:after="0"/>
              <w:rPr>
                <w:sz w:val="13"/>
                <w:szCs w:val="13"/>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6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September 30,</w:t>
            </w:r>
          </w:p>
        </w:tc>
      </w:tr>
      <w:tr>
        <w:trPr>
          <w:trHeight w:val="183"/>
        </w:trPr>
        <w:tc>
          <w:tcPr>
            <w:tcW w:w="2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June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30"/>
        </w:trPr>
        <w:tc>
          <w:tcPr>
            <w:tcW w:w="2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734"/>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40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Balances at period end</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80"/>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Loans held for sale</w:t>
            </w:r>
          </w:p>
        </w:tc>
        <w:tc>
          <w:tcPr>
            <w:tcW w:w="24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226,022</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322,029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130,652</w:t>
            </w:r>
          </w:p>
        </w:tc>
        <w:tc>
          <w:tcPr>
            <w:tcW w:w="500" w:type="dxa"/>
            <w:vAlign w:val="bottom"/>
            <w:gridSpan w:val="2"/>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300,373</w:t>
            </w:r>
          </w:p>
        </w:tc>
        <w:tc>
          <w:tcPr>
            <w:tcW w:w="80" w:type="dxa"/>
            <w:vAlign w:val="bottom"/>
            <w:shd w:val="clear" w:color="auto" w:fill="CFF0FC"/>
          </w:tcPr>
          <w:p>
            <w:pPr>
              <w:spacing w:after="0"/>
              <w:rPr>
                <w:sz w:val="15"/>
                <w:szCs w:val="15"/>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Commitments to originate loans for sale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338,569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309,771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348,701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401,369</w:t>
            </w:r>
          </w:p>
        </w:tc>
        <w:tc>
          <w:tcPr>
            <w:tcW w:w="80" w:type="dxa"/>
            <w:vAlign w:val="bottom"/>
          </w:tcPr>
          <w:p>
            <w:pPr>
              <w:spacing w:after="0"/>
              <w:rPr>
                <w:sz w:val="15"/>
                <w:szCs w:val="15"/>
                <w:color w:val="auto"/>
              </w:rPr>
            </w:pPr>
          </w:p>
        </w:tc>
      </w:tr>
      <w:tr>
        <w:trPr>
          <w:trHeight w:val="185"/>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Commitments to sell loans</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564,591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631,800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479,353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701,742</w:t>
            </w:r>
          </w:p>
        </w:tc>
        <w:tc>
          <w:tcPr>
            <w:tcW w:w="80" w:type="dxa"/>
            <w:vAlign w:val="bottom"/>
            <w:shd w:val="clear" w:color="auto" w:fill="CFF0FC"/>
          </w:tcPr>
          <w:p>
            <w:pPr>
              <w:spacing w:after="0"/>
              <w:rPr>
                <w:sz w:val="16"/>
                <w:szCs w:val="16"/>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Capitalized mortgage servicing rights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124,907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124,472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126,391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128,651</w:t>
            </w:r>
          </w:p>
        </w:tc>
        <w:tc>
          <w:tcPr>
            <w:tcW w:w="80" w:type="dxa"/>
            <w:vAlign w:val="bottom"/>
          </w:tcPr>
          <w:p>
            <w:pPr>
              <w:spacing w:after="0"/>
              <w:rPr>
                <w:sz w:val="15"/>
                <w:szCs w:val="15"/>
                <w:color w:val="auto"/>
              </w:rPr>
            </w:pPr>
          </w:p>
        </w:tc>
      </w:tr>
      <w:tr>
        <w:trPr>
          <w:trHeight w:val="185"/>
        </w:trPr>
        <w:tc>
          <w:tcPr>
            <w:tcW w:w="282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3"/>
                <w:szCs w:val="13"/>
                <w:color w:val="auto"/>
              </w:rPr>
              <w:t>Loans serviced for others (a)</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23,933,887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23,124,042</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22,177,153</w:t>
            </w:r>
          </w:p>
        </w:tc>
        <w:tc>
          <w:tcPr>
            <w:tcW w:w="50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21,360,961</w:t>
            </w:r>
          </w:p>
        </w:tc>
        <w:tc>
          <w:tcPr>
            <w:tcW w:w="80" w:type="dxa"/>
            <w:vAlign w:val="bottom"/>
          </w:tcPr>
          <w:p>
            <w:pPr>
              <w:spacing w:after="0"/>
              <w:rPr>
                <w:sz w:val="15"/>
                <w:szCs w:val="15"/>
                <w:color w:val="auto"/>
              </w:rPr>
            </w:pPr>
          </w:p>
        </w:tc>
      </w:tr>
      <w:tr>
        <w:trPr>
          <w:trHeight w:val="185"/>
        </w:trPr>
        <w:tc>
          <w:tcPr>
            <w:tcW w:w="54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Loans sub-serviced for others</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3,749,249</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3,763,796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3,841,235</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3,692,301</w:t>
            </w:r>
          </w:p>
        </w:tc>
        <w:tc>
          <w:tcPr>
            <w:tcW w:w="80" w:type="dxa"/>
            <w:vAlign w:val="bottom"/>
            <w:shd w:val="clear" w:color="auto" w:fill="CFF0FC"/>
          </w:tcPr>
          <w:p>
            <w:pPr>
              <w:spacing w:after="0"/>
              <w:rPr>
                <w:sz w:val="16"/>
                <w:szCs w:val="16"/>
                <w:color w:val="auto"/>
              </w:rPr>
            </w:pPr>
          </w:p>
        </w:tc>
      </w:tr>
      <w:tr>
        <w:trPr>
          <w:trHeight w:val="180"/>
        </w:trPr>
        <w:tc>
          <w:tcPr>
            <w:tcW w:w="5400" w:type="dxa"/>
            <w:vAlign w:val="bottom"/>
            <w:gridSpan w:val="2"/>
          </w:tcPr>
          <w:p>
            <w:pPr>
              <w:ind w:left="120"/>
              <w:spacing w:after="0"/>
              <w:rPr>
                <w:sz w:val="20"/>
                <w:szCs w:val="20"/>
                <w:color w:val="auto"/>
              </w:rPr>
            </w:pPr>
            <w:r>
              <w:rPr>
                <w:rFonts w:ascii="Arial" w:cs="Arial" w:eastAsia="Arial" w:hAnsi="Arial"/>
                <w:sz w:val="13"/>
                <w:szCs w:val="13"/>
                <w:color w:val="auto"/>
              </w:rPr>
              <w:t>Total loans serviced for others</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27,683,136</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26,887,838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26,018,388</w:t>
            </w:r>
          </w:p>
        </w:tc>
        <w:tc>
          <w:tcPr>
            <w:tcW w:w="50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25,053,262</w:t>
            </w:r>
          </w:p>
        </w:tc>
        <w:tc>
          <w:tcPr>
            <w:tcW w:w="80" w:type="dxa"/>
            <w:vAlign w:val="bottom"/>
          </w:tcPr>
          <w:p>
            <w:pPr>
              <w:spacing w:after="0"/>
              <w:rPr>
                <w:sz w:val="15"/>
                <w:szCs w:val="15"/>
                <w:color w:val="auto"/>
              </w:rPr>
            </w:pPr>
          </w:p>
        </w:tc>
      </w:tr>
      <w:tr>
        <w:trPr>
          <w:trHeight w:val="20"/>
        </w:trPr>
        <w:tc>
          <w:tcPr>
            <w:tcW w:w="2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2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r>
    </w:tbl>
    <w:p>
      <w:pPr>
        <w:ind w:right="360"/>
        <w:spacing w:after="0" w:line="264" w:lineRule="auto"/>
        <w:rPr>
          <w:sz w:val="20"/>
          <w:szCs w:val="20"/>
          <w:color w:val="auto"/>
        </w:rPr>
      </w:pPr>
      <w:r>
        <w:rPr>
          <w:rFonts w:ascii="Arial" w:cs="Arial" w:eastAsia="Arial" w:hAnsi="Arial"/>
          <w:sz w:val="13"/>
          <w:szCs w:val="13"/>
          <w:i w:val="1"/>
          <w:iCs w:val="1"/>
          <w:color w:val="auto"/>
        </w:rPr>
        <w:t>(a)Includes $4.0 billion at September 30, 2023, $3.9 billion at each of June 30,2023 and December 31, 2022, and $3.7 billion at September 30, 2022 of loan balances for which investors had recourse to the Company if such balances are ultimately uncollectible.</w:t>
      </w:r>
    </w:p>
    <w:p>
      <w:pPr>
        <w:spacing w:after="0" w:line="72" w:lineRule="exact"/>
        <w:rPr>
          <w:sz w:val="20"/>
          <w:szCs w:val="20"/>
          <w:color w:val="auto"/>
        </w:rPr>
      </w:pPr>
    </w:p>
    <w:p>
      <w:pPr>
        <w:ind w:left="480" w:right="200"/>
        <w:spacing w:after="0" w:line="275" w:lineRule="auto"/>
        <w:rPr>
          <w:sz w:val="20"/>
          <w:szCs w:val="20"/>
          <w:color w:val="auto"/>
        </w:rPr>
      </w:pPr>
      <w:r>
        <w:rPr>
          <w:rFonts w:ascii="Arial" w:cs="Arial" w:eastAsia="Arial" w:hAnsi="Arial"/>
          <w:sz w:val="18"/>
          <w:szCs w:val="18"/>
          <w:color w:val="auto"/>
        </w:rPr>
        <w:t>•The decline in commercial mortgage banking revenues in the first nine months of 2023 as compared with the corresponding 2022 period reflects lower margins on commercial real estate loans originated for sale.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11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Service charges on deposit accounts increased $6 million in the recent quarter from the similar 2022 quarter predominantly from increased commercial service charges. The increase in service charges on deposit accounts in the first nine months of 2023 as compared with the first three quarters of 2022 reflects one additional quarter of revenues associated with the acquisition of People’s United, partially offset by a full nine-month impact in the 2023 period of the Company’s elimination of certain non-sufficient fund fees and overdraft protection transfer charges from linked deposit accounts beginning in the second quarter of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income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Trust income includes fees related to two businesses. The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WAS business offers personal trust, planning, fiduciary, asset management, family office and other services designed to help high net worth individuals and families grow, preserve and transfer wealth.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TRUST INCOME AND ASSETS UNDER MANAGEMENT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320"/>
              <w:spacing w:after="0"/>
              <w:rPr>
                <w:sz w:val="20"/>
                <w:szCs w:val="20"/>
                <w:color w:val="auto"/>
              </w:rPr>
            </w:pPr>
            <w:r>
              <w:rPr>
                <w:rFonts w:ascii="Arial" w:cs="Arial" w:eastAsia="Arial" w:hAnsi="Arial"/>
                <w:sz w:val="13"/>
                <w:szCs w:val="13"/>
                <w:b w:val="1"/>
                <w:bCs w:val="1"/>
                <w:color w:val="auto"/>
              </w:rPr>
              <w:t>Nine Months Ended</w:t>
            </w:r>
          </w:p>
        </w:tc>
      </w:tr>
      <w:tr>
        <w:trPr>
          <w:trHeight w:val="156"/>
        </w:trPr>
        <w:tc>
          <w:tcPr>
            <w:tcW w:w="48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Arial" w:cs="Arial" w:eastAsia="Arial" w:hAnsi="Arial"/>
                <w:sz w:val="13"/>
                <w:szCs w:val="13"/>
                <w:b w:val="1"/>
                <w:bCs w:val="1"/>
                <w:color w:val="auto"/>
              </w:rPr>
              <w:t>September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w:t>
            </w:r>
          </w:p>
        </w:tc>
      </w:tr>
      <w:tr>
        <w:trPr>
          <w:trHeight w:val="183"/>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30, 2023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b w:val="1"/>
                <w:bCs w:val="1"/>
                <w:color w:val="auto"/>
              </w:rPr>
              <w:t>30, 2022</w:t>
            </w:r>
          </w:p>
        </w:tc>
        <w:tc>
          <w:tcPr>
            <w:tcW w:w="80" w:type="dxa"/>
            <w:vAlign w:val="bottom"/>
          </w:tcPr>
          <w:p>
            <w:pPr>
              <w:spacing w:after="0"/>
              <w:rPr>
                <w:sz w:val="15"/>
                <w:szCs w:val="15"/>
                <w:color w:val="auto"/>
              </w:rPr>
            </w:pPr>
          </w:p>
        </w:tc>
      </w:t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Trust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6"/>
        </w:trPr>
        <w:tc>
          <w:tcPr>
            <w:tcW w:w="4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80"/>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ICS</w:t>
            </w:r>
          </w:p>
        </w:tc>
        <w:tc>
          <w:tcPr>
            <w:tcW w:w="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77,463</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114,058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90,073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287,477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323,112</w:t>
            </w:r>
          </w:p>
        </w:tc>
        <w:tc>
          <w:tcPr>
            <w:tcW w:w="80" w:type="dxa"/>
            <w:vAlign w:val="bottom"/>
            <w:shd w:val="clear" w:color="auto" w:fill="CFF0FC"/>
          </w:tcPr>
          <w:p>
            <w:pPr>
              <w:spacing w:after="0"/>
              <w:rPr>
                <w:sz w:val="15"/>
                <w:szCs w:val="15"/>
                <w:color w:val="auto"/>
              </w:rPr>
            </w:pPr>
          </w:p>
        </w:tc>
      </w:tr>
      <w:tr>
        <w:trPr>
          <w:trHeight w:val="175"/>
        </w:trPr>
        <w:tc>
          <w:tcPr>
            <w:tcW w:w="4800" w:type="dxa"/>
            <w:vAlign w:val="bottom"/>
          </w:tcPr>
          <w:p>
            <w:pPr>
              <w:ind w:left="20"/>
              <w:spacing w:after="0"/>
              <w:rPr>
                <w:sz w:val="20"/>
                <w:szCs w:val="20"/>
                <w:color w:val="auto"/>
              </w:rPr>
            </w:pPr>
            <w:r>
              <w:rPr>
                <w:rFonts w:ascii="Arial" w:cs="Arial" w:eastAsia="Arial" w:hAnsi="Arial"/>
                <w:sz w:val="13"/>
                <w:szCs w:val="13"/>
                <w:color w:val="auto"/>
              </w:rPr>
              <w:t>WAS</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73,818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71,372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78,755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ind w:left="320"/>
              <w:spacing w:after="0"/>
              <w:rPr>
                <w:sz w:val="20"/>
                <w:szCs w:val="20"/>
                <w:color w:val="auto"/>
              </w:rPr>
            </w:pPr>
            <w:r>
              <w:rPr>
                <w:rFonts w:ascii="Arial" w:cs="Arial" w:eastAsia="Arial" w:hAnsi="Arial"/>
                <w:sz w:val="13"/>
                <w:szCs w:val="13"/>
                <w:color w:val="auto"/>
              </w:rPr>
              <w:t>225,747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217,249</w:t>
            </w:r>
          </w:p>
        </w:tc>
        <w:tc>
          <w:tcPr>
            <w:tcW w:w="80" w:type="dxa"/>
            <w:vAlign w:val="bottom"/>
          </w:tcPr>
          <w:p>
            <w:pPr>
              <w:spacing w:after="0"/>
              <w:rPr>
                <w:sz w:val="15"/>
                <w:szCs w:val="15"/>
                <w:color w:val="auto"/>
              </w:rPr>
            </w:pPr>
          </w:p>
        </w:tc>
      </w:tr>
      <w:tr>
        <w:trPr>
          <w:trHeight w:val="185"/>
        </w:trPr>
        <w:tc>
          <w:tcPr>
            <w:tcW w:w="4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3,811</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ind w:left="480"/>
              <w:spacing w:after="0"/>
              <w:rPr>
                <w:sz w:val="20"/>
                <w:szCs w:val="20"/>
                <w:color w:val="auto"/>
              </w:rPr>
            </w:pPr>
            <w:r>
              <w:rPr>
                <w:rFonts w:ascii="Arial" w:cs="Arial" w:eastAsia="Arial" w:hAnsi="Arial"/>
                <w:sz w:val="13"/>
                <w:szCs w:val="13"/>
                <w:color w:val="auto"/>
                <w:w w:val="98"/>
              </w:rPr>
              <w:t>8,133</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5,513</w:t>
            </w:r>
          </w:p>
        </w:tc>
        <w:tc>
          <w:tcPr>
            <w:tcW w:w="80" w:type="dxa"/>
            <w:vAlign w:val="bottom"/>
            <w:shd w:val="clear" w:color="auto" w:fill="CFF0FC"/>
          </w:tcPr>
          <w:p>
            <w:pPr>
              <w:spacing w:after="0"/>
              <w:rPr>
                <w:sz w:val="16"/>
                <w:szCs w:val="16"/>
                <w:color w:val="auto"/>
              </w:rPr>
            </w:pPr>
          </w:p>
        </w:tc>
      </w:tr>
      <w:tr>
        <w:trPr>
          <w:trHeight w:val="180"/>
        </w:trPr>
        <w:tc>
          <w:tcPr>
            <w:tcW w:w="4800" w:type="dxa"/>
            <w:vAlign w:val="bottom"/>
          </w:tcPr>
          <w:p>
            <w:pPr>
              <w:ind w:left="120"/>
              <w:spacing w:after="0"/>
              <w:rPr>
                <w:sz w:val="20"/>
                <w:szCs w:val="20"/>
                <w:color w:val="auto"/>
              </w:rPr>
            </w:pPr>
            <w:r>
              <w:rPr>
                <w:rFonts w:ascii="Arial" w:cs="Arial" w:eastAsia="Arial" w:hAnsi="Arial"/>
                <w:sz w:val="13"/>
                <w:szCs w:val="13"/>
                <w:color w:val="auto"/>
              </w:rPr>
              <w:t>Total trust income</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155,092</w:t>
            </w:r>
          </w:p>
        </w:tc>
        <w:tc>
          <w:tcPr>
            <w:tcW w:w="4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186,577</w:t>
            </w:r>
          </w:p>
        </w:tc>
        <w:tc>
          <w:tcPr>
            <w:tcW w:w="26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172,463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ind w:left="320"/>
              <w:spacing w:after="0"/>
              <w:rPr>
                <w:sz w:val="20"/>
                <w:szCs w:val="20"/>
                <w:color w:val="auto"/>
              </w:rPr>
            </w:pPr>
            <w:r>
              <w:rPr>
                <w:rFonts w:ascii="Arial" w:cs="Arial" w:eastAsia="Arial" w:hAnsi="Arial"/>
                <w:sz w:val="13"/>
                <w:szCs w:val="13"/>
                <w:color w:val="auto"/>
              </w:rPr>
              <w:t>521,357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545,874</w:t>
            </w:r>
          </w:p>
        </w:tc>
        <w:tc>
          <w:tcPr>
            <w:tcW w:w="80" w:type="dxa"/>
            <w:vAlign w:val="bottom"/>
          </w:tcPr>
          <w:p>
            <w:pPr>
              <w:spacing w:after="0"/>
              <w:rPr>
                <w:sz w:val="15"/>
                <w:szCs w:val="15"/>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December 31,</w:t>
            </w:r>
          </w:p>
        </w:tc>
        <w:tc>
          <w:tcPr>
            <w:tcW w:w="28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rPr>
              <w:t>September 30,</w:t>
            </w:r>
          </w:p>
        </w:tc>
      </w:tr>
      <w:tr>
        <w:trPr>
          <w:trHeight w:val="183"/>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Arial" w:cs="Arial" w:eastAsia="Arial" w:hAnsi="Arial"/>
                <w:sz w:val="13"/>
                <w:szCs w:val="13"/>
                <w:b w:val="1"/>
                <w:bCs w:val="1"/>
                <w:color w:val="auto"/>
                <w:w w:val="99"/>
              </w:rPr>
              <w:t>June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30"/>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734"/>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3"/>
                <w:szCs w:val="13"/>
                <w:b w:val="1"/>
                <w:bCs w:val="1"/>
                <w:color w:val="auto"/>
              </w:rPr>
              <w:t>Assets under management at period end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5400" w:type="dxa"/>
            <w:vAlign w:val="bottom"/>
          </w:tcPr>
          <w:p>
            <w:pPr>
              <w:ind w:left="20"/>
              <w:spacing w:after="0"/>
              <w:rPr>
                <w:sz w:val="20"/>
                <w:szCs w:val="20"/>
                <w:color w:val="auto"/>
              </w:rPr>
            </w:pPr>
            <w:r>
              <w:rPr>
                <w:rFonts w:ascii="Arial" w:cs="Arial" w:eastAsia="Arial" w:hAnsi="Arial"/>
                <w:sz w:val="13"/>
                <w:szCs w:val="13"/>
                <w:color w:val="auto"/>
              </w:rPr>
              <w:t>Trust assets under management (excluding proprietary funds)</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ind w:left="160"/>
              <w:spacing w:after="0"/>
              <w:rPr>
                <w:sz w:val="20"/>
                <w:szCs w:val="20"/>
                <w:color w:val="auto"/>
              </w:rPr>
            </w:pPr>
            <w:r>
              <w:rPr>
                <w:rFonts w:ascii="Arial" w:cs="Arial" w:eastAsia="Arial" w:hAnsi="Arial"/>
                <w:sz w:val="13"/>
                <w:szCs w:val="13"/>
                <w:color w:val="auto"/>
                <w:w w:val="98"/>
              </w:rPr>
              <w:t>62,769,192</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64,397,888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152,227,591</w:t>
            </w:r>
          </w:p>
        </w:tc>
        <w:tc>
          <w:tcPr>
            <w:tcW w:w="46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140,800,339</w:t>
            </w:r>
          </w:p>
        </w:tc>
        <w:tc>
          <w:tcPr>
            <w:tcW w:w="80" w:type="dxa"/>
            <w:vAlign w:val="bottom"/>
          </w:tcPr>
          <w:p>
            <w:pPr>
              <w:spacing w:after="0"/>
              <w:rPr>
                <w:sz w:val="18"/>
                <w:szCs w:val="18"/>
                <w:color w:val="auto"/>
              </w:rPr>
            </w:pPr>
          </w:p>
        </w:tc>
      </w:tr>
      <w:tr>
        <w:trPr>
          <w:trHeight w:val="185"/>
        </w:trPr>
        <w:tc>
          <w:tcPr>
            <w:tcW w:w="54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Proprietary mutual fund</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14,835,311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14,103,421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12,992,062</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12,696,305</w:t>
            </w:r>
          </w:p>
        </w:tc>
        <w:tc>
          <w:tcPr>
            <w:tcW w:w="80" w:type="dxa"/>
            <w:vAlign w:val="bottom"/>
            <w:shd w:val="clear" w:color="auto" w:fill="CFF0FC"/>
          </w:tcPr>
          <w:p>
            <w:pPr>
              <w:spacing w:after="0"/>
              <w:rPr>
                <w:sz w:val="16"/>
                <w:szCs w:val="16"/>
                <w:color w:val="auto"/>
              </w:rPr>
            </w:pPr>
          </w:p>
        </w:tc>
      </w:tr>
      <w:tr>
        <w:trPr>
          <w:trHeight w:val="180"/>
        </w:trPr>
        <w:tc>
          <w:tcPr>
            <w:tcW w:w="5400" w:type="dxa"/>
            <w:vAlign w:val="bottom"/>
          </w:tcPr>
          <w:p>
            <w:pPr>
              <w:ind w:left="120"/>
              <w:spacing w:after="0"/>
              <w:rPr>
                <w:sz w:val="20"/>
                <w:szCs w:val="20"/>
                <w:color w:val="auto"/>
              </w:rPr>
            </w:pPr>
            <w:r>
              <w:rPr>
                <w:rFonts w:ascii="Arial" w:cs="Arial" w:eastAsia="Arial" w:hAnsi="Arial"/>
                <w:sz w:val="13"/>
                <w:szCs w:val="13"/>
                <w:color w:val="auto"/>
              </w:rPr>
              <w:t>Total assets under management</w:t>
            </w: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820" w:type="dxa"/>
            <w:vAlign w:val="bottom"/>
          </w:tcPr>
          <w:p>
            <w:pPr>
              <w:ind w:left="160"/>
              <w:spacing w:after="0"/>
              <w:rPr>
                <w:sz w:val="20"/>
                <w:szCs w:val="20"/>
                <w:color w:val="auto"/>
              </w:rPr>
            </w:pPr>
            <w:r>
              <w:rPr>
                <w:rFonts w:ascii="Arial" w:cs="Arial" w:eastAsia="Arial" w:hAnsi="Arial"/>
                <w:sz w:val="13"/>
                <w:szCs w:val="13"/>
                <w:color w:val="auto"/>
                <w:w w:val="98"/>
              </w:rPr>
              <w:t>77,604,503</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78,501,309</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165,219,653</w:t>
            </w:r>
          </w:p>
        </w:tc>
        <w:tc>
          <w:tcPr>
            <w:tcW w:w="46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153,496,644</w:t>
            </w:r>
          </w:p>
        </w:tc>
        <w:tc>
          <w:tcPr>
            <w:tcW w:w="8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5" w:lineRule="exact"/>
        <w:rPr>
          <w:sz w:val="20"/>
          <w:szCs w:val="20"/>
          <w:color w:val="auto"/>
        </w:rPr>
      </w:pPr>
    </w:p>
    <w:p>
      <w:pPr>
        <w:ind w:left="480"/>
        <w:spacing w:after="0" w:line="259" w:lineRule="auto"/>
        <w:rPr>
          <w:sz w:val="20"/>
          <w:szCs w:val="20"/>
          <w:color w:val="auto"/>
        </w:rPr>
      </w:pPr>
      <w:r>
        <w:rPr>
          <w:rFonts w:ascii="Arial" w:cs="Arial" w:eastAsia="Arial" w:hAnsi="Arial"/>
          <w:sz w:val="18"/>
          <w:szCs w:val="18"/>
          <w:color w:val="auto"/>
        </w:rPr>
        <w:t>•In April 2023, M&amp;T completed the divestiture of its CIT business through a sale to a private equity firm. The resulting decline in ICS trust income associated with that business in the recent quarter was $41 million and $15 million when compared with 2022's third quarter and the second quarter of 2023, respectively. For the nine months ended September 30, 2023 ICS trust income associated with the CIT business declined $61 million as compared with the same period of 2022.</w:t>
      </w:r>
    </w:p>
    <w:p>
      <w:pPr>
        <w:spacing w:after="0" w:line="67" w:lineRule="exact"/>
        <w:rPr>
          <w:sz w:val="20"/>
          <w:szCs w:val="20"/>
          <w:color w:val="auto"/>
        </w:rPr>
      </w:pPr>
    </w:p>
    <w:p>
      <w:pPr>
        <w:ind w:left="480" w:right="300"/>
        <w:spacing w:after="0" w:line="275" w:lineRule="auto"/>
        <w:rPr>
          <w:sz w:val="20"/>
          <w:szCs w:val="20"/>
          <w:color w:val="auto"/>
        </w:rPr>
      </w:pPr>
      <w:r>
        <w:rPr>
          <w:rFonts w:ascii="Arial" w:cs="Arial" w:eastAsia="Arial" w:hAnsi="Arial"/>
          <w:sz w:val="18"/>
          <w:szCs w:val="18"/>
          <w:color w:val="auto"/>
        </w:rPr>
        <w:t>•ICS trust income not related to the CIT business increased $25 million for the first nine months of 2023 as compared to the similar 2022 period reflecting new business and higher fund management fees.</w:t>
      </w:r>
    </w:p>
    <w:p>
      <w:pPr>
        <w:spacing w:after="0" w:line="54" w:lineRule="exact"/>
        <w:rPr>
          <w:sz w:val="20"/>
          <w:szCs w:val="20"/>
          <w:color w:val="auto"/>
        </w:rPr>
      </w:pPr>
    </w:p>
    <w:p>
      <w:pPr>
        <w:ind w:left="480" w:right="240"/>
        <w:spacing w:after="0" w:line="259" w:lineRule="auto"/>
        <w:rPr>
          <w:sz w:val="20"/>
          <w:szCs w:val="20"/>
          <w:color w:val="auto"/>
        </w:rPr>
      </w:pPr>
      <w:r>
        <w:rPr>
          <w:rFonts w:ascii="Arial" w:cs="Arial" w:eastAsia="Arial" w:hAnsi="Arial"/>
          <w:sz w:val="18"/>
          <w:szCs w:val="18"/>
          <w:color w:val="auto"/>
        </w:rPr>
        <w:t>•WAS trust income in the recent quarter declined from the immediately preceding quarter as a result of seasonal tax service fees earned in the second quarter of 2023. The increase in trust income from the WAS business in the first nine months of 2023 as compared with the corresponding 2022 period reflected one additional quarter of operations acquired from People’s United.</w:t>
      </w:r>
    </w:p>
    <w:p>
      <w:pPr>
        <w:spacing w:after="0" w:line="67" w:lineRule="exact"/>
        <w:rPr>
          <w:sz w:val="20"/>
          <w:szCs w:val="20"/>
          <w:color w:val="auto"/>
        </w:rPr>
      </w:pPr>
    </w:p>
    <w:p>
      <w:pPr>
        <w:ind w:left="480" w:right="200"/>
        <w:spacing w:after="0" w:line="275" w:lineRule="auto"/>
        <w:rPr>
          <w:sz w:val="20"/>
          <w:szCs w:val="20"/>
          <w:color w:val="auto"/>
        </w:rPr>
      </w:pPr>
      <w:r>
        <w:rPr>
          <w:rFonts w:ascii="Arial" w:cs="Arial" w:eastAsia="Arial" w:hAnsi="Arial"/>
          <w:sz w:val="18"/>
          <w:szCs w:val="18"/>
          <w:color w:val="auto"/>
        </w:rPr>
        <w:t>•The lower assets under management at September 30, 2023 and June 30, 2023 as compared with December 31, 2022 and September 30, 2022 reflect the sale of the CIT business in the second quarter of 2023.</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services income</w:t>
      </w:r>
    </w:p>
    <w:p>
      <w:pPr>
        <w:spacing w:after="0" w:line="1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Brokerage services income, which includes revenues from the sale of mutual funds and annuities, securities brokerage fees and select investment products of LPL Financial, an independent financial services broker, increased $6 million in the recent quarter as compared with the year -earlier quarter reflecting higher fees from LPL Financial. The increase in revenues in the first nine months of 2023 as compared with the first three quarters of 2022 also reflects one additional quarter of operations from the acquisition of People’s United.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account and non-hedging derivative gains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enters into interest rate swap agreements and foreign exchange contracts with customers who need such services and concomitantly enters into an offsetting trading position with third parties to minimize risks involved with these types of transactions. Information about the notional amount of interest rate, foreign exchange and other non-hedging contracts entered into by the Company is included in note 10 of Notes to Financial Statements and herein under the heading "Taxable-Equivalent Net Interest Income". The comparative increase and decrease in income from trading account and non-hedging derivative gains in the recent quarter as compared with the year -earlier quarter and immediately preceding quarter, respectively, reflects changes in the volume of interest rate swap agreements with commercial customers and changes in market conditions impacting the value of assets related to the Company’s supplemental executive retirement plans. The increase in trading account and non-hedging derivative gains in the first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6" w:name="page77"/>
    <w:bookmarkEnd w:id="76"/>
    <w:p>
      <w:pPr>
        <w:ind w:right="160"/>
        <w:spacing w:after="0" w:line="275" w:lineRule="auto"/>
        <w:rPr>
          <w:sz w:val="20"/>
          <w:szCs w:val="20"/>
          <w:color w:val="auto"/>
        </w:rPr>
      </w:pPr>
      <w:r>
        <w:rPr>
          <w:rFonts w:ascii="Arial" w:cs="Arial" w:eastAsia="Arial" w:hAnsi="Arial"/>
          <w:sz w:val="18"/>
          <w:szCs w:val="18"/>
          <w:color w:val="auto"/>
        </w:rPr>
        <w:t>nine months of 2023 as compared with the first nine months of 2022 also reflects one additional quarter of operations acquired from People's United.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 from operations</w:t>
      </w:r>
    </w:p>
    <w:p>
      <w:pPr>
        <w:spacing w:after="0" w:line="111" w:lineRule="exact"/>
        <w:rPr>
          <w:sz w:val="20"/>
          <w:szCs w:val="20"/>
          <w:color w:val="auto"/>
        </w:rPr>
      </w:pPr>
    </w:p>
    <w:p>
      <w:pPr>
        <w:ind w:left="480" w:right="440"/>
        <w:spacing w:after="0" w:line="275" w:lineRule="auto"/>
        <w:rPr>
          <w:sz w:val="20"/>
          <w:szCs w:val="20"/>
          <w:color w:val="auto"/>
        </w:rPr>
      </w:pPr>
      <w:r>
        <w:rPr>
          <w:rFonts w:ascii="Arial" w:cs="Arial" w:eastAsia="Arial" w:hAnsi="Arial"/>
          <w:sz w:val="18"/>
          <w:szCs w:val="18"/>
          <w:color w:val="auto"/>
        </w:rPr>
        <w:t>•Other revenues from operations in the recent quarter decreased $11 million from the third quarter of 2022 reflecting lower insurance income due to the sale of MTIA in the fourth quarter of 2022.</w:t>
      </w:r>
    </w:p>
    <w:p>
      <w:pPr>
        <w:spacing w:after="0" w:line="54" w:lineRule="exact"/>
        <w:rPr>
          <w:sz w:val="20"/>
          <w:szCs w:val="20"/>
          <w:color w:val="auto"/>
        </w:rPr>
      </w:pPr>
    </w:p>
    <w:p>
      <w:pPr>
        <w:ind w:left="480" w:right="240"/>
        <w:spacing w:after="0" w:line="275" w:lineRule="auto"/>
        <w:rPr>
          <w:sz w:val="20"/>
          <w:szCs w:val="20"/>
          <w:color w:val="auto"/>
        </w:rPr>
      </w:pPr>
      <w:r>
        <w:rPr>
          <w:rFonts w:ascii="Arial" w:cs="Arial" w:eastAsia="Arial" w:hAnsi="Arial"/>
          <w:sz w:val="18"/>
          <w:szCs w:val="18"/>
          <w:color w:val="auto"/>
        </w:rPr>
        <w:t>•Other revenues from operations in the recent quarter declined $219 million from the second quarter of 2023 due to the $225 million gain on the sale of CIT recorded in the second quarter of 2023.</w:t>
      </w:r>
    </w:p>
    <w:p>
      <w:pPr>
        <w:spacing w:after="0" w:line="54" w:lineRule="exact"/>
        <w:rPr>
          <w:sz w:val="20"/>
          <w:szCs w:val="20"/>
          <w:color w:val="auto"/>
        </w:rPr>
      </w:pPr>
    </w:p>
    <w:p>
      <w:pPr>
        <w:jc w:val="both"/>
        <w:ind w:left="480" w:right="160"/>
        <w:spacing w:after="0" w:line="259" w:lineRule="auto"/>
        <w:rPr>
          <w:sz w:val="20"/>
          <w:szCs w:val="20"/>
          <w:color w:val="auto"/>
        </w:rPr>
      </w:pPr>
      <w:r>
        <w:rPr>
          <w:rFonts w:ascii="Arial" w:cs="Arial" w:eastAsia="Arial" w:hAnsi="Arial"/>
          <w:sz w:val="18"/>
          <w:szCs w:val="18"/>
          <w:color w:val="auto"/>
        </w:rPr>
        <w:t>•Other revenues from operations in the first nine months of 2023 increased $227 million from the similar nine-month period in 2022 reflecting the $225 million gain on the sale of the CIT business in April 2023, a $15 million increase in letter of credit and other credit -related fees and an $8 million increase in tax-exempt income from bank owned life insurance, partially offset by a $28 million decline in insurance income predominately due to the sale of MTIA in the fourth quarter of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are presented in the accompanying table.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Three Months Ended</w:t>
            </w:r>
          </w:p>
        </w:tc>
        <w:tc>
          <w:tcPr>
            <w:tcW w:w="700" w:type="dxa"/>
            <w:vAlign w:val="bottom"/>
          </w:tcPr>
          <w:p>
            <w:pPr>
              <w:spacing w:after="0"/>
              <w:rPr>
                <w:sz w:val="15"/>
                <w:szCs w:val="15"/>
                <w:color w:val="auto"/>
              </w:rPr>
            </w:pPr>
          </w:p>
        </w:tc>
        <w:tc>
          <w:tcPr>
            <w:tcW w:w="218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Percent Change From</w:t>
            </w:r>
          </w:p>
        </w:tc>
        <w:tc>
          <w:tcPr>
            <w:tcW w:w="100" w:type="dxa"/>
            <w:vAlign w:val="bottom"/>
          </w:tcPr>
          <w:p>
            <w:pPr>
              <w:spacing w:after="0"/>
              <w:rPr>
                <w:sz w:val="15"/>
                <w:szCs w:val="15"/>
                <w:color w:val="auto"/>
              </w:rPr>
            </w:pPr>
          </w:p>
        </w:tc>
        <w:tc>
          <w:tcPr>
            <w:tcW w:w="1420" w:type="dxa"/>
            <w:vAlign w:val="bottom"/>
            <w:gridSpan w:val="4"/>
          </w:tcPr>
          <w:p>
            <w:pPr>
              <w:jc w:val="right"/>
              <w:ind w:right="74"/>
              <w:spacing w:after="0"/>
              <w:rPr>
                <w:sz w:val="20"/>
                <w:szCs w:val="20"/>
                <w:color w:val="auto"/>
              </w:rPr>
            </w:pPr>
            <w:r>
              <w:rPr>
                <w:rFonts w:ascii="Arial" w:cs="Arial" w:eastAsia="Arial" w:hAnsi="Arial"/>
                <w:sz w:val="13"/>
                <w:szCs w:val="13"/>
                <w:b w:val="1"/>
                <w:bCs w:val="1"/>
                <w:color w:val="auto"/>
              </w:rPr>
              <w:t>Nine Months Ended</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Third</w:t>
            </w:r>
          </w:p>
        </w:tc>
        <w:tc>
          <w:tcPr>
            <w:tcW w:w="980" w:type="dxa"/>
            <w:vAlign w:val="bottom"/>
          </w:tcPr>
          <w:p>
            <w:pPr>
              <w:jc w:val="right"/>
              <w:ind w:right="355"/>
              <w:spacing w:after="0"/>
              <w:rPr>
                <w:sz w:val="20"/>
                <w:szCs w:val="20"/>
                <w:color w:val="auto"/>
              </w:rPr>
            </w:pPr>
            <w:r>
              <w:rPr>
                <w:rFonts w:ascii="Arial" w:cs="Arial" w:eastAsia="Arial" w:hAnsi="Arial"/>
                <w:sz w:val="13"/>
                <w:szCs w:val="13"/>
                <w:b w:val="1"/>
                <w:bCs w:val="1"/>
                <w:color w:val="auto"/>
              </w:rPr>
              <w:t>Second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Septemb</w:t>
            </w: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w:t>
            </w:r>
          </w:p>
        </w:tc>
        <w:tc>
          <w:tcPr>
            <w:tcW w:w="2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rPr>
              <w:t>June 30,</w:t>
            </w:r>
          </w:p>
        </w:tc>
        <w:tc>
          <w:tcPr>
            <w:tcW w:w="1200" w:type="dxa"/>
            <w:vAlign w:val="bottom"/>
          </w:tcPr>
          <w:p>
            <w:pPr>
              <w:jc w:val="center"/>
              <w:ind w:right="14"/>
              <w:spacing w:after="0"/>
              <w:rPr>
                <w:sz w:val="20"/>
                <w:szCs w:val="20"/>
                <w:color w:val="auto"/>
              </w:rPr>
            </w:pPr>
            <w:r>
              <w:rPr>
                <w:rFonts w:ascii="Arial" w:cs="Arial" w:eastAsia="Arial" w:hAnsi="Arial"/>
                <w:sz w:val="13"/>
                <w:szCs w:val="13"/>
                <w:b w:val="1"/>
                <w:bCs w:val="1"/>
                <w:color w:val="auto"/>
              </w:rPr>
              <w:t>Quarter</w:t>
            </w:r>
          </w:p>
        </w:tc>
        <w:tc>
          <w:tcPr>
            <w:tcW w:w="980" w:type="dxa"/>
            <w:vAlign w:val="bottom"/>
          </w:tcPr>
          <w:p>
            <w:pPr>
              <w:jc w:val="right"/>
              <w:ind w:right="355"/>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Septembe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4"/>
              <w:spacing w:after="0"/>
              <w:rPr>
                <w:sz w:val="20"/>
                <w:szCs w:val="20"/>
                <w:color w:val="auto"/>
              </w:rPr>
            </w:pPr>
            <w:r>
              <w:rPr>
                <w:rFonts w:ascii="Arial" w:cs="Arial" w:eastAsia="Arial" w:hAnsi="Arial"/>
                <w:sz w:val="13"/>
                <w:szCs w:val="13"/>
                <w:b w:val="1"/>
                <w:bCs w:val="1"/>
                <w:color w:val="auto"/>
                <w:w w:val="99"/>
              </w:rPr>
              <w:t>er 30,</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b w:val="1"/>
                <w:bCs w:val="1"/>
                <w:color w:val="auto"/>
                <w:w w:val="98"/>
              </w:rPr>
              <w:t>30, 2023</w:t>
            </w:r>
          </w:p>
        </w:tc>
        <w:tc>
          <w:tcPr>
            <w:tcW w:w="2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30, 2022 (a)</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3"/>
                <w:szCs w:val="13"/>
                <w:b w:val="1"/>
                <w:bCs w:val="1"/>
                <w:color w:val="auto"/>
              </w:rPr>
              <w:t>2023</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2022</w:t>
            </w:r>
          </w:p>
        </w:tc>
        <w:tc>
          <w:tcPr>
            <w:tcW w:w="980" w:type="dxa"/>
            <w:vAlign w:val="bottom"/>
          </w:tcPr>
          <w:p>
            <w:pPr>
              <w:jc w:val="right"/>
              <w:ind w:right="435"/>
              <w:spacing w:after="0"/>
              <w:rPr>
                <w:sz w:val="20"/>
                <w:szCs w:val="20"/>
                <w:color w:val="auto"/>
              </w:rPr>
            </w:pPr>
            <w:r>
              <w:rPr>
                <w:rFonts w:ascii="Arial" w:cs="Arial" w:eastAsia="Arial" w:hAnsi="Arial"/>
                <w:sz w:val="13"/>
                <w:szCs w:val="13"/>
                <w:b w:val="1"/>
                <w:bCs w:val="1"/>
                <w:color w:val="auto"/>
              </w:rPr>
              <w:t>2023</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r 30, 2023</w:t>
            </w:r>
          </w:p>
        </w:tc>
        <w:tc>
          <w:tcPr>
            <w:tcW w:w="24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rPr>
              <w:t>2022 (a)</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right"/>
              <w:ind w:right="14"/>
              <w:spacing w:after="0"/>
              <w:rPr>
                <w:sz w:val="20"/>
                <w:szCs w:val="20"/>
                <w:color w:val="auto"/>
              </w:rPr>
            </w:pPr>
            <w:r>
              <w:rPr>
                <w:rFonts w:ascii="Arial" w:cs="Arial" w:eastAsia="Arial" w:hAnsi="Arial"/>
                <w:sz w:val="13"/>
                <w:szCs w:val="13"/>
                <w:color w:val="auto"/>
              </w:rPr>
              <w:t>(Dollars 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3"/>
                <w:szCs w:val="13"/>
                <w:color w:val="auto"/>
              </w:rPr>
              <w:t>Salaries and employee benefits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2,272,54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2,090,07</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100" w:type="dxa"/>
            <w:vAlign w:val="bottom"/>
            <w:gridSpan w:val="2"/>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726,940</w:t>
            </w:r>
          </w:p>
        </w:tc>
        <w:tc>
          <w:tcPr>
            <w:tcW w:w="340" w:type="dxa"/>
            <w:vAlign w:val="bottom"/>
            <w:gridSpan w:val="2"/>
            <w:vMerge w:val="restart"/>
          </w:tcPr>
          <w:p>
            <w:pPr>
              <w:ind w:left="24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736,354</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737,665</w:t>
            </w:r>
          </w:p>
        </w:tc>
        <w:tc>
          <w:tcPr>
            <w:tcW w:w="1200" w:type="dxa"/>
            <w:vAlign w:val="bottom"/>
            <w:vMerge w:val="restart"/>
          </w:tcPr>
          <w:p>
            <w:pPr>
              <w:jc w:val="right"/>
              <w:ind w:right="94"/>
              <w:spacing w:after="0"/>
              <w:rPr>
                <w:sz w:val="20"/>
                <w:szCs w:val="20"/>
                <w:color w:val="auto"/>
              </w:rPr>
            </w:pPr>
            <w:r>
              <w:rPr>
                <w:rFonts w:ascii="Arial" w:cs="Arial" w:eastAsia="Arial" w:hAnsi="Arial"/>
                <w:sz w:val="13"/>
                <w:szCs w:val="13"/>
                <w:color w:val="auto"/>
              </w:rPr>
              <w:t>-1 %</w:t>
            </w:r>
          </w:p>
        </w:tc>
        <w:tc>
          <w:tcPr>
            <w:tcW w:w="980" w:type="dxa"/>
            <w:vAlign w:val="bottom"/>
            <w:vMerge w:val="restart"/>
          </w:tcPr>
          <w:p>
            <w:pPr>
              <w:jc w:val="right"/>
              <w:ind w:right="55"/>
              <w:spacing w:after="0"/>
              <w:rPr>
                <w:sz w:val="20"/>
                <w:szCs w:val="20"/>
                <w:color w:val="auto"/>
              </w:rPr>
            </w:pPr>
            <w:r>
              <w:rPr>
                <w:rFonts w:ascii="Arial" w:cs="Arial" w:eastAsia="Arial" w:hAnsi="Arial"/>
                <w:sz w:val="13"/>
                <w:szCs w:val="13"/>
                <w:color w:val="auto"/>
              </w:rPr>
              <w:t>-1 %</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84"/>
        </w:trPr>
        <w:tc>
          <w:tcPr>
            <w:tcW w:w="2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00" w:type="dxa"/>
            <w:vAlign w:val="bottom"/>
            <w:gridSpan w:val="2"/>
          </w:tcPr>
          <w:p>
            <w:pPr>
              <w:ind w:left="20"/>
              <w:spacing w:after="0"/>
              <w:rPr>
                <w:sz w:val="20"/>
                <w:szCs w:val="20"/>
                <w:color w:val="auto"/>
              </w:rPr>
            </w:pPr>
            <w:r>
              <w:rPr>
                <w:rFonts w:ascii="Arial" w:cs="Arial" w:eastAsia="Arial" w:hAnsi="Arial"/>
                <w:sz w:val="13"/>
                <w:szCs w:val="13"/>
                <w:color w:val="auto"/>
              </w:rPr>
              <w:t>Equipment and net occupancy</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130,842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127,117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128,689</w:t>
            </w:r>
          </w:p>
        </w:tc>
        <w:tc>
          <w:tcPr>
            <w:tcW w:w="1200" w:type="dxa"/>
            <w:vAlign w:val="bottom"/>
          </w:tcPr>
          <w:p>
            <w:pPr>
              <w:jc w:val="right"/>
              <w:ind w:right="234"/>
              <w:spacing w:after="0"/>
              <w:rPr>
                <w:sz w:val="20"/>
                <w:szCs w:val="20"/>
                <w:color w:val="auto"/>
              </w:rPr>
            </w:pPr>
            <w:r>
              <w:rPr>
                <w:rFonts w:ascii="Arial" w:cs="Arial" w:eastAsia="Arial" w:hAnsi="Arial"/>
                <w:sz w:val="13"/>
                <w:szCs w:val="13"/>
                <w:color w:val="auto"/>
              </w:rPr>
              <w:t>3</w:t>
            </w: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386,435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337,584</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Outside data processing and software</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110,691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106,438</w:t>
            </w:r>
          </w:p>
        </w:tc>
        <w:tc>
          <w:tcPr>
            <w:tcW w:w="12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16</w:t>
            </w:r>
          </w:p>
        </w:tc>
        <w:tc>
          <w:tcPr>
            <w:tcW w:w="980" w:type="dxa"/>
            <w:vAlign w:val="bottom"/>
            <w:shd w:val="clear" w:color="auto" w:fill="CFF0FC"/>
          </w:tcPr>
          <w:p>
            <w:pPr>
              <w:jc w:val="right"/>
              <w:ind w:right="195"/>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322,909</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268,607</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00" w:type="dxa"/>
            <w:vAlign w:val="bottom"/>
            <w:gridSpan w:val="2"/>
          </w:tcPr>
          <w:p>
            <w:pPr>
              <w:ind w:left="20"/>
              <w:spacing w:after="0"/>
              <w:rPr>
                <w:sz w:val="20"/>
                <w:szCs w:val="20"/>
                <w:color w:val="auto"/>
              </w:rPr>
            </w:pPr>
            <w:r>
              <w:rPr>
                <w:rFonts w:ascii="Arial" w:cs="Arial" w:eastAsia="Arial" w:hAnsi="Arial"/>
                <w:sz w:val="13"/>
                <w:szCs w:val="13"/>
                <w:color w:val="auto"/>
              </w:rPr>
              <w:t>FDIC assessments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29,364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28,105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27,932</w:t>
            </w:r>
          </w:p>
        </w:tc>
        <w:tc>
          <w:tcPr>
            <w:tcW w:w="120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87,054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66,266</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Advertising and marketing</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22,898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21,398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28,353</w:t>
            </w:r>
          </w:p>
        </w:tc>
        <w:tc>
          <w:tcPr>
            <w:tcW w:w="12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7</w:t>
            </w:r>
          </w:p>
        </w:tc>
        <w:tc>
          <w:tcPr>
            <w:tcW w:w="980" w:type="dxa"/>
            <w:vAlign w:val="bottom"/>
            <w:shd w:val="clear" w:color="auto" w:fill="CFF0FC"/>
          </w:tcPr>
          <w:p>
            <w:pPr>
              <w:jc w:val="right"/>
              <w:ind w:right="195"/>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82,314</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58,057</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00" w:type="dxa"/>
            <w:vAlign w:val="bottom"/>
            <w:gridSpan w:val="2"/>
          </w:tcPr>
          <w:p>
            <w:pPr>
              <w:ind w:left="20"/>
              <w:spacing w:after="0"/>
              <w:rPr>
                <w:sz w:val="20"/>
                <w:szCs w:val="20"/>
                <w:color w:val="auto"/>
              </w:rPr>
            </w:pPr>
            <w:r>
              <w:rPr>
                <w:rFonts w:ascii="Arial" w:cs="Arial" w:eastAsia="Arial" w:hAnsi="Arial"/>
                <w:sz w:val="13"/>
                <w:szCs w:val="13"/>
                <w:color w:val="auto"/>
              </w:rPr>
              <w:t>Printing, postage and supplies</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14,199</w:t>
            </w:r>
          </w:p>
        </w:tc>
        <w:tc>
          <w:tcPr>
            <w:tcW w:w="120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42,346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40,488</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Amortization of core deposit and other</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intangible assets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18,384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14,945</w:t>
            </w:r>
          </w:p>
        </w:tc>
        <w:tc>
          <w:tcPr>
            <w:tcW w:w="1200" w:type="dxa"/>
            <w:vAlign w:val="bottom"/>
            <w:shd w:val="clear" w:color="auto" w:fill="CFF0FC"/>
          </w:tcPr>
          <w:p>
            <w:pPr>
              <w:jc w:val="right"/>
              <w:ind w:right="234"/>
              <w:spacing w:after="0"/>
              <w:rPr>
                <w:sz w:val="20"/>
                <w:szCs w:val="20"/>
                <w:color w:val="auto"/>
              </w:rPr>
            </w:pPr>
            <w:r>
              <w:rPr>
                <w:rFonts w:ascii="Arial" w:cs="Arial" w:eastAsia="Arial" w:hAnsi="Arial"/>
                <w:sz w:val="13"/>
                <w:szCs w:val="13"/>
                <w:color w:val="auto"/>
              </w:rPr>
              <w:t>-19</w:t>
            </w:r>
          </w:p>
        </w:tc>
        <w:tc>
          <w:tcPr>
            <w:tcW w:w="980" w:type="dxa"/>
            <w:vAlign w:val="bottom"/>
            <w:shd w:val="clear" w:color="auto" w:fill="CFF0FC"/>
          </w:tcPr>
          <w:p>
            <w:pPr>
              <w:jc w:val="right"/>
              <w:ind w:right="195"/>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47,099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38,024</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00" w:type="dxa"/>
            <w:vAlign w:val="bottom"/>
            <w:gridSpan w:val="2"/>
          </w:tcPr>
          <w:p>
            <w:pPr>
              <w:ind w:left="20"/>
              <w:spacing w:after="0"/>
              <w:rPr>
                <w:sz w:val="20"/>
                <w:szCs w:val="20"/>
                <w:color w:val="auto"/>
              </w:rPr>
            </w:pPr>
            <w:r>
              <w:rPr>
                <w:rFonts w:ascii="Arial" w:cs="Arial" w:eastAsia="Arial" w:hAnsi="Arial"/>
                <w:sz w:val="13"/>
                <w:szCs w:val="13"/>
                <w:color w:val="auto"/>
              </w:rPr>
              <w:t>Other costs of operations</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227,893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238,059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234,338</w:t>
            </w:r>
          </w:p>
        </w:tc>
        <w:tc>
          <w:tcPr>
            <w:tcW w:w="120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688,623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743,047</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100"/>
              <w:spacing w:after="0"/>
              <w:rPr>
                <w:sz w:val="20"/>
                <w:szCs w:val="20"/>
                <w:color w:val="auto"/>
              </w:rPr>
            </w:pPr>
            <w:r>
              <w:rPr>
                <w:rFonts w:ascii="Arial" w:cs="Arial" w:eastAsia="Arial" w:hAnsi="Arial"/>
                <w:sz w:val="13"/>
                <w:szCs w:val="13"/>
                <w:color w:val="auto"/>
              </w:rPr>
              <w:t>Total other expense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3,929,32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3,642,14</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100" w:type="dxa"/>
            <w:vAlign w:val="bottom"/>
            <w:gridSpan w:val="2"/>
            <w:vMerge w:val="continue"/>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1,277,538</w:t>
            </w:r>
          </w:p>
        </w:tc>
        <w:tc>
          <w:tcPr>
            <w:tcW w:w="340" w:type="dxa"/>
            <w:vAlign w:val="bottom"/>
            <w:gridSpan w:val="2"/>
            <w:vMerge w:val="restart"/>
          </w:tcPr>
          <w:p>
            <w:pPr>
              <w:ind w:left="24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1,279,253</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1,292,559</w:t>
            </w:r>
          </w:p>
        </w:tc>
        <w:tc>
          <w:tcPr>
            <w:tcW w:w="1200" w:type="dxa"/>
            <w:vAlign w:val="bottom"/>
            <w:vMerge w:val="restart"/>
          </w:tcPr>
          <w:p>
            <w:pPr>
              <w:jc w:val="right"/>
              <w:ind w:right="94"/>
              <w:spacing w:after="0"/>
              <w:rPr>
                <w:sz w:val="20"/>
                <w:szCs w:val="20"/>
                <w:color w:val="auto"/>
              </w:rPr>
            </w:pPr>
            <w:r>
              <w:rPr>
                <w:rFonts w:ascii="Arial" w:cs="Arial" w:eastAsia="Arial" w:hAnsi="Arial"/>
                <w:sz w:val="13"/>
                <w:szCs w:val="13"/>
                <w:color w:val="auto"/>
              </w:rPr>
              <w:t>— %</w:t>
            </w:r>
          </w:p>
        </w:tc>
        <w:tc>
          <w:tcPr>
            <w:tcW w:w="980" w:type="dxa"/>
            <w:vAlign w:val="bottom"/>
            <w:vMerge w:val="restart"/>
          </w:tcPr>
          <w:p>
            <w:pPr>
              <w:jc w:val="right"/>
              <w:ind w:right="55"/>
              <w:spacing w:after="0"/>
              <w:rPr>
                <w:sz w:val="20"/>
                <w:szCs w:val="20"/>
                <w:color w:val="auto"/>
              </w:rPr>
            </w:pPr>
            <w:r>
              <w:rPr>
                <w:rFonts w:ascii="Arial" w:cs="Arial" w:eastAsia="Arial" w:hAnsi="Arial"/>
                <w:sz w:val="13"/>
                <w:szCs w:val="13"/>
                <w:color w:val="auto"/>
              </w:rPr>
              <w:t>-1 %</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70"/>
        </w:trPr>
        <w:tc>
          <w:tcPr>
            <w:tcW w:w="2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-1394460</wp:posOffset>
            </wp:positionV>
            <wp:extent cx="6707505" cy="2133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213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-281305</wp:posOffset>
            </wp:positionV>
            <wp:extent cx="6707505" cy="236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236220"/>
                    </a:xfrm>
                    <a:prstGeom prst="rect">
                      <a:avLst/>
                    </a:prstGeom>
                    <a:noFill/>
                  </pic:spPr>
                </pic:pic>
              </a:graphicData>
            </a:graphic>
          </wp:anchor>
        </w:drawing>
      </w:r>
    </w:p>
    <w:p>
      <w:pPr>
        <w:ind w:right="100"/>
        <w:spacing w:after="0" w:line="264" w:lineRule="auto"/>
        <w:rPr>
          <w:sz w:val="20"/>
          <w:szCs w:val="20"/>
          <w:color w:val="auto"/>
        </w:rPr>
      </w:pPr>
      <w:r>
        <w:rPr>
          <w:rFonts w:ascii="Arial" w:cs="Arial" w:eastAsia="Arial" w:hAnsi="Arial"/>
          <w:sz w:val="13"/>
          <w:szCs w:val="13"/>
          <w:i w:val="1"/>
          <w:iCs w:val="1"/>
          <w:color w:val="auto"/>
        </w:rPr>
        <w:t>(a)Included in the 2022 amounts are expenses considered "nonoperating" in nature. Table 2 provides a summary of merger-related expenses in the reconciliation of quarterly GAAP amounts to non-GAAP measures.</w:t>
      </w:r>
    </w:p>
    <w:p>
      <w:pPr>
        <w:spacing w:after="0" w:line="72" w:lineRule="exact"/>
        <w:rPr>
          <w:sz w:val="20"/>
          <w:szCs w:val="20"/>
          <w:color w:val="auto"/>
        </w:rPr>
      </w:pPr>
    </w:p>
    <w:p>
      <w:pPr>
        <w:ind w:right="20" w:firstLine="468"/>
        <w:spacing w:after="0" w:line="252" w:lineRule="auto"/>
        <w:rPr>
          <w:sz w:val="20"/>
          <w:szCs w:val="20"/>
          <w:color w:val="auto"/>
        </w:rPr>
      </w:pPr>
      <w:r>
        <w:rPr>
          <w:rFonts w:ascii="Arial" w:cs="Arial" w:eastAsia="Arial" w:hAnsi="Arial"/>
          <w:sz w:val="18"/>
          <w:szCs w:val="18"/>
          <w:color w:val="auto"/>
        </w:rPr>
        <w:t>Other expense aggregated $1.28 billion in each of the third quarter of 2023 and 2022, compared with $1.29 billion in the second quarter of 2023. Included in those amounts are expenses considered to be "nonoperating" in nature consisting of amortization of core deposit and other intangible assets of $15 million in each of the third and second quarters of 2023, compared with $18 million in the third quarter of 2022, and merger-related costs of $53 million in the third quarter of 2022. There were no merger-related expenses incurred in the second and third quarters of 2023. Exclusive of those nonoperating expenses, noninterest operating expenses were $1.26 billion and $1.21 billion in the third quarter of 2023 and 2022, respectively, and $ 1.28 billion in 2023's second quarter. Other expense for the first nine months of 2023 totaled $3.93 billion, an increase of $287 million from $3.64 billion in the first nine months of 2022. Excluding nonoperating expenses consisting of amortization of core deposit and other intangible assets of $ 47 million and $38 million in the first nine months of 2023 and 2022, respectively, and merger-related costs of $293 million in the first three quarters of 2022, noninterest operating expenses aggregated $3.88 billion and $3.31 billion in the first nine months of 2023 and 2022, respectively. There were no merger-related costs in the first nine months of 2023. Changes in operating expenses for the periods presented are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employee benefits</w:t>
      </w:r>
    </w:p>
    <w:p>
      <w:pPr>
        <w:spacing w:after="0" w:line="111" w:lineRule="exact"/>
        <w:rPr>
          <w:sz w:val="20"/>
          <w:szCs w:val="20"/>
          <w:color w:val="auto"/>
        </w:rPr>
      </w:pPr>
    </w:p>
    <w:p>
      <w:pPr>
        <w:ind w:left="480" w:right="80"/>
        <w:spacing w:after="0" w:line="275" w:lineRule="auto"/>
        <w:rPr>
          <w:sz w:val="20"/>
          <w:szCs w:val="20"/>
          <w:color w:val="auto"/>
        </w:rPr>
      </w:pPr>
      <w:r>
        <w:rPr>
          <w:rFonts w:ascii="Arial" w:cs="Arial" w:eastAsia="Arial" w:hAnsi="Arial"/>
          <w:sz w:val="18"/>
          <w:szCs w:val="18"/>
          <w:color w:val="auto"/>
        </w:rPr>
        <w:t>•Merger -related salaries and employee benefits expenses were $13 million and $98 million, respectively, for the three and nine months ended September 30, 2022.</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39" w:right="640" w:bottom="1440" w:gutter="0" w:footer="0" w:header="0"/>
        </w:sectPr>
      </w:pPr>
    </w:p>
    <w:bookmarkStart w:id="77" w:name="page78"/>
    <w:bookmarkEnd w:id="77"/>
    <w:p>
      <w:pPr>
        <w:ind w:left="480" w:right="260"/>
        <w:spacing w:after="0" w:line="275" w:lineRule="auto"/>
        <w:rPr>
          <w:sz w:val="20"/>
          <w:szCs w:val="20"/>
          <w:color w:val="auto"/>
        </w:rPr>
      </w:pPr>
      <w:r>
        <w:rPr>
          <w:rFonts w:ascii="Arial" w:cs="Arial" w:eastAsia="Arial" w:hAnsi="Arial"/>
          <w:sz w:val="18"/>
          <w:szCs w:val="18"/>
          <w:color w:val="auto"/>
        </w:rPr>
        <w:t>•The number of full time equivalent employees was 22,424 at September 30, 2023, compared with 22,879 at September 30, 2022 and 22,946 at June 30, 2023.</w:t>
      </w:r>
    </w:p>
    <w:p>
      <w:pPr>
        <w:spacing w:after="0" w:line="54"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•Salaries and employee benefits operating expenses increased a modest $4 million in the recent quarter as compared with the year-earlier quarter. Salaries and employee benefits operating expenses decreased $ 11 million in the recent quarter from the second quarter of 2023 reflecting lower average full-time equivalent employees and a decline in expenses for contracted resources and overtime.</w:t>
      </w:r>
    </w:p>
    <w:p>
      <w:pPr>
        <w:spacing w:after="0" w:line="67" w:lineRule="exact"/>
        <w:rPr>
          <w:sz w:val="20"/>
          <w:szCs w:val="20"/>
          <w:color w:val="auto"/>
        </w:rPr>
      </w:pPr>
    </w:p>
    <w:p>
      <w:pPr>
        <w:ind w:left="480" w:right="120"/>
        <w:spacing w:after="0" w:line="259" w:lineRule="auto"/>
        <w:rPr>
          <w:sz w:val="20"/>
          <w:szCs w:val="20"/>
          <w:color w:val="auto"/>
        </w:rPr>
      </w:pPr>
      <w:r>
        <w:rPr>
          <w:rFonts w:ascii="Arial" w:cs="Arial" w:eastAsia="Arial" w:hAnsi="Arial"/>
          <w:sz w:val="18"/>
          <w:szCs w:val="18"/>
          <w:color w:val="auto"/>
        </w:rPr>
        <w:t>•Salaries and employee benefits operating expenses increased $281 million in the first three quarters of 2023 as compared with the corresponding year-earlier period reflecting the addition of People's United employees at the beginning of the second quarter of 2022, higher salaries from increased average legacy staffing levels, annual merit increases, a rise in incentive compensation, including stock-based compensation, and increases in employee benefits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Nonpersonnel operating expenses</w:t>
      </w:r>
    </w:p>
    <w:p>
      <w:pPr>
        <w:spacing w:after="0" w:line="111" w:lineRule="exact"/>
        <w:rPr>
          <w:sz w:val="20"/>
          <w:szCs w:val="20"/>
          <w:color w:val="auto"/>
        </w:rPr>
      </w:pPr>
    </w:p>
    <w:p>
      <w:pPr>
        <w:ind w:left="480" w:right="260"/>
        <w:spacing w:after="0" w:line="275" w:lineRule="auto"/>
        <w:rPr>
          <w:sz w:val="20"/>
          <w:szCs w:val="20"/>
          <w:color w:val="auto"/>
        </w:rPr>
      </w:pPr>
      <w:r>
        <w:rPr>
          <w:rFonts w:ascii="Arial" w:cs="Arial" w:eastAsia="Arial" w:hAnsi="Arial"/>
          <w:sz w:val="18"/>
          <w:szCs w:val="18"/>
          <w:color w:val="auto"/>
        </w:rPr>
        <w:t>•Nonpersonnel merger-related expenses aggregated $40 million in the third quarter of 2022 and $195 million in the first nine months of 2022.</w:t>
      </w:r>
    </w:p>
    <w:p>
      <w:pPr>
        <w:spacing w:after="0" w:line="54" w:lineRule="exact"/>
        <w:rPr>
          <w:sz w:val="20"/>
          <w:szCs w:val="20"/>
          <w:color w:val="auto"/>
        </w:rPr>
      </w:pPr>
    </w:p>
    <w:p>
      <w:pPr>
        <w:ind w:left="480" w:right="100"/>
        <w:spacing w:after="0" w:line="256" w:lineRule="auto"/>
        <w:rPr>
          <w:sz w:val="20"/>
          <w:szCs w:val="20"/>
          <w:color w:val="auto"/>
        </w:rPr>
      </w:pPr>
      <w:r>
        <w:rPr>
          <w:rFonts w:ascii="Arial" w:cs="Arial" w:eastAsia="Arial" w:hAnsi="Arial"/>
          <w:sz w:val="18"/>
          <w:szCs w:val="18"/>
          <w:color w:val="auto"/>
        </w:rPr>
        <w:t>•Nonpersonnel operating expenses increased $51 million to $536 million in the recent quarter from $485 million in the year-earlier third quarter. That increase includes higher outside data processing and software costs of $18 million and a $23 million rise in other costs of operations resulting from the amortization of the bulk purchase of residential mortgage loan servicing rights purchased in March 2023 and losses associated with certain retail banking activities, partially offset by lower professional and other outside services expenses reflecting lower sub-advisory fees following the sale of the CIT business.</w:t>
      </w:r>
    </w:p>
    <w:p>
      <w:pPr>
        <w:spacing w:after="0" w:line="72" w:lineRule="exact"/>
        <w:rPr>
          <w:sz w:val="20"/>
          <w:szCs w:val="20"/>
          <w:color w:val="auto"/>
        </w:rPr>
      </w:pPr>
    </w:p>
    <w:p>
      <w:pPr>
        <w:ind w:left="480" w:right="100"/>
        <w:spacing w:after="0" w:line="259" w:lineRule="auto"/>
        <w:rPr>
          <w:sz w:val="20"/>
          <w:szCs w:val="20"/>
          <w:color w:val="auto"/>
        </w:rPr>
      </w:pPr>
      <w:r>
        <w:rPr>
          <w:rFonts w:ascii="Arial" w:cs="Arial" w:eastAsia="Arial" w:hAnsi="Arial"/>
          <w:sz w:val="18"/>
          <w:szCs w:val="18"/>
          <w:color w:val="auto"/>
        </w:rPr>
        <w:t>•Nonpersonnel operating expenses aggregated $540 million in the second quarter of 2023. The $4 million decline in those expenses for the recent quarter as compared with 2023's second quarter reflects lower sub-advisory fees following the sale of the CIT business in April 2023 and a decline in legal-related expenses, partially offset by losses associated with certain retail banking activities.</w:t>
      </w:r>
    </w:p>
    <w:p>
      <w:pPr>
        <w:spacing w:after="0" w:line="67" w:lineRule="exact"/>
        <w:rPr>
          <w:sz w:val="20"/>
          <w:szCs w:val="20"/>
          <w:color w:val="auto"/>
        </w:rPr>
      </w:pPr>
    </w:p>
    <w:p>
      <w:pPr>
        <w:ind w:left="480" w:right="100"/>
        <w:spacing w:after="0" w:line="255" w:lineRule="auto"/>
        <w:rPr>
          <w:sz w:val="20"/>
          <w:szCs w:val="20"/>
          <w:color w:val="auto"/>
        </w:rPr>
      </w:pPr>
      <w:r>
        <w:rPr>
          <w:rFonts w:ascii="Arial" w:cs="Arial" w:eastAsia="Arial" w:hAnsi="Arial"/>
          <w:sz w:val="18"/>
          <w:szCs w:val="18"/>
          <w:color w:val="auto"/>
        </w:rPr>
        <w:t>•Nonpersonnel operating expenses were $1.61 billion in the first nine months of 2023, compared with $1.32 billion in the corresponding 2022 period. The $290 million increase in nonpersonnel operating expenses in the first nine months of 2023 as compared with the year-earlier period reflects one additional quarter of operations associated with the acquisition of People's United. Also contributing to that increase were higher professional and other outside services expense, outside data processing and software expenses, deposit insurance, check fraud and other losses associated with certain retail banking activities and expenses related to the bulk purchase of residential mortgage loan servicing rights.</w:t>
      </w:r>
    </w:p>
    <w:p>
      <w:pPr>
        <w:spacing w:after="0" w:line="97" w:lineRule="exact"/>
        <w:rPr>
          <w:sz w:val="20"/>
          <w:szCs w:val="20"/>
          <w:color w:val="auto"/>
        </w:rPr>
      </w:pPr>
    </w:p>
    <w:p>
      <w:pPr>
        <w:ind w:right="320" w:firstLine="468"/>
        <w:spacing w:after="0" w:line="270" w:lineRule="auto"/>
        <w:rPr>
          <w:sz w:val="20"/>
          <w:szCs w:val="20"/>
          <w:color w:val="auto"/>
        </w:rPr>
      </w:pPr>
      <w:r>
        <w:rPr>
          <w:rFonts w:ascii="Arial" w:cs="Arial" w:eastAsia="Arial" w:hAnsi="Arial"/>
          <w:sz w:val="17"/>
          <w:szCs w:val="17"/>
          <w:color w:val="auto"/>
        </w:rPr>
        <w:t>The efficiency ratio, or noninterest operating expenses divided by the sum of taxable-equivalent net interest income and noninterest income (exclusive of gains and losses from bank investment securities), measures the relationship of noninterest operating expenses to revenues. The Company’s efficiency ratio was 53.7% during the recent quarter, compared with 53.6% and</w:t>
      </w:r>
    </w:p>
    <w:p>
      <w:pPr>
        <w:ind w:right="280"/>
        <w:spacing w:after="0" w:line="262" w:lineRule="auto"/>
        <w:rPr>
          <w:sz w:val="20"/>
          <w:szCs w:val="20"/>
          <w:color w:val="auto"/>
        </w:rPr>
      </w:pPr>
      <w:r>
        <w:rPr>
          <w:rFonts w:ascii="Arial" w:cs="Arial" w:eastAsia="Arial" w:hAnsi="Arial"/>
          <w:sz w:val="18"/>
          <w:szCs w:val="18"/>
          <w:color w:val="auto"/>
        </w:rPr>
        <w:t>48.9% in the third quarter of 2022 and second quarter of 2023, respectively. The efficiency ratio for the nine-month periods ended September 30, 2023 and 2022 were 52.6% and 58.1%, respectively.</w:t>
      </w:r>
    </w:p>
    <w:p>
      <w:pPr>
        <w:spacing w:after="0" w:line="64"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On May 11, 2023, the FDIC released a proposed rule that would impose a special assessment to recover the costs to the DIF resulting from the FDIC’s use, in March 2023, of the systemic risk exception in connection with the receiverships of Silicon Valley Bank and Signature Bank. Under the proposed rule, the assessment base would be the estimated uninsured deposits of an insured depository institution at December 31, 2022, excluding the first $5 billion of those estimated uninsured deposits. The special assessments would be collected at an annual rate of approximately 12.5 basis points per year (3.13 basis points per quarter) over eight quarters in 2024 and 2025, with the first assessment period beginning January 1, 2024. Under the proposed rule, the estimated loss pursuant to the systemic risk determination may be periodically adjusted by the FDIC. M&amp;T expects the special assessments, as currently contemplated, would be tax deductible. Although the proposal could be revised, the total of the assessments for the Company is estimated at $183 million and such amount is expected to be recorded as an expense in the quarter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78" w:name="page79"/>
    <w:bookmarkEnd w:id="78"/>
    <w:p>
      <w:pPr>
        <w:ind w:right="340"/>
        <w:spacing w:after="0" w:line="275" w:lineRule="auto"/>
        <w:rPr>
          <w:sz w:val="20"/>
          <w:szCs w:val="20"/>
          <w:color w:val="auto"/>
        </w:rPr>
      </w:pPr>
      <w:r>
        <w:rPr>
          <w:rFonts w:ascii="Arial" w:cs="Arial" w:eastAsia="Arial" w:hAnsi="Arial"/>
          <w:sz w:val="18"/>
          <w:szCs w:val="18"/>
          <w:color w:val="auto"/>
        </w:rPr>
        <w:t>enactment. Such expense would significantly affect noninterest expense and results of operations for that future quarter. Refer to note 13 of Notes to Financial Statements for additional information on the FDIC special assessment.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Income tax expense was $217 million in the third quarter of 2023, compared with $201 million in the year-earlier quarter and $293 million in the second quarter of 2023. For the nine-month periods ended September 30, 2023 and 2022, the provisions for income taxes were $735 million and $374 million, respectively. The effective tax rates were 24.0%, 23.7% and 25.2% for the quarters ended September 30, 2023, September 30, 2022 and June 30, 2023, respectively, and 24.5% and 23.4% for the nine-month periods ended September 30, 2023 and 2022, respectively.</w:t>
      </w:r>
    </w:p>
    <w:p>
      <w:pPr>
        <w:spacing w:after="0" w:line="72"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The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Shareholders’ equity was $26.2 billion at September 30, 2023, representing 12.53% of total assets, compared with $25.3 billion or 12.76% a year earlier and $25.3 billion or 12.61% at December 31, 2022. Shareholders' equity at each period end reflects the issuance of 50,325,004 M&amp;T common shares and other common equity consideration totaling $8.4 billion for the acquisition of People's United and the conversion of People's United preferred stock into 10,000,000 shares of Series H Preferred Stock amounting to $261 million on April 1, 2022. Included in shareholders’ equity was preferred stock with financial statement carrying values of $2.0 billion at each of September 30, 2023, December 31, 2022 and September 30, 2022.</w:t>
      </w:r>
    </w:p>
    <w:p>
      <w:pPr>
        <w:spacing w:after="0" w:line="73"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Common shareholders’ equity was $24.2 billion, or $145.72 per share, at September 30, 2023, compared with $23.2 billion, or $134.45 per share, a year earlier and $23.3 billion, or $137.68 per share, at December 31, 2022. Tangible equity per common share, which excludes goodwill and core deposit and other intangible assets and applicable deferred tax balances, was $93.99 at the end of the recent quarter, compared with $84.28 at September 30, 2022 and $86.59 at December 31, 2022. The Company’s ratio of tangible common equity to tangible assets was 7.78% at September 30, 2023, compared with 7.70% a year earlier and 7.63% at December 31, 2022. Reconciliations of total common shareholders’ equity and tangible common equity and total assets and tangible assets as of each of those dates are presented in table 2.</w:t>
      </w:r>
    </w:p>
    <w:p>
      <w:pPr>
        <w:spacing w:after="0" w:line="75" w:lineRule="exact"/>
        <w:rPr>
          <w:sz w:val="20"/>
          <w:szCs w:val="20"/>
          <w:color w:val="auto"/>
        </w:rPr>
      </w:pPr>
    </w:p>
    <w:p>
      <w:pPr>
        <w:ind w:right="80" w:firstLine="468"/>
        <w:spacing w:after="0" w:line="253"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 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$331 million or $ 2.00 per common share at September 30, 2023, $348 million or $2.01 per common share at September 30, 2022 and $329 million, or $ 1.94 per common share, at December 31, 2022. Changes in unrealized gains and losses on investment securities are predominantly reflective of the impact of changes in interest rates on the values of such securities. Information about unrealized gains and losses on investment securities as of September 30, 2023 and December 31, 2022 is included in note 3 of Notes to Financial Statements.</w:t>
      </w:r>
    </w:p>
    <w:p>
      <w:pPr>
        <w:spacing w:after="0" w:line="75" w:lineRule="exact"/>
        <w:rPr>
          <w:sz w:val="20"/>
          <w:szCs w:val="20"/>
          <w:color w:val="auto"/>
        </w:rPr>
      </w:pPr>
    </w:p>
    <w:p>
      <w:pPr>
        <w:ind w:right="180" w:firstLine="468"/>
        <w:spacing w:after="0" w:line="255" w:lineRule="auto"/>
        <w:rPr>
          <w:sz w:val="20"/>
          <w:szCs w:val="20"/>
          <w:color w:val="auto"/>
        </w:rPr>
      </w:pPr>
      <w:r>
        <w:rPr>
          <w:rFonts w:ascii="Arial" w:cs="Arial" w:eastAsia="Arial" w:hAnsi="Arial"/>
          <w:sz w:val="18"/>
          <w:szCs w:val="18"/>
          <w:color w:val="auto"/>
        </w:rPr>
        <w:t>Reflected in the carrying amount of available-for-sale investment securities at September 30, 2023 were pre -tax effect unrealized gains of $154 thousand on securities with an amortized cost of $6 million and pre-tax effect unrealized losses of $447 million on securities with an amortized cost of $11.0 billion. Information concerning the Company’s fair valuations of investment securities is provided in notes 3 and 12 of Notes to Financial Statements. Each reporting period the Company reviews its available-for-sale investment securities for declines in value that might be indicative of credit-related losses through an analysis of the creditworthiness of the issuer or the credit performance of the</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79" w:name="page80"/>
    <w:bookmarkEnd w:id="79"/>
    <w:p>
      <w:pPr>
        <w:ind w:right="60"/>
        <w:spacing w:after="0" w:line="254" w:lineRule="auto"/>
        <w:rPr>
          <w:sz w:val="20"/>
          <w:szCs w:val="20"/>
          <w:color w:val="auto"/>
        </w:rPr>
      </w:pPr>
      <w:r>
        <w:rPr>
          <w:rFonts w:ascii="Arial" w:cs="Arial" w:eastAsia="Arial" w:hAnsi="Arial"/>
          <w:sz w:val="18"/>
          <w:szCs w:val="18"/>
          <w:color w:val="auto"/>
        </w:rPr>
        <w:t>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 As of September 30, 2023, based on a review of each of the securities in the available-for-sale investment securities portfolio, the Company concluded that it expected to realize the amortized cost basis of each security. As of September 30, 2023,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72" w:lineRule="exact"/>
        <w:rPr>
          <w:sz w:val="20"/>
          <w:szCs w:val="20"/>
          <w:color w:val="auto"/>
        </w:rPr>
      </w:pPr>
    </w:p>
    <w:p>
      <w:pPr>
        <w:ind w:right="60" w:firstLine="468"/>
        <w:spacing w:after="0" w:line="252" w:lineRule="auto"/>
        <w:rPr>
          <w:sz w:val="20"/>
          <w:szCs w:val="20"/>
          <w:color w:val="auto"/>
        </w:rPr>
      </w:pPr>
      <w:r>
        <w:rPr>
          <w:rFonts w:ascii="Arial" w:cs="Arial" w:eastAsia="Arial" w:hAnsi="Arial"/>
          <w:sz w:val="18"/>
          <w:szCs w:val="18"/>
          <w:color w:val="auto"/>
        </w:rPr>
        <w:t>Accounting guidance requires investment securities held to maturity to be presented at their net carrying value that is expected to be collected over their contractual term. The Company estimated no material credit losses for its investment securities classified as held-to-maturity at September 30, 2023 and December 31, 2022. The amortized cost basis of obligations of states and political subdivisions in the held-to-maturity portfolio totaled $2.5 billion at September 30, 2023 and $2.6 billion at December 31, 2022. At September 30, 2023 and December 31, 2022, the Company had in its held-to-maturity portfolio privately issued mortgage -backed securities with an amortized cost basis of $44 million and $50 million, respectively, and a fair value of $46 million and $51 million, respectively. At September 30, 2023, 81% of those mortgage-backed securities were in the most senior tranche of the securitization structure. The mortgage- backed securities are generally collateralized by residential and small-balance commercial real estate loans originated between 2004 and 2008. After considering the repayment structure and estimated future collateral cash flows of each individual bond, the Company concluded that as of September 30, 2023,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81" w:lineRule="exact"/>
        <w:rPr>
          <w:sz w:val="20"/>
          <w:szCs w:val="20"/>
          <w:color w:val="auto"/>
        </w:rPr>
      </w:pPr>
    </w:p>
    <w:p>
      <w:pPr>
        <w:jc w:val="both"/>
        <w:ind w:right="60" w:firstLine="468"/>
        <w:spacing w:after="0" w:line="263"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$ 207 million or $ 1.25 per common share at September 30, 2023, $258 million or $1.49 per common share at September 30, 2022 and $202 million or $1.19 per common share at December 31, 2022.</w:t>
      </w:r>
    </w:p>
    <w:p>
      <w:pPr>
        <w:spacing w:after="0" w:line="64" w:lineRule="exact"/>
        <w:rPr>
          <w:sz w:val="20"/>
          <w:szCs w:val="20"/>
          <w:color w:val="auto"/>
        </w:rPr>
      </w:pPr>
    </w:p>
    <w:p>
      <w:pPr>
        <w:ind w:right="140" w:firstLine="468"/>
        <w:spacing w:after="0" w:line="256" w:lineRule="auto"/>
        <w:rPr>
          <w:sz w:val="20"/>
          <w:szCs w:val="20"/>
          <w:color w:val="auto"/>
        </w:rPr>
      </w:pPr>
      <w:r>
        <w:rPr>
          <w:rFonts w:ascii="Arial" w:cs="Arial" w:eastAsia="Arial" w:hAnsi="Arial"/>
          <w:sz w:val="18"/>
          <w:szCs w:val="18"/>
          <w:color w:val="auto"/>
        </w:rPr>
        <w:t>Other adjustments, substantially comprised of net unrealized losses on interest rate swaps designated as cash flow hedges, net of applicable tax effect, reduced accumulated other comprehensive income by $404 million or $2.43 per common share at September 30, 2023, $294 million or $1.70 per common share at September 30, 2022 and $259 million or $1.53 per common share at December, 31, 2022. Information about net unrealized losses on interest rate swaps designated as cash flow hedges is provided in note 10 of the Notes to Financial Statements.</w:t>
      </w:r>
    </w:p>
    <w:p>
      <w:pPr>
        <w:spacing w:after="0" w:line="72"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On July 19, 2022, M&amp;T's Board of Directors authorized a stock purchase program to repurchase up to $3.0 billion of common shares subject to all applicable regulatory reporting limitations. The plan authorized in July 2022 replaced a previously authorized stock repurchase program. M&amp;T repurchased 3,282,449 shares of its common stock for a total cost of $600 million under the program in the third quarter of 2022. No share repurchases occurred in the second and third quarter of 2023. M&amp;T repurchased 3,838,157 shares totaling $600 million and 6,788,395 shares totaling $1.2 billion during the nine-month periods ended September 30, 2023 and 2022, respectively. Discretion as to the amount and timing of authorized share repurchases in a given period has been delegated, through the authorization of the Board of Directors, to management and can be influenced by capital and liquidity requirements, including funding of future loan growth and other balance sheet management activities, as well as market and economic conditions.</w:t>
      </w:r>
    </w:p>
    <w:p>
      <w:pPr>
        <w:spacing w:after="0" w:line="77"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Cash dividends declared on M&amp;T's common stock totaled $ 217 million in each of the two most recent quarters, compared with $210 million in the quarter ended September 30, 2022. Common stock dividends during the nine- month periods ended September 30, 2023 and 2022 were $653 million and $581 million, respectively. Cash dividends declared on preferred stock aggregated $25 million in each quarter ended September 30, 2023, June 30, 2023 and September 30, 2022. Preferred stock dividends totaled $75 million and $72 million during the first nine months of 2023 and 2022, respectively.</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39" w:right="660" w:bottom="1440" w:gutter="0" w:footer="0" w:header="0"/>
        </w:sectPr>
      </w:pPr>
    </w:p>
    <w:bookmarkStart w:id="80" w:name="page81"/>
    <w:bookmarkEnd w:id="80"/>
    <w:p>
      <w:pPr>
        <w:spacing w:after="0" w:line="23" w:lineRule="exact"/>
        <w:rPr>
          <w:sz w:val="20"/>
          <w:szCs w:val="20"/>
          <w:color w:val="auto"/>
        </w:rPr>
      </w:pPr>
    </w:p>
    <w:p>
      <w:pPr>
        <w:ind w:right="300" w:firstLine="528"/>
        <w:spacing w:after="0" w:line="275" w:lineRule="auto"/>
        <w:rPr>
          <w:sz w:val="20"/>
          <w:szCs w:val="20"/>
          <w:color w:val="auto"/>
        </w:rPr>
      </w:pPr>
      <w:r>
        <w:rPr>
          <w:rFonts w:ascii="Arial" w:cs="Arial" w:eastAsia="Arial" w:hAnsi="Arial"/>
          <w:sz w:val="18"/>
          <w:szCs w:val="18"/>
          <w:color w:val="auto"/>
        </w:rPr>
        <w:t>M&amp;T and its subsidiary banks are required to comply with applicable capital adequacy standards established by the federal banking agencies. Pursuant to those regulations, the minimum capital ratios are as follows: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•4.5% CET1 to risk-weighted assets (each as defined in the capital regulations);</w:t>
      </w:r>
    </w:p>
    <w:p>
      <w:pPr>
        <w:spacing w:after="0" w:line="105" w:lineRule="exact"/>
        <w:rPr>
          <w:sz w:val="20"/>
          <w:szCs w:val="20"/>
          <w:color w:val="auto"/>
        </w:rPr>
      </w:pPr>
    </w:p>
    <w:p>
      <w:pPr>
        <w:ind w:left="360" w:right="880"/>
        <w:spacing w:after="0" w:line="275" w:lineRule="auto"/>
        <w:rPr>
          <w:sz w:val="20"/>
          <w:szCs w:val="20"/>
          <w:color w:val="auto"/>
        </w:rPr>
      </w:pPr>
      <w:r>
        <w:rPr>
          <w:rFonts w:ascii="Arial" w:cs="Arial" w:eastAsia="Arial" w:hAnsi="Arial"/>
          <w:sz w:val="18"/>
          <w:szCs w:val="18"/>
          <w:color w:val="auto"/>
        </w:rPr>
        <w:t>•6.0% Tier 1 capital (that is, CET1 plus additional Tier 1 capital) to risk-weighted assets (each as defined in the capital regulations);</w:t>
      </w:r>
    </w:p>
    <w:p>
      <w:pPr>
        <w:spacing w:after="0" w:line="54" w:lineRule="exact"/>
        <w:rPr>
          <w:sz w:val="20"/>
          <w:szCs w:val="20"/>
          <w:color w:val="auto"/>
        </w:rPr>
      </w:pPr>
    </w:p>
    <w:p>
      <w:pPr>
        <w:ind w:left="360" w:right="140"/>
        <w:spacing w:after="0" w:line="275" w:lineRule="auto"/>
        <w:rPr>
          <w:sz w:val="20"/>
          <w:szCs w:val="20"/>
          <w:color w:val="auto"/>
        </w:rPr>
      </w:pPr>
      <w:r>
        <w:rPr>
          <w:rFonts w:ascii="Arial" w:cs="Arial" w:eastAsia="Arial" w:hAnsi="Arial"/>
          <w:sz w:val="18"/>
          <w:szCs w:val="18"/>
          <w:color w:val="auto"/>
        </w:rPr>
        <w:t>•8.0% Total capital (that is, Tier 1 capital plus Tier 2 capital) to risk-weighted assets (each as defined in the capital regulations); and</w:t>
      </w:r>
    </w:p>
    <w:p>
      <w:pPr>
        <w:spacing w:after="0" w:line="54" w:lineRule="exact"/>
        <w:rPr>
          <w:sz w:val="20"/>
          <w:szCs w:val="20"/>
          <w:color w:val="auto"/>
        </w:rPr>
      </w:pPr>
    </w:p>
    <w:p>
      <w:pPr>
        <w:ind w:left="360" w:right="280"/>
        <w:spacing w:after="0" w:line="275" w:lineRule="auto"/>
        <w:rPr>
          <w:sz w:val="20"/>
          <w:szCs w:val="20"/>
          <w:color w:val="auto"/>
        </w:rPr>
      </w:pPr>
      <w:r>
        <w:rPr>
          <w:rFonts w:ascii="Arial" w:cs="Arial" w:eastAsia="Arial" w:hAnsi="Arial"/>
          <w:sz w:val="18"/>
          <w:szCs w:val="18"/>
          <w:color w:val="auto"/>
        </w:rPr>
        <w:t>•4.0% Tier 1 capital to average consolidated assets as reported on consolidated financial statements (known as the “leverage ratio”), as defined in the capital regulations.</w:t>
      </w:r>
    </w:p>
    <w:p>
      <w:pPr>
        <w:spacing w:after="0" w:line="54" w:lineRule="exact"/>
        <w:rPr>
          <w:sz w:val="20"/>
          <w:szCs w:val="20"/>
          <w:color w:val="auto"/>
        </w:rPr>
      </w:pPr>
    </w:p>
    <w:p>
      <w:pPr>
        <w:ind w:right="120" w:firstLine="468"/>
        <w:spacing w:after="0" w:line="275" w:lineRule="auto"/>
        <w:rPr>
          <w:sz w:val="20"/>
          <w:szCs w:val="20"/>
          <w:color w:val="auto"/>
        </w:rPr>
      </w:pPr>
      <w:r>
        <w:rPr>
          <w:rFonts w:ascii="Arial" w:cs="Arial" w:eastAsia="Arial" w:hAnsi="Arial"/>
          <w:sz w:val="17"/>
          <w:szCs w:val="17"/>
          <w:color w:val="auto"/>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2.5% capital conservation buffer requirement. The buffer requirement must be composed entirely of CET1. M&amp;T's stress capital buffer at September 30, 2023 was 4.7%. In June 2023, the Federal Reserve released the results of its most recent supervisory stress tests. Based on those results, on October 1, 2023, M&amp;T's stress capital buffer of 4.0% became effective.</w:t>
      </w:r>
    </w:p>
    <w:p>
      <w:pPr>
        <w:spacing w:after="0" w:line="56" w:lineRule="exact"/>
        <w:rPr>
          <w:sz w:val="20"/>
          <w:szCs w:val="20"/>
          <w:color w:val="auto"/>
        </w:rPr>
      </w:pPr>
    </w:p>
    <w:p>
      <w:pPr>
        <w:ind w:firstLine="468"/>
        <w:spacing w:after="0" w:line="275" w:lineRule="auto"/>
        <w:rPr>
          <w:sz w:val="20"/>
          <w:szCs w:val="20"/>
          <w:color w:val="auto"/>
        </w:rPr>
      </w:pPr>
      <w:r>
        <w:rPr>
          <w:rFonts w:ascii="Arial" w:cs="Arial" w:eastAsia="Arial" w:hAnsi="Arial"/>
          <w:sz w:val="18"/>
          <w:szCs w:val="18"/>
          <w:color w:val="auto"/>
        </w:rPr>
        <w:t>The regulatory capital ratios of the Company and its bank subsidiaries, M&amp;T Bank and Wilmington Trust, N.A., as of September 30, 2023 are presented in the accompanying table.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00" w:type="dxa"/>
            <w:vAlign w:val="bottom"/>
          </w:tcPr>
          <w:p>
            <w:pPr>
              <w:spacing w:after="0"/>
              <w:rPr>
                <w:sz w:val="17"/>
                <w:szCs w:val="17"/>
                <w:color w:val="auto"/>
              </w:rPr>
            </w:pPr>
          </w:p>
        </w:tc>
        <w:tc>
          <w:tcPr>
            <w:tcW w:w="4060" w:type="dxa"/>
            <w:vAlign w:val="bottom"/>
          </w:tcPr>
          <w:p>
            <w:pPr>
              <w:jc w:val="right"/>
              <w:ind w:right="922"/>
              <w:spacing w:after="0"/>
              <w:rPr>
                <w:sz w:val="20"/>
                <w:szCs w:val="20"/>
                <w:color w:val="auto"/>
              </w:rPr>
            </w:pPr>
            <w:r>
              <w:rPr>
                <w:rFonts w:ascii="Arial" w:cs="Arial" w:eastAsia="Arial" w:hAnsi="Arial"/>
                <w:sz w:val="16"/>
                <w:szCs w:val="16"/>
                <w:b w:val="1"/>
                <w:bCs w:val="1"/>
                <w:color w:val="auto"/>
              </w:rPr>
              <w:t>M&amp;T</w:t>
            </w:r>
          </w:p>
        </w:tc>
        <w:tc>
          <w:tcPr>
            <w:tcW w:w="1560" w:type="dxa"/>
            <w:vAlign w:val="bottom"/>
          </w:tcPr>
          <w:p>
            <w:pPr>
              <w:jc w:val="right"/>
              <w:ind w:right="822"/>
              <w:spacing w:after="0"/>
              <w:rPr>
                <w:sz w:val="20"/>
                <w:szCs w:val="20"/>
                <w:color w:val="auto"/>
              </w:rPr>
            </w:pPr>
            <w:r>
              <w:rPr>
                <w:rFonts w:ascii="Arial" w:cs="Arial" w:eastAsia="Arial" w:hAnsi="Arial"/>
                <w:sz w:val="16"/>
                <w:szCs w:val="16"/>
                <w:b w:val="1"/>
                <w:bCs w:val="1"/>
                <w:color w:val="auto"/>
              </w:rPr>
              <w:t>M&amp;T</w:t>
            </w:r>
          </w:p>
        </w:tc>
        <w:tc>
          <w:tcPr>
            <w:tcW w:w="1540" w:type="dxa"/>
            <w:vAlign w:val="bottom"/>
          </w:tcPr>
          <w:p>
            <w:pPr>
              <w:jc w:val="right"/>
              <w:ind w:right="442"/>
              <w:spacing w:after="0"/>
              <w:rPr>
                <w:sz w:val="20"/>
                <w:szCs w:val="20"/>
                <w:color w:val="auto"/>
              </w:rPr>
            </w:pPr>
            <w:r>
              <w:rPr>
                <w:rFonts w:ascii="Arial" w:cs="Arial" w:eastAsia="Arial" w:hAnsi="Arial"/>
                <w:sz w:val="16"/>
                <w:szCs w:val="16"/>
                <w:b w:val="1"/>
                <w:bCs w:val="1"/>
                <w:color w:val="auto"/>
              </w:rPr>
              <w:t>Wilmington</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4060" w:type="dxa"/>
            <w:vAlign w:val="bottom"/>
          </w:tcPr>
          <w:p>
            <w:pPr>
              <w:jc w:val="right"/>
              <w:ind w:right="562"/>
              <w:spacing w:after="0"/>
              <w:rPr>
                <w:sz w:val="20"/>
                <w:szCs w:val="20"/>
                <w:color w:val="auto"/>
              </w:rPr>
            </w:pPr>
            <w:r>
              <w:rPr>
                <w:rFonts w:ascii="Arial" w:cs="Arial" w:eastAsia="Arial" w:hAnsi="Arial"/>
                <w:sz w:val="16"/>
                <w:szCs w:val="16"/>
                <w:b w:val="1"/>
                <w:bCs w:val="1"/>
                <w:color w:val="auto"/>
              </w:rPr>
              <w:t>(Consolidated)</w:t>
            </w:r>
          </w:p>
        </w:tc>
        <w:tc>
          <w:tcPr>
            <w:tcW w:w="1560" w:type="dxa"/>
            <w:vAlign w:val="bottom"/>
          </w:tcPr>
          <w:p>
            <w:pPr>
              <w:jc w:val="right"/>
              <w:ind w:right="802"/>
              <w:spacing w:after="0"/>
              <w:rPr>
                <w:sz w:val="20"/>
                <w:szCs w:val="20"/>
                <w:color w:val="auto"/>
              </w:rPr>
            </w:pPr>
            <w:r>
              <w:rPr>
                <w:rFonts w:ascii="Arial" w:cs="Arial" w:eastAsia="Arial" w:hAnsi="Arial"/>
                <w:sz w:val="16"/>
                <w:szCs w:val="16"/>
                <w:b w:val="1"/>
                <w:bCs w:val="1"/>
                <w:color w:val="auto"/>
              </w:rPr>
              <w:t>Bank</w:t>
            </w:r>
          </w:p>
        </w:tc>
        <w:tc>
          <w:tcPr>
            <w:tcW w:w="1540" w:type="dxa"/>
            <w:vAlign w:val="bottom"/>
          </w:tcPr>
          <w:p>
            <w:pPr>
              <w:jc w:val="right"/>
              <w:ind w:right="462"/>
              <w:spacing w:after="0"/>
              <w:rPr>
                <w:sz w:val="20"/>
                <w:szCs w:val="20"/>
                <w:color w:val="auto"/>
              </w:rPr>
            </w:pPr>
            <w:r>
              <w:rPr>
                <w:rFonts w:ascii="Arial" w:cs="Arial" w:eastAsia="Arial" w:hAnsi="Arial"/>
                <w:sz w:val="16"/>
                <w:szCs w:val="16"/>
                <w:b w:val="1"/>
                <w:bCs w:val="1"/>
                <w:color w:val="auto"/>
              </w:rPr>
              <w:t>Trust, N.A.</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CET1</w:t>
            </w:r>
          </w:p>
        </w:tc>
        <w:tc>
          <w:tcPr>
            <w:tcW w:w="406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10.95%</w:t>
            </w:r>
          </w:p>
        </w:tc>
        <w:tc>
          <w:tcPr>
            <w:tcW w:w="15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11.66%</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262.54 %</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4060" w:type="dxa"/>
            <w:vAlign w:val="bottom"/>
          </w:tcPr>
          <w:p>
            <w:pPr>
              <w:jc w:val="right"/>
              <w:ind w:right="222"/>
              <w:spacing w:after="0"/>
              <w:rPr>
                <w:sz w:val="20"/>
                <w:szCs w:val="20"/>
                <w:color w:val="auto"/>
              </w:rPr>
            </w:pPr>
            <w:r>
              <w:rPr>
                <w:rFonts w:ascii="Arial" w:cs="Arial" w:eastAsia="Arial" w:hAnsi="Arial"/>
                <w:sz w:val="16"/>
                <w:szCs w:val="16"/>
                <w:color w:val="auto"/>
              </w:rPr>
              <w:t>12.27%</w:t>
            </w:r>
          </w:p>
        </w:tc>
        <w:tc>
          <w:tcPr>
            <w:tcW w:w="1560" w:type="dxa"/>
            <w:vAlign w:val="bottom"/>
          </w:tcPr>
          <w:p>
            <w:pPr>
              <w:jc w:val="right"/>
              <w:ind w:right="102"/>
              <w:spacing w:after="0"/>
              <w:rPr>
                <w:sz w:val="20"/>
                <w:szCs w:val="20"/>
                <w:color w:val="auto"/>
              </w:rPr>
            </w:pPr>
            <w:r>
              <w:rPr>
                <w:rFonts w:ascii="Arial" w:cs="Arial" w:eastAsia="Arial" w:hAnsi="Arial"/>
                <w:sz w:val="16"/>
                <w:szCs w:val="16"/>
                <w:color w:val="auto"/>
              </w:rPr>
              <w:t>11.66%</w:t>
            </w:r>
          </w:p>
        </w:tc>
        <w:tc>
          <w:tcPr>
            <w:tcW w:w="1540" w:type="dxa"/>
            <w:vAlign w:val="bottom"/>
          </w:tcPr>
          <w:p>
            <w:pPr>
              <w:jc w:val="right"/>
              <w:spacing w:after="0"/>
              <w:rPr>
                <w:sz w:val="20"/>
                <w:szCs w:val="20"/>
                <w:color w:val="auto"/>
              </w:rPr>
            </w:pPr>
            <w:r>
              <w:rPr>
                <w:rFonts w:ascii="Arial" w:cs="Arial" w:eastAsia="Arial" w:hAnsi="Arial"/>
                <w:sz w:val="16"/>
                <w:szCs w:val="16"/>
                <w:color w:val="auto"/>
              </w:rPr>
              <w:t>262.54 %</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capital</w:t>
            </w:r>
          </w:p>
        </w:tc>
        <w:tc>
          <w:tcPr>
            <w:tcW w:w="406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13.99%</w:t>
            </w:r>
          </w:p>
        </w:tc>
        <w:tc>
          <w:tcPr>
            <w:tcW w:w="15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13.10%</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262.97 %</w:t>
            </w:r>
          </w:p>
        </w:tc>
        <w:tc>
          <w:tcPr>
            <w:tcW w:w="0" w:type="dxa"/>
            <w:vAlign w:val="bottom"/>
          </w:tcPr>
          <w:p>
            <w:pPr>
              <w:spacing w:after="0"/>
              <w:rPr>
                <w:sz w:val="1"/>
                <w:szCs w:val="1"/>
                <w:color w:val="auto"/>
              </w:rPr>
            </w:pP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Tier 1 leverage</w:t>
            </w:r>
          </w:p>
        </w:tc>
        <w:tc>
          <w:tcPr>
            <w:tcW w:w="4060" w:type="dxa"/>
            <w:vAlign w:val="bottom"/>
            <w:vMerge w:val="restart"/>
          </w:tcPr>
          <w:p>
            <w:pPr>
              <w:jc w:val="right"/>
              <w:ind w:right="222"/>
              <w:spacing w:after="0"/>
              <w:rPr>
                <w:sz w:val="20"/>
                <w:szCs w:val="20"/>
                <w:color w:val="auto"/>
              </w:rPr>
            </w:pPr>
            <w:r>
              <w:rPr>
                <w:rFonts w:ascii="Arial" w:cs="Arial" w:eastAsia="Arial" w:hAnsi="Arial"/>
                <w:sz w:val="16"/>
                <w:szCs w:val="16"/>
                <w:color w:val="auto"/>
              </w:rPr>
              <w:t>9.43 %</w:t>
            </w:r>
          </w:p>
        </w:tc>
        <w:tc>
          <w:tcPr>
            <w:tcW w:w="1560" w:type="dxa"/>
            <w:vAlign w:val="bottom"/>
            <w:vMerge w:val="restart"/>
          </w:tcPr>
          <w:p>
            <w:pPr>
              <w:jc w:val="right"/>
              <w:ind w:right="102"/>
              <w:spacing w:after="0"/>
              <w:rPr>
                <w:sz w:val="20"/>
                <w:szCs w:val="20"/>
                <w:color w:val="auto"/>
              </w:rPr>
            </w:pPr>
            <w:r>
              <w:rPr>
                <w:rFonts w:ascii="Arial" w:cs="Arial" w:eastAsia="Arial" w:hAnsi="Arial"/>
                <w:sz w:val="16"/>
                <w:szCs w:val="16"/>
                <w:color w:val="auto"/>
              </w:rPr>
              <w:t>8.95 %</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60" w:firstLine="468"/>
        <w:spacing w:after="0" w:line="253" w:lineRule="auto"/>
        <w:rPr>
          <w:sz w:val="20"/>
          <w:szCs w:val="20"/>
          <w:color w:val="auto"/>
        </w:rPr>
      </w:pPr>
      <w:r>
        <w:rPr>
          <w:rFonts w:ascii="Arial" w:cs="Arial" w:eastAsia="Arial" w:hAnsi="Arial"/>
          <w:sz w:val="18"/>
          <w:szCs w:val="18"/>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DIF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the 2022 Annual Report.</w:t>
      </w:r>
    </w:p>
    <w:p>
      <w:pPr>
        <w:spacing w:after="0" w:line="77" w:lineRule="exact"/>
        <w:rPr>
          <w:sz w:val="20"/>
          <w:szCs w:val="20"/>
          <w:color w:val="auto"/>
        </w:rPr>
      </w:pPr>
    </w:p>
    <w:p>
      <w:pPr>
        <w:ind w:right="480" w:firstLine="468"/>
        <w:spacing w:after="0" w:line="256" w:lineRule="auto"/>
        <w:rPr>
          <w:sz w:val="20"/>
          <w:szCs w:val="20"/>
          <w:color w:val="auto"/>
        </w:rPr>
      </w:pPr>
      <w:r>
        <w:rPr>
          <w:rFonts w:ascii="Arial" w:cs="Arial" w:eastAsia="Arial" w:hAnsi="Arial"/>
          <w:sz w:val="18"/>
          <w:szCs w:val="18"/>
          <w:color w:val="auto"/>
        </w:rPr>
        <w:t>On July 27, 2023 the federal banking agencies issued a notice of proposed rulemaking to modify the regulatory capital requirements applicable to large banking organizations with over $100 billion of total assets and their depository institution subsidiaries. The proposed rule would generally require banking organizations subject to Category III and IV standards, like the Company, to compute their regulatory capital consistent with Category I and II standards. Management is in the process of evaluating the impact of the proposed rule on the regulatory capital requirements of M&amp;T and its subsidiary banks.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Segment Information</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 As described in the 2022 Annual Report, certain lending relationships within the hospitality sector were realigned from the Commercial Banking segment to the Commercial Real Estate segment and certain expenses were reallocated from the All Other segment to various reportable segments in the fourth quarter of 2022. During 2022, the Company also realigned certain acquired operations associated with People's United requiring reclassifications of certain revenues and expenses among the reportable segments. The results and analysis provided herein are reflective of those changes.</w:t>
      </w:r>
    </w:p>
    <w:p>
      <w:pPr>
        <w:spacing w:after="0" w:line="72" w:lineRule="exact"/>
        <w:rPr>
          <w:sz w:val="20"/>
          <w:szCs w:val="20"/>
          <w:color w:val="auto"/>
        </w:rPr>
      </w:pPr>
    </w:p>
    <w:p>
      <w:pPr>
        <w:ind w:right="60" w:firstLine="468"/>
        <w:spacing w:after="0" w:line="252" w:lineRule="auto"/>
        <w:rPr>
          <w:sz w:val="20"/>
          <w:szCs w:val="20"/>
          <w:color w:val="auto"/>
        </w:rPr>
      </w:pPr>
      <w:r>
        <w:rPr>
          <w:rFonts w:ascii="Arial" w:cs="Arial" w:eastAsia="Arial" w:hAnsi="Arial"/>
          <w:sz w:val="18"/>
          <w:szCs w:val="18"/>
          <w:color w:val="auto"/>
        </w:rPr>
        <w:t>The Business Banking segment contributed net income of $117 million during the quarter ended September 30, 2023, compared with $ 93 million in the year-earlier quarter and $116 million in the second quarter of 2023. As compared with the third quarter of 2022, the improved performance reflected an increase in net interest income of $48 million resulting from a comparatively higher interest rate environment in the recent quarter, partially offset by a $ 9 million increase in the provision for credit losses and a $6 million rise in centrally-allocated costs associated with data processing, risk management and other support services provided to the Business Banking segment. The higher net interest income reflected a 120 basis point widening of the net interest margin on deposits that was partially offset by a decline in average outstanding deposit balances of $2.3 billion. The recent quarter’s modest increase in net income as compared with 2023’s second quarter reflected a $ 14 million increase in net interest income resulting from a widening of the net interest margin on loans and deposits of 41 and 8 basis points, respectively, partially offset by an increase in the provision for credit losses of $8 million. Net income earned by the Business Banking segment totaled $347 million during the first nine months of 2023, compared with $200 million in the year-earlier period. That increase was attributable to a $247 million rise in net interest income, reflecting a 173 basis point widening of the net interest margin on deposits that was partially offset by a 78 basis point narrowing of the net interest margin on loans. Those favorable factors were partially offset by a $29 million increase in centrally- allocated costs associated with data processing, risk management and other support services, a $13 million increase in the provision for credit losses and higher personnel-related costs of $12 million, all reflecting one additional quarter of operations associated with the acquisition of People’s United.</w:t>
      </w:r>
    </w:p>
    <w:p>
      <w:pPr>
        <w:spacing w:after="0" w:line="76"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Net income of the Commercial Banking segment was $168 million in the recent quarter, compared with $211 million in 2022’s third quarter and $166 million in the second quarter of 2023. The decline in net income in the third quarter of 2023 as compared with the year-earlier quarter reflected a $51 million decrease in net interest income, higher centrally -allocated costs associated with data processing, risk management and other support services provided to the Commercial Banking segment of $18 million and reduced credit-related fees (predominantly loan syndication fees) of $12 million, partially offset by a $15 million decrease in the provision for credit losses. The lower net interest income was mainly driven by a 48 basis point narrowing of the net interest margin on loans and a shift to lower margin deposit balances, partially offset by an increase in average outstanding loan balances of $4.6 billion. The modestly higher net income in the recent quarter as compared with the second quarter of 2023 was due to an $11 million decrease in the provision for credit losses, partially offset by lower credit-related fees of $6 million. Net income for the first nine months of 2023 aggregated $553 million, compared with $ 501 million in the similar 2022 period, reflecting the impact of one additional quarter of operations associated with the acquisition of People’s United. Higher net interest income of $128 million, an increase in credit-related fees of $22 million and a $14 million decrease in the provision for credit losses were partially offset by a $77 million rise in centrally -allocated costs associated with data processing, risk management and other support services and higher personnel-related costs of $39 million reflecting an additional quarter of salaries and employee benefits expenses associated with People's United personnel. The higher net interest income resulted primarily from a 68 basis point widening of the net interest margin on deposits and higher average outstanding loan balances (reflecting loans obtained in the People’s United acquisition and lending activities to financial services customers) of $10.3 billion, partially offset by a 43 basis point narrowing of the net interest margin on loans.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29" w:right="660" w:bottom="1440" w:gutter="0" w:footer="0" w:header="0"/>
        </w:sectPr>
      </w:pPr>
    </w:p>
    <w:bookmarkStart w:id="82" w:name="page83"/>
    <w:bookmarkEnd w:id="82"/>
    <w:p>
      <w:pPr>
        <w:ind w:right="80" w:firstLine="468"/>
        <w:spacing w:after="0" w:line="252" w:lineRule="auto"/>
        <w:rPr>
          <w:sz w:val="20"/>
          <w:szCs w:val="20"/>
          <w:color w:val="auto"/>
        </w:rPr>
      </w:pPr>
      <w:r>
        <w:rPr>
          <w:rFonts w:ascii="Arial" w:cs="Arial" w:eastAsia="Arial" w:hAnsi="Arial"/>
          <w:sz w:val="18"/>
          <w:szCs w:val="18"/>
          <w:color w:val="auto"/>
        </w:rPr>
        <w:t>The Commercial Real Estate segment recorded net income of $ 72 million in the third quarter of 2023, compared with $110 million in the year-earlier period and $39 million in the second quarter of 2023. The decline in net income in 2023's third quarter as compared with the third quarter of 2022 was due to a $15 million decrease in net interest income and a $30 million increase in the provision for credit losses. The lower net interest income was predominantly due to a decline in average outstanding loan and deposit balances of $1.0 billion and $680 million, respectively. The improvement in net income in the recent quarter as compared with the immediately preceding quarter reflected a $29 million decrease in the provision for credit losses, due to lower net charge-offs, and higher net interest income of $ 14 million driven by an 18 basis point widening of the net interest margin on loans. Net income for the Commercial Real Estate segment totaled $193 million during the first three quarters of 2023, compared with $ 339 million in the similar 2022 period. That year -over-year decline resulted from a $136 million increase in the provision for credit losses, due to higher net charge-offs, a $37 million rise in centrally-allocated costs associated with data processing, risk management and other support services provided to the Commercial Real Estate segment and a $30 million decrease in net interest income. The lower net interest income was driven by a 36 basis point narrowing of the net interest margin on loans, partially offset by an 82 basis point widening of the net interest margin on deposits and higher average outstanding loan balances of $1.2 billion reflecting an additional quarter of loans obtained in the acquisition of People's United.</w:t>
      </w:r>
    </w:p>
    <w:p>
      <w:pPr>
        <w:spacing w:after="0" w:line="78" w:lineRule="exact"/>
        <w:rPr>
          <w:sz w:val="20"/>
          <w:szCs w:val="20"/>
          <w:color w:val="auto"/>
        </w:rPr>
      </w:pPr>
    </w:p>
    <w:p>
      <w:pPr>
        <w:ind w:firstLine="468"/>
        <w:spacing w:after="0" w:line="252" w:lineRule="auto"/>
        <w:rPr>
          <w:sz w:val="20"/>
          <w:szCs w:val="20"/>
          <w:color w:val="auto"/>
        </w:rPr>
      </w:pPr>
      <w:r>
        <w:rPr>
          <w:rFonts w:ascii="Arial" w:cs="Arial" w:eastAsia="Arial" w:hAnsi="Arial"/>
          <w:sz w:val="18"/>
          <w:szCs w:val="18"/>
          <w:color w:val="auto"/>
        </w:rPr>
        <w:t>The Discretionary Portfolio segment recognized a net loss of $22 million during the three -month period ended September 30, 2023, compared with $6 million in the year-earlier period and $32 million in the second quarter of 2023. The decline in the recent quarter’s results as compared with the third quarter of 2022 reflected a $46 million decrease in net interest income, driven by increased interest expense from interest rate swap agreements utilized as part of the Company's management of interest rate risk, partially offset by a decrease of $8 million in intersegment fees paid to the Residential Mortgage Banking segment reflecting the Company's return in the first quarter of 2023 to originating for sale the majority of its newly originated residential mortgage loans. The improved performance in 2023’s third quarter as compared with the immediately preceding quarter resulted from lower personnel-related and other costs. For the first nine months, the Discretionary Portfolio segment recorded a net loss of $94 million in 2023, compared with net income of $73 million in the similar 2022 period. That decline was predominantly due to lower net interest income of $272 million, reflecting the Company's management of interest rate risk through interest rate swap agreements as well as increased balances of lower margin wholesale funding. Favorable factors partially offsetting that decrease were lower intersegment fees paid to the Residential Mortgage Banking segment of $41 million and a rise in trading and non- hedging derivative gains of $11 million reflecting one additional quarter of activity from operations acquired from People's United as compared with the same 2022 period.</w:t>
      </w:r>
    </w:p>
    <w:p>
      <w:pPr>
        <w:spacing w:after="0" w:line="78" w:lineRule="exact"/>
        <w:rPr>
          <w:sz w:val="20"/>
          <w:szCs w:val="20"/>
          <w:color w:val="auto"/>
        </w:rPr>
      </w:pPr>
    </w:p>
    <w:p>
      <w:pPr>
        <w:ind w:firstLine="468"/>
        <w:spacing w:after="0" w:line="254" w:lineRule="auto"/>
        <w:rPr>
          <w:sz w:val="20"/>
          <w:szCs w:val="20"/>
          <w:color w:val="auto"/>
        </w:rPr>
      </w:pPr>
      <w:r>
        <w:rPr>
          <w:rFonts w:ascii="Arial" w:cs="Arial" w:eastAsia="Arial" w:hAnsi="Arial"/>
          <w:sz w:val="18"/>
          <w:szCs w:val="18"/>
          <w:color w:val="auto"/>
        </w:rPr>
        <w:t>The Residential Mortgage Banking segment recorded a net loss of $14 million in the third quarter of 2023, compared with net losses in the year -earlier quarter and 2023’s second quarter of $2 million and $15 million, respectively. The higher net loss in the recent quarter as compared with the similar 2022 period was predominantly attributable to lower revenues associated with mortgage loan origination and sales activities (including intersegment revenues) of $7 million. Net losses in the first nine months of 2023 for the Residential Mortgage Banking segment aggregated $42 million, compared with net income of $33 million in the corresponding 2022 period. That decline was attributable to lower revenues associated with residential mortgage loan origination and sales activities (including intersegment revenues) of $34 million, lower net interest income of $29 million, reflecting higher costs to fund mortgage loan servicing assets, and higher foreclosure expenses of $10 million.</w:t>
      </w:r>
    </w:p>
    <w:p>
      <w:pPr>
        <w:spacing w:after="0" w:line="72"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Net income for the Retail Banking segment totaled $343 million in the recent quarter, compared with $183 million in the third quarter of 2022 and $337 million in the second quarter of 2023. The increase from the third quarter of 2022 was largely attributable to a $ 224 million increase in net interest income reflecting a 152 basis point widening of the net interest margin on deposits, partially offset by lower average outstanding deposit balances of $4.6 billion. Net income in the recent quarter increased as compared with the second quarter of 2023 primarily due to higher net interest income of $12 million. The Retail Banking segment recorded net income of $996 million and $366 million in the first nine months of 2023 and 2022, respectively. That increase was predominantly due to a $1.0 billion rise in net interest income, reflecting a 199 basis point widening of the net interest margin on deposits and higher average outstanding deposit balances of $3.3 billion due, in part, to deposits assumed on April 1, 2022 in the People's United transaction. Partially offsetting that favorable factor was an increase in the provision for credit losses of $46 million and higher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83" w:name="page84"/>
    <w:bookmarkEnd w:id="83"/>
    <w:p>
      <w:pPr>
        <w:ind w:right="540"/>
        <w:spacing w:after="0" w:line="275" w:lineRule="auto"/>
        <w:rPr>
          <w:sz w:val="20"/>
          <w:szCs w:val="20"/>
          <w:color w:val="auto"/>
        </w:rPr>
      </w:pPr>
      <w:r>
        <w:rPr>
          <w:rFonts w:ascii="Arial" w:cs="Arial" w:eastAsia="Arial" w:hAnsi="Arial"/>
          <w:sz w:val="18"/>
          <w:szCs w:val="18"/>
          <w:color w:val="auto"/>
        </w:rPr>
        <w:t>levels of personnel, occupancy and other expenses reflecting an additional three months of operations acquired from People’s United as compared with the same period in 2022.</w:t>
      </w:r>
    </w:p>
    <w:p>
      <w:pPr>
        <w:spacing w:after="0" w:line="54" w:lineRule="exact"/>
        <w:rPr>
          <w:sz w:val="20"/>
          <w:szCs w:val="20"/>
          <w:color w:val="auto"/>
        </w:rPr>
      </w:pPr>
    </w:p>
    <w:p>
      <w:pPr>
        <w:ind w:firstLine="468"/>
        <w:spacing w:after="0" w:line="251" w:lineRule="auto"/>
        <w:rPr>
          <w:sz w:val="20"/>
          <w:szCs w:val="20"/>
          <w:color w:val="auto"/>
        </w:rPr>
      </w:pPr>
      <w:r>
        <w:rPr>
          <w:rFonts w:ascii="Arial" w:cs="Arial" w:eastAsia="Arial" w:hAnsi="Arial"/>
          <w:sz w:val="18"/>
          <w:szCs w:val="18"/>
          <w:color w:val="auto"/>
        </w:rPr>
        <w:t>The “All Other” category includes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income of $26 million in the third quarter of 2023, compared with $58 million in the third 2022 quarter and $256 million in the second quarter of 2023. The lower net income in the recent quarter as compared with the third quarter of 2022 resulted from lower net interest income of $62 million and lower trust income of $31 million due mainly to the divestiture of the CIT business in April 2023, offset partially by the favorable impact from the Company’s allocation methodologies for internal transfers for funding charges and credits associated with earning assets and interest-bearing liabilities of the Company’s reportable segments. The lower net income in the recent quarter as compared with 2023’s second quarter was primarily due to the $225 million gain on sale of the CIT business recorded in the second quarter of 2023. The “All Other” category recorded net income of $306 million in the first nine months of 2023, compared with net losses of $286 million in the similar 2022 period. The primary factors contributing to the improved performance in the 2023 period was a rise in net interest income of $ 310 million attributable to a 201 basis point widening of the net interest margin on deposits related to the WAS and ICS businesses, the $225 million gain on the sale of the CIT business in the second quarter of 2023, a decline in the provision for credit losses of $183 million reflecting a $242 million provision for credit losses in the second quarter of 2022 on loans acquired from People’s United not deemed to be PCD, the favorable impact from the Company’s allocation methodologies for internal transfers for funding charges and credits associated with earning assets and interest-bearing liabilities of the Company’s reportable segments, and lower merger-related costs associated with People’s United. Increased expenses generally resulting from one additional quarter of operations from People's United partially offset those favorable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recent accounting developments is included in note 16 of Notes to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72"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Statements regarding the potential effects of events or factors specific to the Company and/or the financial industry as a whole, as well as national and global events generally, including economic conditions,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spacing w:after="0" w:line="72"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Future Factors which are difficult to predict. Therefore, actual outcomes and results may differ materially from what is expressed or forecasted in such forward-looking statements.</w:t>
      </w:r>
    </w:p>
    <w:p>
      <w:pPr>
        <w:spacing w:after="0" w:line="72" w:lineRule="exact"/>
        <w:rPr>
          <w:sz w:val="20"/>
          <w:szCs w:val="20"/>
          <w:color w:val="auto"/>
        </w:rPr>
      </w:pPr>
    </w:p>
    <w:p>
      <w:pPr>
        <w:ind w:right="500" w:firstLine="432"/>
        <w:spacing w:after="0" w:line="275" w:lineRule="auto"/>
        <w:rPr>
          <w:sz w:val="20"/>
          <w:szCs w:val="20"/>
          <w:color w:val="auto"/>
        </w:rPr>
      </w:pPr>
      <w:r>
        <w:rPr>
          <w:rFonts w:ascii="Arial" w:cs="Arial" w:eastAsia="Arial" w:hAnsi="Arial"/>
          <w:sz w:val="18"/>
          <w:szCs w:val="18"/>
          <w:color w:val="auto"/>
        </w:rPr>
        <w:t>Examples of Future Factors include: the impact of the Company's acquisition of People's United (as described in the next paragraph); events and developments in the financial services industry, including legislation, regulations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84" w:name="page85"/>
    <w:bookmarkEnd w:id="84"/>
    <w:p>
      <w:pPr>
        <w:ind w:right="20"/>
        <w:spacing w:after="0" w:line="252" w:lineRule="auto"/>
        <w:rPr>
          <w:sz w:val="20"/>
          <w:szCs w:val="20"/>
          <w:color w:val="auto"/>
        </w:rPr>
      </w:pPr>
      <w:r>
        <w:rPr>
          <w:rFonts w:ascii="Arial" w:cs="Arial" w:eastAsia="Arial" w:hAnsi="Arial"/>
          <w:sz w:val="18"/>
          <w:szCs w:val="18"/>
          <w:color w:val="auto"/>
        </w:rPr>
        <w:t>other governmental actions as well as business conditions affecting the industry and/or M&amp;T and its subsidiaries, individually or collectively; economic conditions, including inflation and market volatility;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regulatory supervision and oversight, including monetary policy and capital requirements; domestic or international political developments and other geopolitical events, including international conflicts; governmental and public policy changes, including tax policy;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7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Future Factors related to the acquisition of People's United include, among others: the possibility that the anticipated benefits of the transaction will not be realized when expected or at all; potential adverse reactions or changes to business, customer or employee relationships; the Company's success in executing its business plans and strategies and managing the risks involved in the foregoing; the results and costs of integration efforts; the business, economic and political conditions in the markets in which M&amp;T and its subsidiaries operate; the outcome of any legal proceedings that may be instituted against M&amp;T or its subsidiaries; and other factors related to the acquisition that may affect future results of the Company.</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7"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M&amp;T provides further detail regarding these risks and uncertainties in the 2022 Annual Report, including in the Risk Factors section of such report, as well as in other SEC filings. Forward-looking statements speak only as of the date made, and M&amp;T does not assume any duty and does not undertake to update forward-looking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39" w:right="680"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vMerge w:val="restart"/>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204"/>
        </w:trPr>
        <w:tc>
          <w:tcPr>
            <w:tcW w:w="3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2023 Quarters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2022 Quarters</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Third</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Second</w:t>
            </w:r>
          </w:p>
        </w:tc>
        <w:tc>
          <w:tcPr>
            <w:tcW w:w="11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First</w:t>
            </w:r>
          </w:p>
        </w:tc>
        <w:tc>
          <w:tcPr>
            <w:tcW w:w="10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Fourth</w:t>
            </w: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Third</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Second</w:t>
            </w: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First</w:t>
            </w: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Earnings and dividends</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3"/>
                <w:szCs w:val="13"/>
                <w:i w:val="1"/>
                <w:iCs w:val="1"/>
                <w:color w:val="auto"/>
              </w:rPr>
              <w:t>Amounts in thousands, except per share</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income (taxable-equivalent basis)</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2,655,734</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2,529,511</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2,340,447</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2,085,594</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1,793,340</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1,475,868</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931,490</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866,011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716,496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508,721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244,835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102,822</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53,425</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24,082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1,789,723</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1,813,015</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1,831,726</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1,840,759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1,690,518</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1,422,443</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907,408</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Less: provision for credit losses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150,000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150,000</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120,000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90,000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115,000</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302,000</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10,000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income</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559,581</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803,171</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587,133</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681,537</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563,079</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571,100</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540,887</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Less: other expense</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1,277,538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1,292,559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1,359,230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1,408,288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1,279,253</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1,403,154</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959,741</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921,766</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1,173,627</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939,629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1,024,008</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859,344</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288,389</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478,554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Applicable income taxes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217,490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292,707</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224,543</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245,252</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200,921</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60,141</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113,146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Taxable-equivalent adjustment</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14,335</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13,886</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13,462</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13,385</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11,827</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10,726</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689,941</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867,034</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701,624</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765,371</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646,596</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217,522</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362,174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Net income available to common</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shareholders-diluted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663,766</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840,524</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675,511</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739,126</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620,554</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192,236</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339,590</w:t>
            </w: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Per common share data</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Basic earnings</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Diluted earnings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5.05</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3.53</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Cash dividends</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Average common shares outstanding</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165,909</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165,842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167,732</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171,187</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174,609</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177,367</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128,945</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166,570</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166,320</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168,410</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172,149</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175,682</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178,277</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129,416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Performance ratios, annualized</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Return on</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Average assets</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1.33 %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1.70 %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1.40 %</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1.53 %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1.28 %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.42 %</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Average common shareholders’ equity</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10.99 %</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14.27 %</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11.74 %</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12.59 %</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10.43 %</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3.21 %</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8.55 %</w:t>
            </w:r>
          </w:p>
        </w:tc>
        <w:tc>
          <w:tcPr>
            <w:tcW w:w="0" w:type="dxa"/>
            <w:vAlign w:val="bottom"/>
          </w:tcPr>
          <w:p>
            <w:pPr>
              <w:spacing w:after="0"/>
              <w:rPr>
                <w:sz w:val="1"/>
                <w:szCs w:val="1"/>
                <w:color w:val="auto"/>
              </w:rPr>
            </w:pPr>
          </w:p>
        </w:tc>
      </w:tr>
      <w:tr>
        <w:trPr>
          <w:trHeight w:val="166"/>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interest margin on average earning</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assets (taxable-equivalent basis)</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3.79 %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3.91 %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4.04 %</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4.06 %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3.68 %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3.01 %</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2.65 %</w:t>
            </w:r>
          </w:p>
        </w:tc>
        <w:tc>
          <w:tcPr>
            <w:tcW w:w="0" w:type="dxa"/>
            <w:vAlign w:val="bottom"/>
          </w:tcPr>
          <w:p>
            <w:pPr>
              <w:spacing w:after="0"/>
              <w:rPr>
                <w:sz w:val="1"/>
                <w:szCs w:val="1"/>
                <w:color w:val="auto"/>
              </w:rPr>
            </w:pPr>
          </w:p>
        </w:tc>
      </w:tr>
      <w:tr>
        <w:trPr>
          <w:trHeight w:val="161"/>
        </w:trPr>
        <w:tc>
          <w:tcPr>
            <w:tcW w:w="3060" w:type="dxa"/>
            <w:vAlign w:val="bottom"/>
          </w:tcPr>
          <w:p>
            <w:pPr>
              <w:ind w:left="20"/>
              <w:spacing w:after="0"/>
              <w:rPr>
                <w:sz w:val="20"/>
                <w:szCs w:val="20"/>
                <w:color w:val="auto"/>
              </w:rPr>
            </w:pPr>
            <w:r>
              <w:rPr>
                <w:rFonts w:ascii="Arial" w:cs="Arial" w:eastAsia="Arial" w:hAnsi="Arial"/>
                <w:sz w:val="13"/>
                <w:szCs w:val="13"/>
                <w:color w:val="auto"/>
              </w:rPr>
              <w:t>Nonaccrual loans to total loans and</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xml:space="preserve">1.77 </w:t>
            </w:r>
            <w:r>
              <w:rPr>
                <w:rFonts w:ascii="Arial" w:cs="Arial" w:eastAsia="Arial" w:hAnsi="Arial"/>
                <w:sz w:val="26"/>
                <w:szCs w:val="26"/>
                <w:color w:val="auto"/>
                <w:vertAlign w:val="subscript"/>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xml:space="preserve">1.83 </w:t>
            </w:r>
            <w:r>
              <w:rPr>
                <w:rFonts w:ascii="Arial" w:cs="Arial" w:eastAsia="Arial" w:hAnsi="Arial"/>
                <w:sz w:val="26"/>
                <w:szCs w:val="26"/>
                <w:color w:val="auto"/>
                <w:vertAlign w:val="subscript"/>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 xml:space="preserve">1.92 </w:t>
            </w:r>
            <w:r>
              <w:rPr>
                <w:rFonts w:ascii="Arial" w:cs="Arial" w:eastAsia="Arial" w:hAnsi="Arial"/>
                <w:sz w:val="26"/>
                <w:szCs w:val="26"/>
                <w:color w:val="auto"/>
                <w:vertAlign w:val="subscript"/>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 xml:space="preserve">1.85 </w:t>
            </w:r>
            <w:r>
              <w:rPr>
                <w:rFonts w:ascii="Arial" w:cs="Arial" w:eastAsia="Arial" w:hAnsi="Arial"/>
                <w:sz w:val="26"/>
                <w:szCs w:val="26"/>
                <w:color w:val="auto"/>
                <w:vertAlign w:val="subscript"/>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xml:space="preserve">1.89 </w:t>
            </w:r>
            <w:r>
              <w:rPr>
                <w:rFonts w:ascii="Arial" w:cs="Arial" w:eastAsia="Arial" w:hAnsi="Arial"/>
                <w:sz w:val="26"/>
                <w:szCs w:val="26"/>
                <w:color w:val="auto"/>
                <w:vertAlign w:val="subscript"/>
              </w:rPr>
              <w:t>%</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xml:space="preserve">2.05 </w:t>
            </w:r>
            <w:r>
              <w:rPr>
                <w:rFonts w:ascii="Arial" w:cs="Arial" w:eastAsia="Arial" w:hAnsi="Arial"/>
                <w:sz w:val="26"/>
                <w:szCs w:val="26"/>
                <w:color w:val="auto"/>
                <w:vertAlign w:val="subscript"/>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 xml:space="preserve">2.32 </w:t>
            </w:r>
            <w:r>
              <w:rPr>
                <w:rFonts w:ascii="Arial" w:cs="Arial" w:eastAsia="Arial" w:hAnsi="Arial"/>
                <w:sz w:val="26"/>
                <w:szCs w:val="26"/>
                <w:color w:val="auto"/>
                <w:vertAlign w:val="subscript"/>
              </w:rPr>
              <w:t>%</w:t>
            </w:r>
          </w:p>
        </w:tc>
        <w:tc>
          <w:tcPr>
            <w:tcW w:w="0" w:type="dxa"/>
            <w:vAlign w:val="bottom"/>
          </w:tcPr>
          <w:p>
            <w:pPr>
              <w:spacing w:after="0"/>
              <w:rPr>
                <w:sz w:val="1"/>
                <w:szCs w:val="1"/>
                <w:color w:val="auto"/>
              </w:rPr>
            </w:pPr>
          </w:p>
        </w:tc>
      </w:tr>
      <w:tr>
        <w:trPr>
          <w:trHeight w:val="139"/>
        </w:trPr>
        <w:tc>
          <w:tcPr>
            <w:tcW w:w="3060" w:type="dxa"/>
            <w:vAlign w:val="bottom"/>
          </w:tcPr>
          <w:p>
            <w:pPr>
              <w:ind w:left="200"/>
              <w:spacing w:after="0" w:line="139" w:lineRule="exact"/>
              <w:rPr>
                <w:sz w:val="20"/>
                <w:szCs w:val="20"/>
                <w:color w:val="auto"/>
              </w:rPr>
            </w:pPr>
            <w:r>
              <w:rPr>
                <w:rFonts w:ascii="Arial" w:cs="Arial" w:eastAsia="Arial" w:hAnsi="Arial"/>
                <w:sz w:val="13"/>
                <w:szCs w:val="13"/>
                <w:color w:val="auto"/>
              </w:rPr>
              <w:t>leases, net of unearned discount</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operating (tangible) results (a)</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Net operating income (in thousands)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701,568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878,661</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714,935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812,359</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700,030</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577,622</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375,999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Diluted net operating income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Annualized return on</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Average tangible assets</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1.41 %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1.80 %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1.49 %</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1.70 %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1.44 %</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1.16 %</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Average tangible common shareholders’ equity</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17.41 %</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22.73 %</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19.00 %</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21.29 %</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17.89 %</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14.41 %</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12.44 %</w:t>
            </w:r>
          </w:p>
        </w:tc>
        <w:tc>
          <w:tcPr>
            <w:tcW w:w="0" w:type="dxa"/>
            <w:vAlign w:val="bottom"/>
          </w:tcPr>
          <w:p>
            <w:pPr>
              <w:spacing w:after="0"/>
              <w:rPr>
                <w:sz w:val="1"/>
                <w:szCs w:val="1"/>
                <w:color w:val="auto"/>
              </w:rPr>
            </w:pPr>
          </w:p>
        </w:tc>
      </w:tr>
      <w:tr>
        <w:trPr>
          <w:trHeight w:val="22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Efficiency ratio (b)</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line="185" w:lineRule="exact"/>
              <w:rPr>
                <w:sz w:val="20"/>
                <w:szCs w:val="20"/>
                <w:color w:val="auto"/>
              </w:rPr>
            </w:pPr>
            <w:r>
              <w:rPr>
                <w:rFonts w:ascii="Arial" w:cs="Arial" w:eastAsia="Arial" w:hAnsi="Arial"/>
                <w:sz w:val="11"/>
                <w:szCs w:val="11"/>
                <w:color w:val="auto"/>
              </w:rPr>
              <w:t xml:space="preserve">53.7 </w:t>
            </w:r>
            <w:r>
              <w:rPr>
                <w:rFonts w:ascii="Arial" w:cs="Arial" w:eastAsia="Arial" w:hAnsi="Arial"/>
                <w:sz w:val="21"/>
                <w:szCs w:val="21"/>
                <w:color w:val="auto"/>
                <w:vertAlign w:val="subscript"/>
              </w:rPr>
              <w:t>%</w:t>
            </w:r>
          </w:p>
        </w:tc>
        <w:tc>
          <w:tcPr>
            <w:tcW w:w="1040" w:type="dxa"/>
            <w:vAlign w:val="bottom"/>
            <w:gridSpan w:val="2"/>
            <w:shd w:val="clear" w:color="auto" w:fill="CFF0FC"/>
          </w:tcPr>
          <w:p>
            <w:pPr>
              <w:jc w:val="right"/>
              <w:ind w:right="100"/>
              <w:spacing w:after="0" w:line="185" w:lineRule="exact"/>
              <w:rPr>
                <w:sz w:val="20"/>
                <w:szCs w:val="20"/>
                <w:color w:val="auto"/>
              </w:rPr>
            </w:pPr>
            <w:r>
              <w:rPr>
                <w:rFonts w:ascii="Arial" w:cs="Arial" w:eastAsia="Arial" w:hAnsi="Arial"/>
                <w:sz w:val="11"/>
                <w:szCs w:val="11"/>
                <w:color w:val="auto"/>
              </w:rPr>
              <w:t xml:space="preserve">48.9 </w:t>
            </w:r>
            <w:r>
              <w:rPr>
                <w:rFonts w:ascii="Arial" w:cs="Arial" w:eastAsia="Arial" w:hAnsi="Arial"/>
                <w:sz w:val="21"/>
                <w:szCs w:val="21"/>
                <w:color w:val="auto"/>
                <w:vertAlign w:val="subscript"/>
              </w:rPr>
              <w:t>%</w:t>
            </w:r>
          </w:p>
        </w:tc>
        <w:tc>
          <w:tcPr>
            <w:tcW w:w="1140" w:type="dxa"/>
            <w:vAlign w:val="bottom"/>
            <w:gridSpan w:val="2"/>
            <w:shd w:val="clear" w:color="auto" w:fill="CFF0FC"/>
          </w:tcPr>
          <w:p>
            <w:pPr>
              <w:jc w:val="right"/>
              <w:ind w:right="140"/>
              <w:spacing w:after="0" w:line="185" w:lineRule="exact"/>
              <w:rPr>
                <w:sz w:val="20"/>
                <w:szCs w:val="20"/>
                <w:color w:val="auto"/>
              </w:rPr>
            </w:pPr>
            <w:r>
              <w:rPr>
                <w:rFonts w:ascii="Arial" w:cs="Arial" w:eastAsia="Arial" w:hAnsi="Arial"/>
                <w:sz w:val="11"/>
                <w:szCs w:val="11"/>
                <w:color w:val="auto"/>
              </w:rPr>
              <w:t xml:space="preserve">55.5 </w:t>
            </w:r>
            <w:r>
              <w:rPr>
                <w:rFonts w:ascii="Arial" w:cs="Arial" w:eastAsia="Arial" w:hAnsi="Arial"/>
                <w:sz w:val="21"/>
                <w:szCs w:val="21"/>
                <w:color w:val="auto"/>
                <w:vertAlign w:val="subscript"/>
              </w:rPr>
              <w:t>%</w:t>
            </w:r>
          </w:p>
        </w:tc>
        <w:tc>
          <w:tcPr>
            <w:tcW w:w="1080" w:type="dxa"/>
            <w:vAlign w:val="bottom"/>
            <w:gridSpan w:val="2"/>
            <w:shd w:val="clear" w:color="auto" w:fill="CFF0FC"/>
          </w:tcPr>
          <w:p>
            <w:pPr>
              <w:jc w:val="right"/>
              <w:ind w:right="140"/>
              <w:spacing w:after="0" w:line="185" w:lineRule="exact"/>
              <w:rPr>
                <w:sz w:val="20"/>
                <w:szCs w:val="20"/>
                <w:color w:val="auto"/>
              </w:rPr>
            </w:pPr>
            <w:r>
              <w:rPr>
                <w:rFonts w:ascii="Arial" w:cs="Arial" w:eastAsia="Arial" w:hAnsi="Arial"/>
                <w:sz w:val="11"/>
                <w:szCs w:val="11"/>
                <w:color w:val="auto"/>
              </w:rPr>
              <w:t xml:space="preserve">53.3 </w:t>
            </w:r>
            <w:r>
              <w:rPr>
                <w:rFonts w:ascii="Arial" w:cs="Arial" w:eastAsia="Arial" w:hAnsi="Arial"/>
                <w:sz w:val="21"/>
                <w:szCs w:val="21"/>
                <w:color w:val="auto"/>
                <w:vertAlign w:val="subscript"/>
              </w:rPr>
              <w:t>%</w:t>
            </w:r>
          </w:p>
        </w:tc>
        <w:tc>
          <w:tcPr>
            <w:tcW w:w="1060" w:type="dxa"/>
            <w:vAlign w:val="bottom"/>
            <w:gridSpan w:val="2"/>
            <w:shd w:val="clear" w:color="auto" w:fill="CFF0FC"/>
          </w:tcPr>
          <w:p>
            <w:pPr>
              <w:jc w:val="right"/>
              <w:ind w:right="120"/>
              <w:spacing w:after="0" w:line="185" w:lineRule="exact"/>
              <w:rPr>
                <w:sz w:val="20"/>
                <w:szCs w:val="20"/>
                <w:color w:val="auto"/>
              </w:rPr>
            </w:pPr>
            <w:r>
              <w:rPr>
                <w:rFonts w:ascii="Arial" w:cs="Arial" w:eastAsia="Arial" w:hAnsi="Arial"/>
                <w:sz w:val="11"/>
                <w:szCs w:val="11"/>
                <w:color w:val="auto"/>
              </w:rPr>
              <w:t xml:space="preserve">53.6 </w:t>
            </w:r>
            <w:r>
              <w:rPr>
                <w:rFonts w:ascii="Arial" w:cs="Arial" w:eastAsia="Arial" w:hAnsi="Arial"/>
                <w:sz w:val="21"/>
                <w:szCs w:val="21"/>
                <w:color w:val="auto"/>
                <w:vertAlign w:val="subscript"/>
              </w:rPr>
              <w:t>%</w:t>
            </w:r>
          </w:p>
        </w:tc>
        <w:tc>
          <w:tcPr>
            <w:tcW w:w="1040" w:type="dxa"/>
            <w:vAlign w:val="bottom"/>
            <w:gridSpan w:val="2"/>
            <w:shd w:val="clear" w:color="auto" w:fill="CFF0FC"/>
          </w:tcPr>
          <w:p>
            <w:pPr>
              <w:jc w:val="right"/>
              <w:ind w:right="120"/>
              <w:spacing w:after="0" w:line="185" w:lineRule="exact"/>
              <w:rPr>
                <w:sz w:val="20"/>
                <w:szCs w:val="20"/>
                <w:color w:val="auto"/>
              </w:rPr>
            </w:pPr>
            <w:r>
              <w:rPr>
                <w:rFonts w:ascii="Arial" w:cs="Arial" w:eastAsia="Arial" w:hAnsi="Arial"/>
                <w:sz w:val="11"/>
                <w:szCs w:val="11"/>
                <w:color w:val="auto"/>
              </w:rPr>
              <w:t xml:space="preserve">58.3 </w:t>
            </w:r>
            <w:r>
              <w:rPr>
                <w:rFonts w:ascii="Arial" w:cs="Arial" w:eastAsia="Arial" w:hAnsi="Arial"/>
                <w:sz w:val="21"/>
                <w:szCs w:val="21"/>
                <w:color w:val="auto"/>
                <w:vertAlign w:val="subscript"/>
              </w:rPr>
              <w:t>%</w:t>
            </w:r>
          </w:p>
        </w:tc>
        <w:tc>
          <w:tcPr>
            <w:tcW w:w="1140" w:type="dxa"/>
            <w:vAlign w:val="bottom"/>
            <w:gridSpan w:val="2"/>
            <w:shd w:val="clear" w:color="auto" w:fill="CFF0FC"/>
          </w:tcPr>
          <w:p>
            <w:pPr>
              <w:jc w:val="right"/>
              <w:ind w:right="180"/>
              <w:spacing w:after="0" w:line="185" w:lineRule="exact"/>
              <w:rPr>
                <w:sz w:val="20"/>
                <w:szCs w:val="20"/>
                <w:color w:val="auto"/>
              </w:rPr>
            </w:pPr>
            <w:r>
              <w:rPr>
                <w:rFonts w:ascii="Arial" w:cs="Arial" w:eastAsia="Arial" w:hAnsi="Arial"/>
                <w:sz w:val="11"/>
                <w:szCs w:val="11"/>
                <w:color w:val="auto"/>
              </w:rPr>
              <w:t xml:space="preserve">64.9 </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56"/>
        </w:trPr>
        <w:tc>
          <w:tcPr>
            <w:tcW w:w="30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i w:val="1"/>
                <w:iCs w:val="1"/>
                <w:color w:val="auto"/>
              </w:rPr>
              <w:t>In millions, except per share</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Average balances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assets (c)</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205,791</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204,376</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202,599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198,592</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201,131</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208,865</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151,648</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Total tangible assets (c)</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197,199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195,764</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193,957</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189,934</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192,450</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200,170</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147,053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Earning assets</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187,403</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185,936</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184,069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179,914</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182,382</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189,755</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138,624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27,993</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28,623</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27,622</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25,297</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23,945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22,384</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Loans and leases, net of unearned discount</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132,617</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133,545</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132,012</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129,406</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127,525</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127,599</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92,159</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162,688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159,399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161,537</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163,468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167,271</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174,683</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128,055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Borrowings</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12,585</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15,055</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11,505</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5,385</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4,194</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4,408</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3,498</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Common shareholders’ equity (c)</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24,009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23,674</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23,366</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23,335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23,654</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24,079</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16,144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Tangible common shareholders’ equity (c)</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15,417</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14,724</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14,677</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14,973</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15,384</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11,549</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At end of quarter</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assets (c)</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209,124</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207,672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202,956</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200,730</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197,955</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204,033</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149,864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Total tangible assets (c)</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200,538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199,074</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194,321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192,082</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189,281</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195,344</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145,269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Earning assets</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189,942</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188,504</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183,853</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181,855</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178,351</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185,109</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137,237</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27,336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27,916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28,443</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25,211</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24,604</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22,802</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9,357</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Loans and leases, net of unearned discount</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132,355</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133,344</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132,938</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131,564</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128,226</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128,486</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91,808</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164,128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162,058</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159,075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163,515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163,845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170,358</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126,319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Borrowings</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13,854</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15,325</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14,458</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4,377</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4,137</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Common shareholders’ equity (c)</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24,186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23,790</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23,366</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23,307</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23,245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23,784</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16,126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Tangible common shareholders’ equity (c)</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15,600</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15,192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14,731</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14,659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14,571</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15,095</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11,531</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Arial" w:cs="Arial" w:eastAsia="Arial" w:hAnsi="Arial"/>
                <w:sz w:val="13"/>
                <w:szCs w:val="13"/>
                <w:color w:val="auto"/>
              </w:rPr>
              <w:t>Equity per common share</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145.72</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143.41</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140.88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137.68</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134.45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135.16</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124.93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Tangible equity per common share</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93.99</w:t>
            </w: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91.58</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88.81</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86.59</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84.28</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85.78</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89.33</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20"/>
        <w:spacing w:after="0" w:line="303" w:lineRule="auto"/>
        <w:rPr>
          <w:sz w:val="20"/>
          <w:szCs w:val="20"/>
          <w:color w:val="auto"/>
        </w:rPr>
      </w:pPr>
      <w:r>
        <w:rPr>
          <w:rFonts w:ascii="Arial" w:cs="Arial" w:eastAsia="Arial" w:hAnsi="Arial"/>
          <w:sz w:val="12"/>
          <w:szCs w:val="12"/>
          <w:i w:val="1"/>
          <w:iCs w:val="1"/>
          <w:color w:val="auto"/>
        </w:rPr>
        <w:t>(a)Excludes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 (b)Excludes impact of merger-related expenses and net securities transactions.</w:t>
      </w:r>
    </w:p>
    <w:p>
      <w:pPr>
        <w:spacing w:after="0" w:line="120"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i w:val="1"/>
          <w:iCs w:val="1"/>
          <w:color w:val="auto"/>
        </w:rPr>
        <w:t>(c)The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ind w:left="360"/>
              <w:spacing w:after="0"/>
              <w:rPr>
                <w:sz w:val="20"/>
                <w:szCs w:val="20"/>
                <w:color w:val="auto"/>
              </w:rPr>
            </w:pPr>
            <w:r>
              <w:rPr>
                <w:rFonts w:ascii="Arial" w:cs="Arial" w:eastAsia="Arial" w:hAnsi="Arial"/>
                <w:sz w:val="18"/>
                <w:szCs w:val="18"/>
                <w:color w:val="auto"/>
                <w:w w:val="99"/>
              </w:rPr>
              <w:t>Table 2</w:t>
            </w:r>
          </w:p>
        </w:tc>
        <w:tc>
          <w:tcPr>
            <w:tcW w:w="0" w:type="dxa"/>
            <w:vAlign w:val="bottom"/>
          </w:tcPr>
          <w:p>
            <w:pPr>
              <w:spacing w:after="0"/>
              <w:rPr>
                <w:sz w:val="1"/>
                <w:szCs w:val="1"/>
                <w:color w:val="auto"/>
              </w:rPr>
            </w:pPr>
          </w:p>
        </w:tc>
      </w:tr>
      <w:tr>
        <w:trPr>
          <w:trHeight w:val="300"/>
        </w:trPr>
        <w:tc>
          <w:tcPr>
            <w:tcW w:w="6420" w:type="dxa"/>
            <w:vAlign w:val="bottom"/>
            <w:gridSpan w:val="8"/>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2023 Quarters</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800"/>
              <w:spacing w:after="0"/>
              <w:rPr>
                <w:sz w:val="20"/>
                <w:szCs w:val="20"/>
                <w:color w:val="auto"/>
              </w:rPr>
            </w:pPr>
            <w:r>
              <w:rPr>
                <w:rFonts w:ascii="Arial" w:cs="Arial" w:eastAsia="Arial" w:hAnsi="Arial"/>
                <w:sz w:val="11"/>
                <w:szCs w:val="11"/>
                <w:b w:val="1"/>
                <w:bCs w:val="1"/>
                <w:color w:val="auto"/>
              </w:rPr>
              <w:t>2022 Quarters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Third</w:t>
            </w:r>
          </w:p>
        </w:tc>
        <w:tc>
          <w:tcPr>
            <w:tcW w:w="110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Second</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First</w:t>
            </w:r>
          </w:p>
        </w:tc>
        <w:tc>
          <w:tcPr>
            <w:tcW w:w="10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Fourth</w:t>
            </w:r>
          </w:p>
        </w:tc>
        <w:tc>
          <w:tcPr>
            <w:tcW w:w="10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Third</w:t>
            </w:r>
          </w:p>
        </w:tc>
        <w:tc>
          <w:tcPr>
            <w:tcW w:w="10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Second</w:t>
            </w:r>
          </w:p>
        </w:tc>
        <w:tc>
          <w:tcPr>
            <w:tcW w:w="980" w:type="dxa"/>
            <w:vAlign w:val="bottom"/>
            <w:gridSpan w:val="3"/>
          </w:tcPr>
          <w:p>
            <w:pPr>
              <w:ind w:left="320"/>
              <w:spacing w:after="0"/>
              <w:rPr>
                <w:sz w:val="20"/>
                <w:szCs w:val="20"/>
                <w:color w:val="auto"/>
              </w:rPr>
            </w:pPr>
            <w:r>
              <w:rPr>
                <w:rFonts w:ascii="Arial" w:cs="Arial" w:eastAsia="Arial" w:hAnsi="Arial"/>
                <w:sz w:val="11"/>
                <w:szCs w:val="11"/>
                <w:b w:val="1"/>
                <w:bCs w:val="1"/>
                <w:color w:val="auto"/>
              </w:rPr>
              <w:t>First</w:t>
            </w:r>
          </w:p>
        </w:tc>
        <w:tc>
          <w:tcPr>
            <w:tcW w:w="0" w:type="dxa"/>
            <w:vAlign w:val="bottom"/>
          </w:tcPr>
          <w:p>
            <w:pPr>
              <w:spacing w:after="0"/>
              <w:rPr>
                <w:sz w:val="1"/>
                <w:szCs w:val="1"/>
                <w:color w:val="auto"/>
              </w:rPr>
            </w:pPr>
          </w:p>
        </w:tc>
      </w:tr>
      <w:tr>
        <w:trPr>
          <w:trHeight w:val="142"/>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Income statement data (in thousands,</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8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except per share)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Net income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689,941</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867,034</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701,624</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765,371</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646,596</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217,522</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362,174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100"/>
              <w:spacing w:after="0"/>
              <w:rPr>
                <w:sz w:val="20"/>
                <w:szCs w:val="20"/>
                <w:color w:val="auto"/>
              </w:rPr>
            </w:pPr>
            <w:r>
              <w:rPr>
                <w:rFonts w:ascii="Arial" w:cs="Arial" w:eastAsia="Arial" w:hAnsi="Arial"/>
                <w:sz w:val="11"/>
                <w:szCs w:val="11"/>
                <w:color w:val="auto"/>
              </w:rPr>
              <w:t>intangible assets (a)</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11,627</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11,627</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13,311</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13,559</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14,141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14,138</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Merger-related expenses (a)</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33,429</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39,293</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345,962</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12,892</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Net operating income</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701,568</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878,661</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714,935</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812,359</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700,030</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577,622</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375,999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Earnings per common share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Diluted earnings per common share</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3.98</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5.05</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4.29</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3.53</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intangible assets (a)</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.07</w:t>
            </w: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.07</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.08</w:t>
            </w: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Merger-related expenses (a)</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1.94</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Diluted net operating earnings per</w:t>
            </w:r>
          </w:p>
        </w:tc>
        <w:tc>
          <w:tcPr>
            <w:tcW w:w="180" w:type="dxa"/>
            <w:vAlign w:val="bottom"/>
            <w:vMerge w:val="restart"/>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4.05</w:t>
            </w:r>
          </w:p>
        </w:tc>
        <w:tc>
          <w:tcPr>
            <w:tcW w:w="2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5.12</w:t>
            </w:r>
          </w:p>
        </w:tc>
        <w:tc>
          <w:tcPr>
            <w:tcW w:w="26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4.09</w:t>
            </w: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4.57</w:t>
            </w:r>
          </w:p>
        </w:tc>
        <w:tc>
          <w:tcPr>
            <w:tcW w:w="2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3.83</w:t>
            </w:r>
          </w:p>
        </w:tc>
        <w:tc>
          <w:tcPr>
            <w:tcW w:w="2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3.10</w:t>
            </w:r>
          </w:p>
        </w:tc>
        <w:tc>
          <w:tcPr>
            <w:tcW w:w="2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2.73</w:t>
            </w:r>
          </w:p>
        </w:tc>
        <w:tc>
          <w:tcPr>
            <w:tcW w:w="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80" w:type="dxa"/>
            <w:vAlign w:val="bottom"/>
            <w:tcBorders>
              <w:bottom w:val="single" w:sz="8" w:color="CFF0FC"/>
            </w:tcBorders>
            <w:shd w:val="clear" w:color="auto" w:fill="CFF0FC"/>
          </w:tcPr>
          <w:p>
            <w:pPr>
              <w:ind w:left="200"/>
              <w:spacing w:after="0" w:line="86" w:lineRule="exact"/>
              <w:rPr>
                <w:sz w:val="20"/>
                <w:szCs w:val="20"/>
                <w:color w:val="auto"/>
              </w:rPr>
            </w:pPr>
            <w:r>
              <w:rPr>
                <w:rFonts w:ascii="Arial" w:cs="Arial" w:eastAsia="Arial" w:hAnsi="Arial"/>
                <w:sz w:val="9"/>
                <w:szCs w:val="9"/>
                <w:color w:val="auto"/>
              </w:rPr>
              <w:t>common share</w:t>
            </w: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Other expense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expense</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1,277,538</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1,292,559</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1,359,230</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1,408,288</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1,279,253</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1,403,154</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959,741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80" w:type="dxa"/>
            <w:vAlign w:val="bottom"/>
          </w:tcPr>
          <w:p>
            <w:pPr>
              <w:ind w:left="20"/>
              <w:spacing w:after="0"/>
              <w:rPr>
                <w:sz w:val="20"/>
                <w:szCs w:val="20"/>
                <w:color w:val="auto"/>
              </w:rPr>
            </w:pPr>
            <w:r>
              <w:rPr>
                <w:rFonts w:ascii="Arial" w:cs="Arial" w:eastAsia="Arial" w:hAnsi="Arial"/>
                <w:sz w:val="11"/>
                <w:szCs w:val="11"/>
                <w:color w:val="auto"/>
              </w:rPr>
              <w:t>Amortization of core deposit and other</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100"/>
              <w:spacing w:after="0"/>
              <w:rPr>
                <w:sz w:val="20"/>
                <w:szCs w:val="20"/>
                <w:color w:val="auto"/>
              </w:rPr>
            </w:pPr>
            <w:r>
              <w:rPr>
                <w:rFonts w:ascii="Arial" w:cs="Arial" w:eastAsia="Arial" w:hAnsi="Arial"/>
                <w:sz w:val="11"/>
                <w:szCs w:val="11"/>
                <w:color w:val="auto"/>
              </w:rPr>
              <w:t>intangible assets</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(14,946 )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(14,945 )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(17,208 )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(17,600 )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(18,384 )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(18,384 )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(1,256 )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Merger-related expenses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(45,113 )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(53,027 )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(222,809 )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(17,372 )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Noninterest operating expense</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1,262,592</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1,277,614</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1,342,022</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1,345,575</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1,207,842</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1,161,961</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941,113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Merger-related expenses</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Salaries and employee benefits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3,670</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13,094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85,299</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Equipment and net occupancy</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2,294</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2,106</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502</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1,807</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80" w:type="dxa"/>
            <w:vAlign w:val="bottom"/>
          </w:tcPr>
          <w:p>
            <w:pPr>
              <w:ind w:left="20"/>
              <w:spacing w:after="0"/>
              <w:rPr>
                <w:sz w:val="20"/>
                <w:szCs w:val="20"/>
                <w:color w:val="auto"/>
              </w:rPr>
            </w:pPr>
            <w:r>
              <w:rPr>
                <w:rFonts w:ascii="Arial" w:cs="Arial" w:eastAsia="Arial" w:hAnsi="Arial"/>
                <w:sz w:val="11"/>
                <w:szCs w:val="11"/>
                <w:color w:val="auto"/>
              </w:rPr>
              <w:t>Outside data processing and software</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2,193</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2,277</w:t>
            </w: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716</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Advertising and marketing</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5,258</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2,177</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1,199</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Printing, postage and supplies</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2,953</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651</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2,460</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costs of operations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28,745</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32,722</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132,633</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13,876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Other expense</w:t>
            </w:r>
          </w:p>
        </w:tc>
        <w:tc>
          <w:tcPr>
            <w:tcW w:w="1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45,113</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53,027</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222,809</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17,372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Provision for credit losses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242,000</w:t>
            </w:r>
          </w:p>
        </w:tc>
        <w:tc>
          <w:tcPr>
            <w:tcW w:w="24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Total</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45,113</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53,027</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464,809</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17,372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Efficiency ratio</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Noninterest operating expense (numerator)</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1,262,592</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1,277,614</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1,342,022</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1,345,575</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1,207,842</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1,161,961</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941,113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Taxable-equivalent net interest income</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1,789,723</w:t>
            </w: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1,813,015</w:t>
            </w: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1,831,726</w:t>
            </w: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1,840,759</w:t>
            </w: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1,690,518</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1,422,443</w:t>
            </w: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907,408</w:t>
            </w: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559,581</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803,171</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587,133</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681,537</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563,079</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571,100</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540,887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Less: Gain (loss) on bank investment securities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(235 )</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1,004</w:t>
            </w: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(416 )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(3,773 )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(1,108 )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(62 )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(743 )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Denominator</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2,349,539</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2,615,182</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2,419,275</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2,526,069</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2,254,705</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1,993,605</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1,449,038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Efficiency ratio</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line="134" w:lineRule="exact"/>
              <w:rPr>
                <w:sz w:val="20"/>
                <w:szCs w:val="20"/>
                <w:color w:val="auto"/>
              </w:rPr>
            </w:pPr>
            <w:r>
              <w:rPr>
                <w:rFonts w:ascii="Arial" w:cs="Arial" w:eastAsia="Arial" w:hAnsi="Arial"/>
                <w:sz w:val="9"/>
                <w:szCs w:val="9"/>
                <w:color w:val="auto"/>
              </w:rPr>
              <w:t xml:space="preserve">53.7 </w:t>
            </w:r>
            <w:r>
              <w:rPr>
                <w:rFonts w:ascii="Arial" w:cs="Arial" w:eastAsia="Arial" w:hAnsi="Arial"/>
                <w:sz w:val="15"/>
                <w:szCs w:val="15"/>
                <w:color w:val="auto"/>
                <w:vertAlign w:val="subscript"/>
              </w:rPr>
              <w:t>%</w:t>
            </w:r>
          </w:p>
        </w:tc>
        <w:tc>
          <w:tcPr>
            <w:tcW w:w="1100" w:type="dxa"/>
            <w:vAlign w:val="bottom"/>
            <w:gridSpan w:val="2"/>
            <w:shd w:val="clear" w:color="auto" w:fill="CFF0FC"/>
          </w:tcPr>
          <w:p>
            <w:pPr>
              <w:jc w:val="right"/>
              <w:ind w:right="160"/>
              <w:spacing w:after="0" w:line="134" w:lineRule="exact"/>
              <w:rPr>
                <w:sz w:val="20"/>
                <w:szCs w:val="20"/>
                <w:color w:val="auto"/>
              </w:rPr>
            </w:pPr>
            <w:r>
              <w:rPr>
                <w:rFonts w:ascii="Arial" w:cs="Arial" w:eastAsia="Arial" w:hAnsi="Arial"/>
                <w:sz w:val="9"/>
                <w:szCs w:val="9"/>
                <w:color w:val="auto"/>
              </w:rPr>
              <w:t xml:space="preserve">48.9 </w:t>
            </w:r>
            <w:r>
              <w:rPr>
                <w:rFonts w:ascii="Arial" w:cs="Arial" w:eastAsia="Arial" w:hAnsi="Arial"/>
                <w:sz w:val="15"/>
                <w:szCs w:val="15"/>
                <w:color w:val="auto"/>
                <w:vertAlign w:val="subscript"/>
              </w:rPr>
              <w:t>%</w:t>
            </w:r>
          </w:p>
        </w:tc>
        <w:tc>
          <w:tcPr>
            <w:tcW w:w="114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9"/>
                <w:szCs w:val="9"/>
                <w:color w:val="auto"/>
              </w:rPr>
              <w:t xml:space="preserve">55.5 </w:t>
            </w:r>
            <w:r>
              <w:rPr>
                <w:rFonts w:ascii="Arial" w:cs="Arial" w:eastAsia="Arial" w:hAnsi="Arial"/>
                <w:sz w:val="15"/>
                <w:szCs w:val="15"/>
                <w:color w:val="auto"/>
                <w:vertAlign w:val="subscript"/>
              </w:rPr>
              <w:t>%</w:t>
            </w:r>
          </w:p>
        </w:tc>
        <w:tc>
          <w:tcPr>
            <w:tcW w:w="1080" w:type="dxa"/>
            <w:vAlign w:val="bottom"/>
            <w:gridSpan w:val="2"/>
            <w:shd w:val="clear" w:color="auto" w:fill="CFF0FC"/>
          </w:tcPr>
          <w:p>
            <w:pPr>
              <w:jc w:val="right"/>
              <w:ind w:right="160"/>
              <w:spacing w:after="0" w:line="134" w:lineRule="exact"/>
              <w:rPr>
                <w:sz w:val="20"/>
                <w:szCs w:val="20"/>
                <w:color w:val="auto"/>
              </w:rPr>
            </w:pPr>
            <w:r>
              <w:rPr>
                <w:rFonts w:ascii="Arial" w:cs="Arial" w:eastAsia="Arial" w:hAnsi="Arial"/>
                <w:sz w:val="9"/>
                <w:szCs w:val="9"/>
                <w:color w:val="auto"/>
              </w:rPr>
              <w:t xml:space="preserve">53.3 </w:t>
            </w:r>
            <w:r>
              <w:rPr>
                <w:rFonts w:ascii="Arial" w:cs="Arial" w:eastAsia="Arial" w:hAnsi="Arial"/>
                <w:sz w:val="15"/>
                <w:szCs w:val="15"/>
                <w:color w:val="auto"/>
                <w:vertAlign w:val="subscript"/>
              </w:rPr>
              <w:t>%</w:t>
            </w:r>
          </w:p>
        </w:tc>
        <w:tc>
          <w:tcPr>
            <w:tcW w:w="10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9"/>
                <w:szCs w:val="9"/>
                <w:color w:val="auto"/>
              </w:rPr>
              <w:t xml:space="preserve">53.6 </w:t>
            </w:r>
            <w:r>
              <w:rPr>
                <w:rFonts w:ascii="Arial" w:cs="Arial" w:eastAsia="Arial" w:hAnsi="Arial"/>
                <w:sz w:val="15"/>
                <w:szCs w:val="15"/>
                <w:color w:val="auto"/>
                <w:vertAlign w:val="subscript"/>
              </w:rPr>
              <w:t>%</w:t>
            </w:r>
          </w:p>
        </w:tc>
        <w:tc>
          <w:tcPr>
            <w:tcW w:w="10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9"/>
                <w:szCs w:val="9"/>
                <w:color w:val="auto"/>
              </w:rPr>
              <w:t xml:space="preserve">58.3 </w:t>
            </w:r>
            <w:r>
              <w:rPr>
                <w:rFonts w:ascii="Arial" w:cs="Arial" w:eastAsia="Arial" w:hAnsi="Arial"/>
                <w:sz w:val="15"/>
                <w:szCs w:val="15"/>
                <w:color w:val="auto"/>
                <w:vertAlign w:val="subscript"/>
              </w:rPr>
              <w:t>%</w:t>
            </w:r>
          </w:p>
        </w:tc>
        <w:tc>
          <w:tcPr>
            <w:tcW w:w="96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9"/>
                <w:szCs w:val="9"/>
                <w:color w:val="auto"/>
              </w:rPr>
              <w:t xml:space="preserve">64.9 </w:t>
            </w:r>
            <w:r>
              <w:rPr>
                <w:rFonts w:ascii="Arial" w:cs="Arial" w:eastAsia="Arial" w:hAnsi="Arial"/>
                <w:sz w:val="15"/>
                <w:szCs w:val="15"/>
                <w:color w:val="auto"/>
                <w:vertAlign w:val="subscript"/>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8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Balance sheet data (in millions)</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Average assets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Average assets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205,791</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204,376</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202,599</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198,592</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201,131</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208,865</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151,648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Goodwill</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(8,465 )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(8,473 )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(8,490 )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(8,494 )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(8,501 )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(8,501 )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(170 )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(185 )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(201 )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(218 )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(236 )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(254 )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Deferred taxes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Average tangible assets</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197,199</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195,764</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193,957</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189,934</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192,450</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200,170</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147,053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Average common equity</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Average total equity</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26,020</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25,685</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25,377</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25,346</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25,665</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26,090</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17,894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 stock</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(2,011 )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(2,011 )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(2,011 )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(2,011 )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(2,011 )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(2,011 )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(1,750 )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Average common equity</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24,009</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23,674</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23,366</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23,335</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23,654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24,079</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16,144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Goodwill</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(8,465 )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(8,473 )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(8,490 )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(8,494 )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(8,501 )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(8,501 )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(170 )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(185 )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(201 )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(218 )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(236 )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(254 )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Deferred taxes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1"/>
                <w:szCs w:val="11"/>
                <w:color w:val="auto"/>
              </w:rPr>
              <w:t>Average tangible common equity</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15,417</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15,062</w:t>
            </w: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14,724</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14,677</w:t>
            </w: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14,973</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15,384</w:t>
            </w:r>
          </w:p>
        </w:tc>
        <w:tc>
          <w:tcPr>
            <w:tcW w:w="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11,549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At end of quarter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assets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assets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209,124</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207,672</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202,956</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200,730</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197,955</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204,033</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149,864</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(8,465 )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(8,465 )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(8,490 )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(8,490 )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(8,501 )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(8,501 )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(162 )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(177 )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(192 )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(209 )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(227 )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(245 )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Deferred taxes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Total tangible assets</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200,538</w:t>
            </w:r>
          </w:p>
        </w:tc>
        <w:tc>
          <w:tcPr>
            <w:tcW w:w="2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199,074</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194,321</w:t>
            </w:r>
          </w:p>
        </w:tc>
        <w:tc>
          <w:tcPr>
            <w:tcW w:w="2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192,082</w:t>
            </w:r>
          </w:p>
        </w:tc>
        <w:tc>
          <w:tcPr>
            <w:tcW w:w="2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189,281</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195,344</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145,269</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Total equity</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26,197</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25,801</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25,377</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25,318</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25,256</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25,795</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17,876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Preferred stock</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(2,011 )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(2,011 )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(2,011 )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(2,011 )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(2,011 )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(2,011 )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(1,750 )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Common equity</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24,186</w:t>
            </w: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23,790</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23,366</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23,307</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23,245</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23,784</w:t>
            </w: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16,126</w:t>
            </w:r>
          </w:p>
        </w:tc>
        <w:tc>
          <w:tcPr>
            <w:tcW w:w="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(8,465 )</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(8,465 )</w:t>
            </w:r>
          </w:p>
        </w:tc>
        <w:tc>
          <w:tcPr>
            <w:tcW w:w="1140" w:type="dxa"/>
            <w:vAlign w:val="bottom"/>
            <w:gridSpan w:val="2"/>
          </w:tcPr>
          <w:p>
            <w:pPr>
              <w:jc w:val="right"/>
              <w:ind w:right="200"/>
              <w:spacing w:after="0"/>
              <w:rPr>
                <w:sz w:val="20"/>
                <w:szCs w:val="20"/>
                <w:color w:val="auto"/>
              </w:rPr>
            </w:pPr>
            <w:r>
              <w:rPr>
                <w:rFonts w:ascii="Arial" w:cs="Arial" w:eastAsia="Arial" w:hAnsi="Arial"/>
                <w:sz w:val="11"/>
                <w:szCs w:val="11"/>
                <w:color w:val="auto"/>
              </w:rPr>
              <w:t>(8,490 )</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(8,490 )</w:t>
            </w: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(8,501 )</w:t>
            </w:r>
          </w:p>
        </w:tc>
        <w:tc>
          <w:tcPr>
            <w:tcW w:w="1040" w:type="dxa"/>
            <w:vAlign w:val="bottom"/>
            <w:gridSpan w:val="2"/>
          </w:tcPr>
          <w:p>
            <w:pPr>
              <w:jc w:val="right"/>
              <w:ind w:right="180"/>
              <w:spacing w:after="0"/>
              <w:rPr>
                <w:sz w:val="20"/>
                <w:szCs w:val="20"/>
                <w:color w:val="auto"/>
              </w:rPr>
            </w:pPr>
            <w:r>
              <w:rPr>
                <w:rFonts w:ascii="Arial" w:cs="Arial" w:eastAsia="Arial" w:hAnsi="Arial"/>
                <w:sz w:val="11"/>
                <w:szCs w:val="11"/>
                <w:color w:val="auto"/>
              </w:rPr>
              <w:t>(8,501 )</w:t>
            </w: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(4,593 )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Core deposit and other intangible assets</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(162 )</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(177 )</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(192 )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(209 )</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(227 )</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(245 )</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20"/>
              <w:spacing w:after="0"/>
              <w:rPr>
                <w:sz w:val="20"/>
                <w:szCs w:val="20"/>
                <w:color w:val="auto"/>
              </w:rPr>
            </w:pPr>
            <w:r>
              <w:rPr>
                <w:rFonts w:ascii="Arial" w:cs="Arial" w:eastAsia="Arial" w:hAnsi="Arial"/>
                <w:sz w:val="11"/>
                <w:szCs w:val="11"/>
                <w:color w:val="auto"/>
              </w:rPr>
              <w:t>Deferred taxes</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w:t>
            </w: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Total tangible common equity</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15,600</w:t>
            </w:r>
          </w:p>
        </w:tc>
        <w:tc>
          <w:tcPr>
            <w:tcW w:w="2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15,192</w:t>
            </w: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14,731</w:t>
            </w:r>
          </w:p>
        </w:tc>
        <w:tc>
          <w:tcPr>
            <w:tcW w:w="2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14,659</w:t>
            </w:r>
          </w:p>
        </w:tc>
        <w:tc>
          <w:tcPr>
            <w:tcW w:w="2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14,571</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15,095</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11,531</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(a)After any related tax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3" w:right="660"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t>M&amp;T BANK CORPORATION AND SUBSIDIARIES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300"/>
        </w:trPr>
        <w:tc>
          <w:tcPr>
            <w:tcW w:w="6980" w:type="dxa"/>
            <w:vAlign w:val="bottom"/>
            <w:gridSpan w:val="13"/>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5"/>
          </w:tcPr>
          <w:p>
            <w:pPr>
              <w:spacing w:after="0"/>
              <w:rPr>
                <w:sz w:val="20"/>
                <w:szCs w:val="20"/>
                <w:color w:val="auto"/>
              </w:rPr>
            </w:pPr>
            <w:r>
              <w:rPr>
                <w:rFonts w:ascii="Arial" w:cs="Arial" w:eastAsia="Arial" w:hAnsi="Arial"/>
                <w:sz w:val="11"/>
                <w:szCs w:val="11"/>
                <w:b w:val="1"/>
                <w:bCs w:val="1"/>
                <w:color w:val="auto"/>
                <w:w w:val="96"/>
              </w:rPr>
              <w:t>2023 Third Quarter</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7"/>
          </w:tcPr>
          <w:p>
            <w:pPr>
              <w:jc w:val="right"/>
              <w:ind w:right="660"/>
              <w:spacing w:after="0"/>
              <w:rPr>
                <w:sz w:val="20"/>
                <w:szCs w:val="20"/>
                <w:color w:val="auto"/>
              </w:rPr>
            </w:pPr>
            <w:r>
              <w:rPr>
                <w:rFonts w:ascii="Arial" w:cs="Arial" w:eastAsia="Arial" w:hAnsi="Arial"/>
                <w:sz w:val="11"/>
                <w:szCs w:val="11"/>
                <w:b w:val="1"/>
                <w:bCs w:val="1"/>
                <w:color w:val="auto"/>
              </w:rPr>
              <w:t>2023 Second Quarter</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6"/>
          </w:tcPr>
          <w:p>
            <w:pPr>
              <w:jc w:val="right"/>
              <w:ind w:right="700"/>
              <w:spacing w:after="0"/>
              <w:rPr>
                <w:sz w:val="20"/>
                <w:szCs w:val="20"/>
                <w:color w:val="auto"/>
              </w:rPr>
            </w:pPr>
            <w:r>
              <w:rPr>
                <w:rFonts w:ascii="Arial" w:cs="Arial" w:eastAsia="Arial" w:hAnsi="Arial"/>
                <w:sz w:val="11"/>
                <w:szCs w:val="11"/>
                <w:b w:val="1"/>
                <w:bCs w:val="1"/>
                <w:color w:val="auto"/>
                <w:w w:val="95"/>
              </w:rPr>
              <w:t>2023 First Quarter</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Average</w:t>
            </w:r>
          </w:p>
        </w:tc>
        <w:tc>
          <w:tcPr>
            <w:tcW w:w="72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Average</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52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Balance</w:t>
            </w:r>
          </w:p>
        </w:tc>
        <w:tc>
          <w:tcPr>
            <w:tcW w:w="200" w:type="dxa"/>
            <w:vAlign w:val="bottom"/>
          </w:tcPr>
          <w:p>
            <w:pPr>
              <w:spacing w:after="0"/>
              <w:rPr>
                <w:sz w:val="13"/>
                <w:szCs w:val="13"/>
                <w:color w:val="auto"/>
              </w:rPr>
            </w:pPr>
          </w:p>
        </w:tc>
        <w:tc>
          <w:tcPr>
            <w:tcW w:w="760" w:type="dxa"/>
            <w:vAlign w:val="bottom"/>
            <w:gridSpan w:val="4"/>
          </w:tcPr>
          <w:p>
            <w:pPr>
              <w:ind w:left="40"/>
              <w:spacing w:after="0"/>
              <w:rPr>
                <w:sz w:val="20"/>
                <w:szCs w:val="20"/>
                <w:color w:val="auto"/>
              </w:rPr>
            </w:pPr>
            <w:r>
              <w:rPr>
                <w:rFonts w:ascii="Arial" w:cs="Arial" w:eastAsia="Arial" w:hAnsi="Arial"/>
                <w:sz w:val="11"/>
                <w:szCs w:val="11"/>
                <w:b w:val="1"/>
                <w:bCs w:val="1"/>
                <w:color w:val="auto"/>
              </w:rPr>
              <w:t>Interest</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Rate</w:t>
            </w:r>
          </w:p>
        </w:tc>
        <w:tc>
          <w:tcPr>
            <w:tcW w:w="72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Balance</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rPr>
              <w:t>Interest</w:t>
            </w:r>
          </w:p>
        </w:tc>
        <w:tc>
          <w:tcPr>
            <w:tcW w:w="22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Rate</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rPr>
              <w:t>Balance</w:t>
            </w:r>
          </w:p>
        </w:tc>
        <w:tc>
          <w:tcPr>
            <w:tcW w:w="20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Interest</w:t>
            </w:r>
          </w:p>
        </w:tc>
        <w:tc>
          <w:tcPr>
            <w:tcW w:w="1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56"/>
        </w:trPr>
        <w:tc>
          <w:tcPr>
            <w:tcW w:w="414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Average balance in millions; interest in thousands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40" w:type="dxa"/>
            <w:vAlign w:val="bottom"/>
            <w:gridSpan w:val="2"/>
          </w:tcPr>
          <w:p>
            <w:pPr>
              <w:ind w:left="20"/>
              <w:spacing w:after="0"/>
              <w:rPr>
                <w:sz w:val="20"/>
                <w:szCs w:val="20"/>
                <w:color w:val="auto"/>
              </w:rPr>
            </w:pPr>
            <w:r>
              <w:rPr>
                <w:rFonts w:ascii="Arial" w:cs="Arial" w:eastAsia="Arial" w:hAnsi="Arial"/>
                <w:sz w:val="11"/>
                <w:szCs w:val="11"/>
                <w:b w:val="1"/>
                <w:bCs w:val="1"/>
                <w:color w:val="auto"/>
              </w:rPr>
              <w:t>Assets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Earning assets</w:t>
            </w: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Loans and leases, net of unearned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discount (a)</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Commercial, financial, etc.</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787,9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754,3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676,1</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FF0FC"/>
          </w:tcPr>
          <w:p>
            <w:pPr>
              <w:ind w:left="40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44,625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7.01 %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44,531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6.79 %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42,428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6.46 %</w:t>
            </w: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Real estate – commercial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724,9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710,2</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659,0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44,230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6.41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44,944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84</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45,327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99</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5.82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Real estate – consumer</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243,8</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235,1</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23,573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4.14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23,781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23,770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3.96</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Consumer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313,2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297,2</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286,5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20,189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6.16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20,289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17</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5.88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20,487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96</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5.67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Total loans and leases, net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132,61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2,005,</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1,857,</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6.19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709</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5.70</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Interest-bearing deposits at banks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362,8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302,4</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278,4</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26,657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5.40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23,617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29</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24,312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Federal funds sold and agreements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to resell securities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5.79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4.89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Trading account</w:t>
            </w:r>
          </w:p>
        </w:tc>
        <w:tc>
          <w:tcPr>
            <w:tcW w:w="400" w:type="dxa"/>
            <w:vAlign w:val="bottom"/>
          </w:tcPr>
          <w:p>
            <w:pPr>
              <w:jc w:val="right"/>
              <w:spacing w:after="0"/>
              <w:rPr>
                <w:sz w:val="20"/>
                <w:szCs w:val="20"/>
                <w:color w:val="auto"/>
              </w:rPr>
            </w:pPr>
            <w:r>
              <w:rPr>
                <w:rFonts w:ascii="Arial" w:cs="Arial" w:eastAsia="Arial" w:hAnsi="Arial"/>
                <w:sz w:val="11"/>
                <w:szCs w:val="11"/>
                <w:color w:val="auto"/>
              </w:rPr>
              <w:t>136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1,377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4.05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994</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2.66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712</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2.32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Investment securities (b)</w:t>
            </w: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U.S. Treasury and federal agencies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176,7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179,4</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166,9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24,166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2.90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24,630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23,795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2.85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Obligations of states and political subdivisions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23,60</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23,75</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3.70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Other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21,34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17,32</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13,55</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6.51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1,438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Total investment securities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204,2</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27,993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3.14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28,623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27,622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3.00</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 earning assets</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187,40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2,655,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185,93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2,529,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184,06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7"/>
              </w:rPr>
              <w:t>2,340,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734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0" w:lineRule="exact"/>
              <w:rPr>
                <w:sz w:val="20"/>
                <w:szCs w:val="20"/>
                <w:color w:val="auto"/>
              </w:rPr>
            </w:pPr>
            <w:r>
              <w:rPr>
                <w:rFonts w:ascii="Arial" w:cs="Arial" w:eastAsia="Arial" w:hAnsi="Arial"/>
                <w:sz w:val="11"/>
                <w:szCs w:val="11"/>
                <w:color w:val="auto"/>
              </w:rPr>
              <w:t>511</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447</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5.62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Allowance for credit losses</w:t>
            </w:r>
          </w:p>
        </w:tc>
        <w:tc>
          <w:tcPr>
            <w:tcW w:w="600" w:type="dxa"/>
            <w:vAlign w:val="bottom"/>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(1,998 )</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(1,985 )</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6"/>
              <w:spacing w:after="0"/>
              <w:rPr>
                <w:sz w:val="20"/>
                <w:szCs w:val="20"/>
                <w:color w:val="auto"/>
              </w:rPr>
            </w:pPr>
            <w:r>
              <w:rPr>
                <w:rFonts w:ascii="Arial" w:cs="Arial" w:eastAsia="Arial" w:hAnsi="Arial"/>
                <w:sz w:val="11"/>
                <w:szCs w:val="11"/>
                <w:color w:val="auto"/>
              </w:rPr>
              <w:t>(1,938 )</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Cash and due from banks</w:t>
            </w:r>
          </w:p>
        </w:tc>
        <w:tc>
          <w:tcPr>
            <w:tcW w:w="400" w:type="dxa"/>
            <w:vAlign w:val="bottom"/>
          </w:tcPr>
          <w:p>
            <w:pPr>
              <w:jc w:val="right"/>
              <w:spacing w:after="0"/>
              <w:rPr>
                <w:sz w:val="20"/>
                <w:szCs w:val="20"/>
                <w:color w:val="auto"/>
              </w:rPr>
            </w:pPr>
            <w:r>
              <w:rPr>
                <w:rFonts w:ascii="Arial" w:cs="Arial" w:eastAsia="Arial" w:hAnsi="Arial"/>
                <w:sz w:val="11"/>
                <w:szCs w:val="11"/>
                <w:color w:val="auto"/>
              </w:rPr>
              <w:t>1,730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1,747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1,952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Other assets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18,656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18,678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18,516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assets</w:t>
            </w:r>
          </w:p>
        </w:tc>
        <w:tc>
          <w:tcPr>
            <w:tcW w:w="400" w:type="dxa"/>
            <w:vAlign w:val="bottom"/>
          </w:tcPr>
          <w:p>
            <w:pPr>
              <w:jc w:val="right"/>
              <w:spacing w:after="0"/>
              <w:rPr>
                <w:sz w:val="20"/>
                <w:szCs w:val="20"/>
                <w:color w:val="auto"/>
              </w:rPr>
            </w:pPr>
            <w:r>
              <w:rPr>
                <w:rFonts w:ascii="Arial" w:cs="Arial" w:eastAsia="Arial" w:hAnsi="Arial"/>
                <w:sz w:val="11"/>
                <w:szCs w:val="11"/>
                <w:color w:val="auto"/>
              </w:rPr>
              <w:t>205,79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204,37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202,59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Liabilities and shareholders’ equity</w:t>
            </w: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Interest-bearing liabilities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Interest-bearing deposits</w:t>
            </w: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140"/>
              <w:spacing w:after="0"/>
              <w:rPr>
                <w:sz w:val="20"/>
                <w:szCs w:val="20"/>
                <w:color w:val="auto"/>
              </w:rPr>
            </w:pPr>
            <w:r>
              <w:rPr>
                <w:rFonts w:ascii="Arial" w:cs="Arial" w:eastAsia="Arial" w:hAnsi="Arial"/>
                <w:sz w:val="11"/>
                <w:szCs w:val="11"/>
                <w:color w:val="auto"/>
              </w:rPr>
              <w:t>Savings and interest-checking deposits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494,2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368,3</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277,0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40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89,274</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2.20</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87,210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1.69</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88,053</w:t>
            </w:r>
          </w:p>
        </w:tc>
        <w:tc>
          <w:tcPr>
            <w:tcW w:w="300" w:type="dxa"/>
            <w:vAlign w:val="bottom"/>
            <w:gridSpan w:val="2"/>
          </w:tcPr>
          <w:p>
            <w:pPr>
              <w:ind w:left="220"/>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68</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Time deposits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89,19</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19,528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4.09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16,009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11,630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3.11</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interest-bearing deposits</w:t>
            </w:r>
          </w:p>
        </w:tc>
        <w:tc>
          <w:tcPr>
            <w:tcW w:w="400" w:type="dxa"/>
            <w:vAlign w:val="bottom"/>
          </w:tcPr>
          <w:p>
            <w:pPr>
              <w:jc w:val="right"/>
              <w:spacing w:after="0"/>
              <w:rPr>
                <w:sz w:val="20"/>
                <w:szCs w:val="20"/>
                <w:color w:val="auto"/>
              </w:rPr>
            </w:pPr>
            <w:r>
              <w:rPr>
                <w:rFonts w:ascii="Arial" w:cs="Arial" w:eastAsia="Arial" w:hAnsi="Arial"/>
                <w:sz w:val="11"/>
                <w:szCs w:val="11"/>
                <w:color w:val="auto"/>
              </w:rPr>
              <w:t>108,80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695,7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103,21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518,6</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366,2</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2.54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99</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2.02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99,683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65</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Short-term borrowings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69,48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95,99</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57,77</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5,346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5.16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5.11</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4,994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4.69</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Long-term borrowings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100,7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101,8</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84,68</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7,240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5.52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7,516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01</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6,511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5.27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80"/>
              <w:spacing w:after="0"/>
              <w:rPr>
                <w:sz w:val="20"/>
                <w:szCs w:val="20"/>
                <w:color w:val="auto"/>
              </w:rPr>
            </w:pPr>
            <w:r>
              <w:rPr>
                <w:rFonts w:ascii="Arial" w:cs="Arial" w:eastAsia="Arial" w:hAnsi="Arial"/>
                <w:sz w:val="11"/>
                <w:szCs w:val="11"/>
                <w:b w:val="1"/>
                <w:bCs w:val="1"/>
                <w:color w:val="auto"/>
              </w:rPr>
              <w:t>Total interest-bearing liabilities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121,38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866,0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111,18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508,7</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2.83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1.86</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Noninterest-bearing deposits</w:t>
            </w:r>
          </w:p>
        </w:tc>
        <w:tc>
          <w:tcPr>
            <w:tcW w:w="400" w:type="dxa"/>
            <w:vAlign w:val="bottom"/>
          </w:tcPr>
          <w:p>
            <w:pPr>
              <w:jc w:val="right"/>
              <w:spacing w:after="0"/>
              <w:rPr>
                <w:sz w:val="20"/>
                <w:szCs w:val="20"/>
                <w:color w:val="auto"/>
              </w:rPr>
            </w:pPr>
            <w:r>
              <w:rPr>
                <w:rFonts w:ascii="Arial" w:cs="Arial" w:eastAsia="Arial" w:hAnsi="Arial"/>
                <w:sz w:val="11"/>
                <w:szCs w:val="11"/>
                <w:color w:val="auto"/>
              </w:rPr>
              <w:t>53,886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56,180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61,854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Other liabilities</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4,497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4,180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liabilities</w:t>
            </w:r>
          </w:p>
        </w:tc>
        <w:tc>
          <w:tcPr>
            <w:tcW w:w="400" w:type="dxa"/>
            <w:vAlign w:val="bottom"/>
          </w:tcPr>
          <w:p>
            <w:pPr>
              <w:jc w:val="right"/>
              <w:spacing w:after="0"/>
              <w:rPr>
                <w:sz w:val="20"/>
                <w:szCs w:val="20"/>
                <w:color w:val="auto"/>
              </w:rPr>
            </w:pPr>
            <w:r>
              <w:rPr>
                <w:rFonts w:ascii="Arial" w:cs="Arial" w:eastAsia="Arial" w:hAnsi="Arial"/>
                <w:sz w:val="11"/>
                <w:szCs w:val="11"/>
                <w:color w:val="auto"/>
              </w:rPr>
              <w:t>179,77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178,69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177,22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Shareholders’ equity</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26,020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25,685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25,377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40" w:type="dxa"/>
            <w:vAlign w:val="bottom"/>
            <w:gridSpan w:val="2"/>
          </w:tcPr>
          <w:p>
            <w:pPr>
              <w:ind w:left="280"/>
              <w:spacing w:after="0"/>
              <w:rPr>
                <w:sz w:val="20"/>
                <w:szCs w:val="20"/>
                <w:color w:val="auto"/>
              </w:rPr>
            </w:pPr>
            <w:r>
              <w:rPr>
                <w:rFonts w:ascii="Arial" w:cs="Arial" w:eastAsia="Arial" w:hAnsi="Arial"/>
                <w:sz w:val="11"/>
                <w:szCs w:val="11"/>
                <w:color w:val="auto"/>
              </w:rPr>
              <w:t>Total liabilities and shareholders’ equity</w:t>
            </w:r>
          </w:p>
        </w:tc>
        <w:tc>
          <w:tcPr>
            <w:tcW w:w="400" w:type="dxa"/>
            <w:vAlign w:val="bottom"/>
          </w:tcPr>
          <w:p>
            <w:pPr>
              <w:jc w:val="right"/>
              <w:spacing w:after="0"/>
              <w:rPr>
                <w:sz w:val="20"/>
                <w:szCs w:val="20"/>
                <w:color w:val="auto"/>
              </w:rPr>
            </w:pPr>
            <w:r>
              <w:rPr>
                <w:rFonts w:ascii="Arial" w:cs="Arial" w:eastAsia="Arial" w:hAnsi="Arial"/>
                <w:sz w:val="11"/>
                <w:szCs w:val="11"/>
                <w:color w:val="auto"/>
              </w:rPr>
              <w:t>205,79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204,37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202,59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interest spread</w:t>
            </w: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ind w:left="300"/>
              <w:spacing w:after="0"/>
              <w:rPr>
                <w:sz w:val="20"/>
                <w:szCs w:val="20"/>
                <w:color w:val="auto"/>
              </w:rPr>
            </w:pPr>
            <w:r>
              <w:rPr>
                <w:rFonts w:ascii="Arial" w:cs="Arial" w:eastAsia="Arial" w:hAnsi="Arial"/>
                <w:sz w:val="11"/>
                <w:szCs w:val="11"/>
                <w:color w:val="auto"/>
                <w:w w:val="93"/>
              </w:rPr>
              <w:t>2.79</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140" w:type="dxa"/>
            <w:vAlign w:val="bottom"/>
            <w:gridSpan w:val="2"/>
          </w:tcPr>
          <w:p>
            <w:pPr>
              <w:ind w:left="20"/>
              <w:spacing w:after="0"/>
              <w:rPr>
                <w:sz w:val="20"/>
                <w:szCs w:val="20"/>
                <w:color w:val="auto"/>
              </w:rPr>
            </w:pPr>
            <w:r>
              <w:rPr>
                <w:rFonts w:ascii="Arial" w:cs="Arial" w:eastAsia="Arial" w:hAnsi="Arial"/>
                <w:sz w:val="11"/>
                <w:szCs w:val="11"/>
                <w:color w:val="auto"/>
              </w:rPr>
              <w:t>Contribution of interest-free funds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00"/>
              <w:spacing w:after="0"/>
              <w:rPr>
                <w:sz w:val="20"/>
                <w:szCs w:val="20"/>
                <w:color w:val="auto"/>
              </w:rPr>
            </w:pPr>
            <w:r>
              <w:rPr>
                <w:rFonts w:ascii="Arial" w:cs="Arial" w:eastAsia="Arial" w:hAnsi="Arial"/>
                <w:sz w:val="11"/>
                <w:szCs w:val="11"/>
                <w:color w:val="auto"/>
                <w:w w:val="93"/>
              </w:rPr>
              <w:t>1.00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interest income/margin on earning assets</w:t>
            </w: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1,813,</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1,831,</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723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ind w:left="300"/>
              <w:spacing w:after="0" w:line="122" w:lineRule="exact"/>
              <w:rPr>
                <w:sz w:val="20"/>
                <w:szCs w:val="20"/>
                <w:color w:val="auto"/>
              </w:rPr>
            </w:pPr>
            <w:r>
              <w:rPr>
                <w:rFonts w:ascii="Arial" w:cs="Arial" w:eastAsia="Arial" w:hAnsi="Arial"/>
                <w:sz w:val="8"/>
                <w:szCs w:val="8"/>
                <w:color w:val="auto"/>
              </w:rPr>
              <w:t xml:space="preserve">3.79 </w:t>
            </w:r>
            <w:r>
              <w:rPr>
                <w:rFonts w:ascii="Arial" w:cs="Arial" w:eastAsia="Arial" w:hAnsi="Arial"/>
                <w:sz w:val="14"/>
                <w:szCs w:val="14"/>
                <w:color w:val="auto"/>
                <w:vertAlign w:val="subscript"/>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w w:val="97"/>
              </w:rPr>
              <w:t>$</w:t>
            </w:r>
          </w:p>
        </w:tc>
        <w:tc>
          <w:tcPr>
            <w:tcW w:w="36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015</w:t>
            </w:r>
          </w:p>
        </w:tc>
        <w:tc>
          <w:tcPr>
            <w:tcW w:w="1020" w:type="dxa"/>
            <w:vAlign w:val="bottom"/>
            <w:gridSpan w:val="3"/>
            <w:shd w:val="clear" w:color="auto" w:fill="CFF0FC"/>
          </w:tcPr>
          <w:p>
            <w:pPr>
              <w:jc w:val="right"/>
              <w:ind w:right="100"/>
              <w:spacing w:after="0" w:line="122" w:lineRule="exact"/>
              <w:rPr>
                <w:sz w:val="20"/>
                <w:szCs w:val="20"/>
                <w:color w:val="auto"/>
              </w:rPr>
            </w:pPr>
            <w:r>
              <w:rPr>
                <w:rFonts w:ascii="Arial" w:cs="Arial" w:eastAsia="Arial" w:hAnsi="Arial"/>
                <w:sz w:val="8"/>
                <w:szCs w:val="8"/>
                <w:color w:val="auto"/>
              </w:rPr>
              <w:t xml:space="preserve">3.91 </w:t>
            </w:r>
            <w:r>
              <w:rPr>
                <w:rFonts w:ascii="Arial" w:cs="Arial" w:eastAsia="Arial" w:hAnsi="Arial"/>
                <w:sz w:val="14"/>
                <w:szCs w:val="14"/>
                <w:color w:val="auto"/>
                <w:vertAlign w:val="subscript"/>
              </w:rPr>
              <w:t>%</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ind w:left="220"/>
              <w:spacing w:after="0" w:line="122" w:lineRule="exact"/>
              <w:rPr>
                <w:sz w:val="20"/>
                <w:szCs w:val="20"/>
                <w:color w:val="auto"/>
              </w:rPr>
            </w:pPr>
            <w:r>
              <w:rPr>
                <w:rFonts w:ascii="Arial" w:cs="Arial" w:eastAsia="Arial" w:hAnsi="Arial"/>
                <w:sz w:val="11"/>
                <w:szCs w:val="11"/>
                <w:color w:val="auto"/>
                <w:w w:val="97"/>
              </w:rPr>
              <w:t>$</w:t>
            </w:r>
          </w:p>
        </w:tc>
        <w:tc>
          <w:tcPr>
            <w:tcW w:w="3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726</w:t>
            </w:r>
          </w:p>
        </w:tc>
        <w:tc>
          <w:tcPr>
            <w:tcW w:w="980" w:type="dxa"/>
            <w:vAlign w:val="bottom"/>
            <w:gridSpan w:val="3"/>
            <w:shd w:val="clear" w:color="auto" w:fill="CFF0FC"/>
          </w:tcPr>
          <w:p>
            <w:pPr>
              <w:jc w:val="right"/>
              <w:ind w:right="120"/>
              <w:spacing w:after="0" w:line="122" w:lineRule="exact"/>
              <w:rPr>
                <w:sz w:val="20"/>
                <w:szCs w:val="20"/>
                <w:color w:val="auto"/>
              </w:rPr>
            </w:pPr>
            <w:r>
              <w:rPr>
                <w:rFonts w:ascii="Arial" w:cs="Arial" w:eastAsia="Arial" w:hAnsi="Arial"/>
                <w:sz w:val="8"/>
                <w:szCs w:val="8"/>
                <w:color w:val="auto"/>
              </w:rPr>
              <w:t xml:space="preserve">4.04 </w:t>
            </w:r>
            <w:r>
              <w:rPr>
                <w:rFonts w:ascii="Arial" w:cs="Arial" w:eastAsia="Arial" w:hAnsi="Arial"/>
                <w:sz w:val="14"/>
                <w:szCs w:val="14"/>
                <w:color w:val="auto"/>
                <w:vertAlign w:val="subscript"/>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(a)Includes nonaccrual loans.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available-for-sale securities at amortized cost.</w:t>
      </w:r>
    </w:p>
    <w:p>
      <w:pPr>
        <w:spacing w:after="0" w:line="95"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(continued)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Average</w:t>
            </w:r>
          </w:p>
        </w:tc>
        <w:tc>
          <w:tcPr>
            <w:tcW w:w="1360" w:type="dxa"/>
            <w:vAlign w:val="bottom"/>
            <w:gridSpan w:val="5"/>
          </w:tcPr>
          <w:p>
            <w:pPr>
              <w:ind w:left="20"/>
              <w:spacing w:after="0"/>
              <w:rPr>
                <w:sz w:val="20"/>
                <w:szCs w:val="20"/>
                <w:color w:val="auto"/>
              </w:rPr>
            </w:pPr>
            <w:r>
              <w:rPr>
                <w:rFonts w:ascii="Arial" w:cs="Arial" w:eastAsia="Arial" w:hAnsi="Arial"/>
                <w:sz w:val="13"/>
                <w:szCs w:val="13"/>
                <w:b w:val="1"/>
                <w:bCs w:val="1"/>
                <w:color w:val="auto"/>
              </w:rPr>
              <w:t>2022 Fourth Quarter</w:t>
            </w: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5"/>
                <w:szCs w:val="15"/>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Average</w:t>
            </w:r>
          </w:p>
        </w:tc>
        <w:tc>
          <w:tcPr>
            <w:tcW w:w="130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rPr>
              <w:t>2022 Third Quarter</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8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Average balance in millions; interest in thousands</w:t>
            </w:r>
          </w:p>
        </w:tc>
        <w:tc>
          <w:tcPr>
            <w:tcW w:w="1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Interest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3"/>
                <w:szCs w:val="13"/>
                <w:b w:val="1"/>
                <w:bCs w:val="1"/>
                <w:color w:val="auto"/>
              </w:rPr>
              <w:t>Balance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 assets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80" w:type="dxa"/>
            <w:vAlign w:val="bottom"/>
          </w:tcPr>
          <w:p>
            <w:pPr>
              <w:ind w:left="20"/>
              <w:spacing w:after="0"/>
              <w:rPr>
                <w:sz w:val="20"/>
                <w:szCs w:val="20"/>
                <w:color w:val="auto"/>
              </w:rPr>
            </w:pPr>
            <w:r>
              <w:rPr>
                <w:rFonts w:ascii="Arial" w:cs="Arial" w:eastAsia="Arial" w:hAnsi="Arial"/>
                <w:sz w:val="14"/>
                <w:szCs w:val="14"/>
                <w:color w:val="auto"/>
              </w:rPr>
              <w:t>Loans and leases, net of unearned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80" w:type="dxa"/>
            <w:vAlign w:val="bottom"/>
          </w:tcPr>
          <w:p>
            <w:pPr>
              <w:ind w:left="180"/>
              <w:spacing w:after="0"/>
              <w:rPr>
                <w:sz w:val="20"/>
                <w:szCs w:val="20"/>
                <w:color w:val="auto"/>
              </w:rPr>
            </w:pPr>
            <w:r>
              <w:rPr>
                <w:rFonts w:ascii="Arial" w:cs="Arial" w:eastAsia="Arial" w:hAnsi="Arial"/>
                <w:sz w:val="14"/>
                <w:szCs w:val="14"/>
                <w:color w:val="auto"/>
              </w:rPr>
              <w:t>discount (a)</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financial, etc.</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40,038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581,161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5.76 %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38,321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470,738</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4.87 %</w:t>
            </w:r>
          </w:p>
        </w:tc>
        <w:tc>
          <w:tcPr>
            <w:tcW w:w="0" w:type="dxa"/>
            <w:vAlign w:val="bottom"/>
          </w:tcPr>
          <w:p>
            <w:pPr>
              <w:spacing w:after="0"/>
              <w:rPr>
                <w:sz w:val="1"/>
                <w:szCs w:val="1"/>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4"/>
                <w:szCs w:val="14"/>
                <w:color w:val="auto"/>
              </w:rPr>
              <w:t>Real estate – commercial</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45,690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591,290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5.06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46,282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531,225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4.49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Real estate – consumer</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23,334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228,391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3.92</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22,962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220,464</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3.84</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20,344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270,590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5.28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19,960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239,471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4.76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loans and leases, net</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129,406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1,671,432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5.12</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127,525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1,461,898</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4.55</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Interest-bearing deposits at banks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3.75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30,752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172,956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2.23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Federal funds sold and agreements</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resell securities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4.32</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4"/>
                <w:szCs w:val="14"/>
                <w:color w:val="auto"/>
                <w:w w:val="92"/>
              </w:rPr>
              <w:t>.55</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Trading account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2.13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1.78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(b)</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4"/>
                <w:szCs w:val="14"/>
                <w:color w:val="auto"/>
              </w:rPr>
              <w:t>U.S. Treasury and federal agencies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21,590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140,315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2.58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20,227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124,084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2.43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Obligations of states and political subdivisions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24,228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3.67</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23,626</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3.49</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11,942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4.31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10,152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3.91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25,297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176,485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2.77</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23,945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157,862</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2.62</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340"/>
              <w:spacing w:after="0"/>
              <w:rPr>
                <w:sz w:val="20"/>
                <w:szCs w:val="20"/>
                <w:color w:val="auto"/>
              </w:rPr>
            </w:pPr>
            <w:r>
              <w:rPr>
                <w:rFonts w:ascii="Arial" w:cs="Arial" w:eastAsia="Arial" w:hAnsi="Arial"/>
                <w:sz w:val="14"/>
                <w:szCs w:val="14"/>
                <w:b w:val="1"/>
                <w:bCs w:val="1"/>
                <w:color w:val="auto"/>
              </w:rPr>
              <w:t>Total earning assets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179,914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2,085,594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4.60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182,382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1,793,340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3.90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10"/>
              <w:spacing w:after="0"/>
              <w:rPr>
                <w:sz w:val="20"/>
                <w:szCs w:val="20"/>
                <w:color w:val="auto"/>
              </w:rPr>
            </w:pPr>
            <w:r>
              <w:rPr>
                <w:rFonts w:ascii="Arial" w:cs="Arial" w:eastAsia="Arial" w:hAnsi="Arial"/>
                <w:sz w:val="14"/>
                <w:szCs w:val="14"/>
                <w:color w:val="auto"/>
              </w:rPr>
              <w:t>(1,888 )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rPr>
              <w:t>(1,822 )</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18,609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198,592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Interest-bearing liabilities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deposits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180"/>
              <w:spacing w:after="0"/>
              <w:rPr>
                <w:sz w:val="20"/>
                <w:szCs w:val="20"/>
                <w:color w:val="auto"/>
              </w:rPr>
            </w:pPr>
            <w:r>
              <w:rPr>
                <w:rFonts w:ascii="Arial" w:cs="Arial" w:eastAsia="Arial" w:hAnsi="Arial"/>
                <w:sz w:val="14"/>
                <w:szCs w:val="14"/>
                <w:color w:val="auto"/>
              </w:rPr>
              <w:t>Savings and interest-checking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87,068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167,421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.76</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89,360</w:t>
            </w:r>
          </w:p>
        </w:tc>
        <w:tc>
          <w:tcPr>
            <w:tcW w:w="3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68,690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w w:val="92"/>
              </w:rPr>
              <w:t>.31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Time deposits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1.29</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1,124</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4"/>
                <w:szCs w:val="14"/>
                <w:color w:val="auto"/>
                <w:w w:val="92"/>
              </w:rPr>
              <w:t>.09</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340"/>
              <w:spacing w:after="0"/>
              <w:rPr>
                <w:sz w:val="20"/>
                <w:szCs w:val="20"/>
                <w:color w:val="auto"/>
              </w:rPr>
            </w:pPr>
            <w:r>
              <w:rPr>
                <w:rFonts w:ascii="Arial" w:cs="Arial" w:eastAsia="Arial" w:hAnsi="Arial"/>
                <w:sz w:val="14"/>
                <w:szCs w:val="14"/>
                <w:color w:val="auto"/>
              </w:rPr>
              <w:t>Total interest-bearing deposits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93,250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187,540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94,410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69,814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w w:val="92"/>
              </w:rPr>
              <w:t>.29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13,336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3.24</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1.16</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Long-term borrowings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43,959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4.65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3,281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30,338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00"/>
              <w:spacing w:after="0"/>
              <w:rPr>
                <w:sz w:val="20"/>
                <w:szCs w:val="20"/>
                <w:color w:val="auto"/>
              </w:rPr>
            </w:pPr>
            <w:r>
              <w:rPr>
                <w:rFonts w:ascii="Arial" w:cs="Arial" w:eastAsia="Arial" w:hAnsi="Arial"/>
                <w:sz w:val="14"/>
                <w:szCs w:val="14"/>
                <w:color w:val="auto"/>
                <w:w w:val="95"/>
              </w:rPr>
              <w:t>3.67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340"/>
              <w:spacing w:after="0"/>
              <w:rPr>
                <w:sz w:val="20"/>
                <w:szCs w:val="20"/>
                <w:color w:val="auto"/>
              </w:rPr>
            </w:pPr>
            <w:r>
              <w:rPr>
                <w:rFonts w:ascii="Arial" w:cs="Arial" w:eastAsia="Arial" w:hAnsi="Arial"/>
                <w:sz w:val="14"/>
                <w:szCs w:val="14"/>
                <w:b w:val="1"/>
                <w:bCs w:val="1"/>
                <w:color w:val="auto"/>
              </w:rPr>
              <w:t>Total interest-bearing liabilities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98,635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244,835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.98</w:t>
            </w: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98,604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102,822</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4"/>
                <w:szCs w:val="14"/>
                <w:color w:val="auto"/>
                <w:w w:val="92"/>
              </w:rPr>
              <w:t>.41</w:t>
            </w: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Noninterest-bearing deposits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70,218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72,861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173,246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175,466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25,346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198,592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spread</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3.62</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5"/>
              </w:rPr>
              <w:t>3.49</w:t>
            </w: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4"/>
                <w:szCs w:val="14"/>
                <w:color w:val="auto"/>
              </w:rPr>
              <w:t>Contribution of interest-free funds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60"/>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w w:val="92"/>
              </w:rPr>
              <w:t>.19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income/margin on earning assets</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1,840,759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500"/>
              <w:spacing w:after="0" w:line="195" w:lineRule="exact"/>
              <w:rPr>
                <w:sz w:val="20"/>
                <w:szCs w:val="20"/>
                <w:color w:val="auto"/>
              </w:rPr>
            </w:pPr>
            <w:r>
              <w:rPr>
                <w:rFonts w:ascii="Arial" w:cs="Arial" w:eastAsia="Arial" w:hAnsi="Arial"/>
                <w:sz w:val="12"/>
                <w:szCs w:val="12"/>
                <w:color w:val="auto"/>
              </w:rPr>
              <w:t xml:space="preserve">4.06 </w:t>
            </w:r>
            <w:r>
              <w:rPr>
                <w:rFonts w:ascii="Arial" w:cs="Arial" w:eastAsia="Arial" w:hAnsi="Arial"/>
                <w:sz w:val="22"/>
                <w:szCs w:val="22"/>
                <w:color w:val="auto"/>
                <w:vertAlign w:val="subscript"/>
              </w:rPr>
              <w:t>%</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1,690,518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500"/>
              <w:spacing w:after="0" w:line="195" w:lineRule="exact"/>
              <w:rPr>
                <w:sz w:val="20"/>
                <w:szCs w:val="20"/>
                <w:color w:val="auto"/>
              </w:rPr>
            </w:pPr>
            <w:r>
              <w:rPr>
                <w:rFonts w:ascii="Arial" w:cs="Arial" w:eastAsia="Arial" w:hAnsi="Arial"/>
                <w:sz w:val="12"/>
                <w:szCs w:val="12"/>
                <w:color w:val="auto"/>
              </w:rPr>
              <w:t xml:space="preserve">3.68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(a)Includes nonaccrual loans.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(b)Includes available-for-sale securities at amortized cost.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3" w:right="680"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05" w:lineRule="exact"/>
        <w:rPr>
          <w:sz w:val="20"/>
          <w:szCs w:val="20"/>
          <w:color w:val="auto"/>
        </w:rPr>
      </w:pPr>
    </w:p>
    <w:p>
      <w:pPr>
        <w:ind w:left="80" w:firstLine="432"/>
        <w:spacing w:after="0" w:line="275"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5" w:lineRule="exact"/>
        <w:rPr>
          <w:sz w:val="20"/>
          <w:szCs w:val="20"/>
          <w:color w:val="auto"/>
        </w:rPr>
      </w:pPr>
    </w:p>
    <w:p>
      <w:pPr>
        <w:ind w:left="80" w:right="320" w:firstLine="438"/>
        <w:spacing w:after="0" w:line="259" w:lineRule="auto"/>
        <w:tabs>
          <w:tab w:leader="none" w:pos="78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Daryl N. Bible, Senior Executive Vice President and Chief Financial Officer, concluded that M&amp;T’s disclosure controls and procedures were effective as of September 30, 2023.</w:t>
      </w:r>
    </w:p>
    <w:p>
      <w:pPr>
        <w:spacing w:after="0" w:line="66" w:lineRule="exact"/>
        <w:rPr>
          <w:rFonts w:ascii="Arial" w:cs="Arial" w:eastAsia="Arial" w:hAnsi="Arial"/>
          <w:sz w:val="18"/>
          <w:szCs w:val="18"/>
          <w:color w:val="auto"/>
        </w:rPr>
      </w:pPr>
    </w:p>
    <w:p>
      <w:pPr>
        <w:ind w:left="80" w:right="160" w:firstLine="438"/>
        <w:spacing w:after="0" w:line="256" w:lineRule="auto"/>
        <w:tabs>
          <w:tab w:leader="none" w:pos="78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2023 that have materially affected, or are reasonably likely to materially affect, M&amp;T’s internal control over financial reporting.</w:t>
      </w:r>
    </w:p>
    <w:p>
      <w:pPr>
        <w:spacing w:after="0" w:line="168" w:lineRule="exact"/>
        <w:rPr>
          <w:rFonts w:ascii="Arial" w:cs="Arial" w:eastAsia="Arial" w:hAnsi="Arial"/>
          <w:sz w:val="18"/>
          <w:szCs w:val="18"/>
          <w:color w:val="auto"/>
        </w:rPr>
      </w:pPr>
    </w:p>
    <w:p>
      <w:pPr>
        <w:ind w:left="5280" w:hanging="93"/>
        <w:spacing w:after="0"/>
        <w:tabs>
          <w:tab w:leader="none" w:pos="5280" w:val="left"/>
        </w:tabs>
        <w:numPr>
          <w:ilvl w:val="1"/>
          <w:numId w:val="9"/>
        </w:numPr>
        <w:rPr>
          <w:rFonts w:ascii="Arial" w:cs="Arial" w:eastAsia="Arial" w:hAnsi="Arial"/>
          <w:sz w:val="16"/>
          <w:szCs w:val="16"/>
          <w:color w:val="auto"/>
        </w:rPr>
      </w:pPr>
      <w:r>
        <w:rPr>
          <w:rFonts w:ascii="Arial" w:cs="Arial" w:eastAsia="Arial" w:hAnsi="Arial"/>
          <w:sz w:val="16"/>
          <w:szCs w:val="16"/>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839" w:right="660" w:bottom="1440" w:gutter="0" w:footer="0" w:header="0"/>
        </w:sectPr>
      </w:pPr>
    </w:p>
    <w:bookmarkStart w:id="90" w:name="page91"/>
    <w:bookmarkEnd w:id="90"/>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05" w:lineRule="exact"/>
        <w:rPr>
          <w:sz w:val="20"/>
          <w:szCs w:val="20"/>
          <w:color w:val="auto"/>
        </w:rPr>
      </w:pPr>
    </w:p>
    <w:p>
      <w:pPr>
        <w:ind w:left="80" w:right="40" w:firstLine="528"/>
        <w:spacing w:after="0" w:line="253"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September 30, 2023.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05" w:lineRule="exact"/>
        <w:rPr>
          <w:sz w:val="20"/>
          <w:szCs w:val="20"/>
          <w:color w:val="auto"/>
        </w:rPr>
      </w:pPr>
    </w:p>
    <w:p>
      <w:pPr>
        <w:ind w:left="80" w:right="60" w:firstLine="528"/>
        <w:spacing w:after="0" w:line="275"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the 2022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 (b) Not applicable.</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w:t>
      </w:r>
    </w:p>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3"/>
          </w:tcPr>
          <w:p>
            <w:pPr>
              <w:ind w:left="20"/>
              <w:spacing w:after="0"/>
              <w:rPr>
                <w:sz w:val="20"/>
                <w:szCs w:val="20"/>
                <w:color w:val="auto"/>
              </w:rPr>
            </w:pPr>
            <w:r>
              <w:rPr>
                <w:rFonts w:ascii="Arial" w:cs="Arial" w:eastAsia="Arial" w:hAnsi="Arial"/>
                <w:sz w:val="13"/>
                <w:szCs w:val="13"/>
                <w:b w:val="1"/>
                <w:bCs w:val="1"/>
                <w:color w:val="auto"/>
              </w:rPr>
              <w:t>Issuer Purchases of Equity Securities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center"/>
              <w:ind w:right="191"/>
              <w:spacing w:after="0"/>
              <w:rPr>
                <w:sz w:val="20"/>
                <w:szCs w:val="20"/>
                <w:color w:val="auto"/>
              </w:rPr>
            </w:pPr>
            <w:r>
              <w:rPr>
                <w:rFonts w:ascii="Arial" w:cs="Arial" w:eastAsia="Arial" w:hAnsi="Arial"/>
                <w:sz w:val="13"/>
                <w:szCs w:val="13"/>
                <w:b w:val="1"/>
                <w:bCs w:val="1"/>
                <w:color w:val="auto"/>
                <w:w w:val="99"/>
              </w:rPr>
              <w:t>(d) Maximum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34"/>
              <w:spacing w:after="0"/>
              <w:rPr>
                <w:sz w:val="20"/>
                <w:szCs w:val="20"/>
                <w:color w:val="auto"/>
              </w:rPr>
            </w:pPr>
            <w:r>
              <w:rPr>
                <w:rFonts w:ascii="Arial" w:cs="Arial" w:eastAsia="Arial" w:hAnsi="Arial"/>
                <w:sz w:val="13"/>
                <w:szCs w:val="13"/>
                <w:b w:val="1"/>
                <w:bCs w:val="1"/>
                <w:color w:val="auto"/>
                <w:w w:val="98"/>
              </w:rPr>
              <w:t>(c) Total</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w w:val="99"/>
              </w:rPr>
              <w:t>Number (or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34"/>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54"/>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Dollar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34"/>
              <w:spacing w:after="0"/>
              <w:rPr>
                <w:sz w:val="20"/>
                <w:szCs w:val="20"/>
                <w:color w:val="auto"/>
              </w:rPr>
            </w:pPr>
            <w:r>
              <w:rPr>
                <w:rFonts w:ascii="Arial" w:cs="Arial" w:eastAsia="Arial" w:hAnsi="Arial"/>
                <w:sz w:val="13"/>
                <w:szCs w:val="13"/>
                <w:b w:val="1"/>
                <w:bCs w:val="1"/>
                <w:color w:val="auto"/>
              </w:rPr>
              <w:t>(or Units)</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of Shares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54"/>
              <w:spacing w:after="0"/>
              <w:rPr>
                <w:sz w:val="20"/>
                <w:szCs w:val="20"/>
                <w:color w:val="auto"/>
              </w:rPr>
            </w:pPr>
            <w:r>
              <w:rPr>
                <w:rFonts w:ascii="Arial" w:cs="Arial" w:eastAsia="Arial" w:hAnsi="Arial"/>
                <w:sz w:val="13"/>
                <w:szCs w:val="13"/>
                <w:b w:val="1"/>
                <w:bCs w:val="1"/>
                <w:color w:val="auto"/>
              </w:rPr>
              <w:t>Purchased</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(or Units)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(a) Total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54"/>
              <w:spacing w:after="0"/>
              <w:rPr>
                <w:sz w:val="20"/>
                <w:szCs w:val="20"/>
                <w:color w:val="auto"/>
              </w:rPr>
            </w:pPr>
            <w:r>
              <w:rPr>
                <w:rFonts w:ascii="Arial" w:cs="Arial" w:eastAsia="Arial" w:hAnsi="Arial"/>
                <w:sz w:val="13"/>
                <w:szCs w:val="13"/>
                <w:b w:val="1"/>
                <w:bCs w:val="1"/>
                <w:color w:val="auto"/>
              </w:rPr>
              <w:t>as Part of</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that may yet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49"/>
              <w:spacing w:after="0"/>
              <w:rPr>
                <w:sz w:val="20"/>
                <w:szCs w:val="20"/>
                <w:color w:val="auto"/>
              </w:rPr>
            </w:pPr>
            <w:r>
              <w:rPr>
                <w:rFonts w:ascii="Arial" w:cs="Arial" w:eastAsia="Arial" w:hAnsi="Arial"/>
                <w:sz w:val="13"/>
                <w:szCs w:val="13"/>
                <w:b w:val="1"/>
                <w:bCs w:val="1"/>
                <w:color w:val="auto"/>
              </w:rPr>
              <w:t>(b) Average</w:t>
            </w:r>
          </w:p>
        </w:tc>
        <w:tc>
          <w:tcPr>
            <w:tcW w:w="220" w:type="dxa"/>
            <w:vAlign w:val="bottom"/>
          </w:tcPr>
          <w:p>
            <w:pPr>
              <w:spacing w:after="0"/>
              <w:rPr>
                <w:sz w:val="13"/>
                <w:szCs w:val="13"/>
                <w:color w:val="auto"/>
              </w:rPr>
            </w:pPr>
          </w:p>
        </w:tc>
        <w:tc>
          <w:tcPr>
            <w:tcW w:w="1060" w:type="dxa"/>
            <w:vAlign w:val="bottom"/>
          </w:tcPr>
          <w:p>
            <w:pPr>
              <w:jc w:val="center"/>
              <w:ind w:left="134"/>
              <w:spacing w:after="0"/>
              <w:rPr>
                <w:sz w:val="20"/>
                <w:szCs w:val="20"/>
                <w:color w:val="auto"/>
              </w:rPr>
            </w:pPr>
            <w:r>
              <w:rPr>
                <w:rFonts w:ascii="Arial" w:cs="Arial" w:eastAsia="Arial" w:hAnsi="Arial"/>
                <w:sz w:val="13"/>
                <w:szCs w:val="13"/>
                <w:b w:val="1"/>
                <w:bCs w:val="1"/>
                <w:color w:val="auto"/>
              </w:rPr>
              <w:t>Publicly</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be Purchased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49"/>
              <w:spacing w:after="0"/>
              <w:rPr>
                <w:sz w:val="20"/>
                <w:szCs w:val="20"/>
                <w:color w:val="auto"/>
              </w:rPr>
            </w:pPr>
            <w:r>
              <w:rPr>
                <w:rFonts w:ascii="Arial" w:cs="Arial" w:eastAsia="Arial" w:hAnsi="Arial"/>
                <w:sz w:val="13"/>
                <w:szCs w:val="13"/>
                <w:b w:val="1"/>
                <w:bCs w:val="1"/>
                <w:color w:val="auto"/>
              </w:rPr>
              <w:t>Price Paid</w:t>
            </w:r>
          </w:p>
        </w:tc>
        <w:tc>
          <w:tcPr>
            <w:tcW w:w="220" w:type="dxa"/>
            <w:vAlign w:val="bottom"/>
          </w:tcPr>
          <w:p>
            <w:pPr>
              <w:spacing w:after="0"/>
              <w:rPr>
                <w:sz w:val="13"/>
                <w:szCs w:val="13"/>
                <w:color w:val="auto"/>
              </w:rPr>
            </w:pPr>
          </w:p>
        </w:tc>
        <w:tc>
          <w:tcPr>
            <w:tcW w:w="1060" w:type="dxa"/>
            <w:vAlign w:val="bottom"/>
          </w:tcPr>
          <w:p>
            <w:pPr>
              <w:jc w:val="center"/>
              <w:ind w:left="154"/>
              <w:spacing w:after="0"/>
              <w:rPr>
                <w:sz w:val="20"/>
                <w:szCs w:val="20"/>
                <w:color w:val="auto"/>
              </w:rPr>
            </w:pPr>
            <w:r>
              <w:rPr>
                <w:rFonts w:ascii="Arial" w:cs="Arial" w:eastAsia="Arial" w:hAnsi="Arial"/>
                <w:sz w:val="13"/>
                <w:szCs w:val="13"/>
                <w:b w:val="1"/>
                <w:bCs w:val="1"/>
                <w:color w:val="auto"/>
              </w:rPr>
              <w:t>Announced</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71"/>
              <w:spacing w:after="0"/>
              <w:rPr>
                <w:sz w:val="20"/>
                <w:szCs w:val="20"/>
                <w:color w:val="auto"/>
              </w:rPr>
            </w:pPr>
            <w:r>
              <w:rPr>
                <w:rFonts w:ascii="Arial" w:cs="Arial" w:eastAsia="Arial" w:hAnsi="Arial"/>
                <w:sz w:val="13"/>
                <w:szCs w:val="13"/>
                <w:b w:val="1"/>
                <w:bCs w:val="1"/>
                <w:color w:val="auto"/>
              </w:rPr>
              <w:t>Under the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(or Units)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49"/>
              <w:spacing w:after="0"/>
              <w:rPr>
                <w:sz w:val="20"/>
                <w:szCs w:val="20"/>
                <w:color w:val="auto"/>
              </w:rPr>
            </w:pPr>
            <w:r>
              <w:rPr>
                <w:rFonts w:ascii="Arial" w:cs="Arial" w:eastAsia="Arial" w:hAnsi="Arial"/>
                <w:sz w:val="13"/>
                <w:szCs w:val="13"/>
                <w:b w:val="1"/>
                <w:bCs w:val="1"/>
                <w:color w:val="auto"/>
                <w:w w:val="99"/>
              </w:rPr>
              <w:t>per Share</w:t>
            </w:r>
          </w:p>
        </w:tc>
        <w:tc>
          <w:tcPr>
            <w:tcW w:w="220" w:type="dxa"/>
            <w:vAlign w:val="bottom"/>
          </w:tcPr>
          <w:p>
            <w:pPr>
              <w:spacing w:after="0"/>
              <w:rPr>
                <w:sz w:val="13"/>
                <w:szCs w:val="13"/>
                <w:color w:val="auto"/>
              </w:rPr>
            </w:pPr>
          </w:p>
        </w:tc>
        <w:tc>
          <w:tcPr>
            <w:tcW w:w="1060" w:type="dxa"/>
            <w:vAlign w:val="bottom"/>
          </w:tcPr>
          <w:p>
            <w:pPr>
              <w:jc w:val="center"/>
              <w:ind w:left="154"/>
              <w:spacing w:after="0"/>
              <w:rPr>
                <w:sz w:val="20"/>
                <w:szCs w:val="20"/>
                <w:color w:val="auto"/>
              </w:rPr>
            </w:pPr>
            <w:r>
              <w:rPr>
                <w:rFonts w:ascii="Arial" w:cs="Arial" w:eastAsia="Arial" w:hAnsi="Arial"/>
                <w:sz w:val="13"/>
                <w:szCs w:val="13"/>
                <w:b w:val="1"/>
                <w:bCs w:val="1"/>
                <w:color w:val="auto"/>
              </w:rPr>
              <w:t>Plans or</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191"/>
              <w:spacing w:after="0"/>
              <w:rPr>
                <w:sz w:val="20"/>
                <w:szCs w:val="20"/>
                <w:color w:val="auto"/>
              </w:rPr>
            </w:pPr>
            <w:r>
              <w:rPr>
                <w:rFonts w:ascii="Arial" w:cs="Arial" w:eastAsia="Arial" w:hAnsi="Arial"/>
                <w:sz w:val="13"/>
                <w:szCs w:val="13"/>
                <w:b w:val="1"/>
                <w:bCs w:val="1"/>
                <w:color w:val="auto"/>
              </w:rPr>
              <w:t>Plans or</w:t>
            </w:r>
          </w:p>
        </w:tc>
        <w:tc>
          <w:tcPr>
            <w:tcW w:w="0" w:type="dxa"/>
            <w:vAlign w:val="bottom"/>
          </w:tcPr>
          <w:p>
            <w:pPr>
              <w:spacing w:after="0"/>
              <w:rPr>
                <w:sz w:val="1"/>
                <w:szCs w:val="1"/>
                <w:color w:val="auto"/>
              </w:rPr>
            </w:pPr>
          </w:p>
        </w:tc>
      </w:tr>
      <w:tr>
        <w:trPr>
          <w:trHeight w:val="147"/>
        </w:trPr>
        <w:tc>
          <w:tcPr>
            <w:tcW w:w="470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Period</w:t>
            </w: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Purchased (1)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9"/>
              <w:spacing w:after="0" w:line="148" w:lineRule="exact"/>
              <w:rPr>
                <w:sz w:val="20"/>
                <w:szCs w:val="20"/>
                <w:color w:val="auto"/>
              </w:rPr>
            </w:pPr>
            <w:r>
              <w:rPr>
                <w:rFonts w:ascii="Arial" w:cs="Arial" w:eastAsia="Arial" w:hAnsi="Arial"/>
                <w:sz w:val="13"/>
                <w:szCs w:val="13"/>
                <w:b w:val="1"/>
                <w:bCs w:val="1"/>
                <w:color w:val="auto"/>
              </w:rPr>
              <w:t>(or Unit)</w:t>
            </w:r>
          </w:p>
        </w:tc>
        <w:tc>
          <w:tcPr>
            <w:tcW w:w="220" w:type="dxa"/>
            <w:vAlign w:val="bottom"/>
          </w:tcPr>
          <w:p>
            <w:pPr>
              <w:spacing w:after="0"/>
              <w:rPr>
                <w:sz w:val="12"/>
                <w:szCs w:val="12"/>
                <w:color w:val="auto"/>
              </w:rPr>
            </w:pPr>
          </w:p>
        </w:tc>
        <w:tc>
          <w:tcPr>
            <w:tcW w:w="1060" w:type="dxa"/>
            <w:vAlign w:val="bottom"/>
          </w:tcPr>
          <w:p>
            <w:pPr>
              <w:jc w:val="center"/>
              <w:ind w:left="134"/>
              <w:spacing w:after="0" w:line="148" w:lineRule="exact"/>
              <w:rPr>
                <w:sz w:val="20"/>
                <w:szCs w:val="20"/>
                <w:color w:val="auto"/>
              </w:rPr>
            </w:pPr>
            <w:r>
              <w:rPr>
                <w:rFonts w:ascii="Arial" w:cs="Arial" w:eastAsia="Arial" w:hAnsi="Arial"/>
                <w:sz w:val="13"/>
                <w:szCs w:val="13"/>
                <w:b w:val="1"/>
                <w:bCs w:val="1"/>
                <w:color w:val="auto"/>
              </w:rPr>
              <w:t>Programs</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center"/>
              <w:ind w:right="191"/>
              <w:spacing w:after="0" w:line="148" w:lineRule="exact"/>
              <w:rPr>
                <w:sz w:val="20"/>
                <w:szCs w:val="20"/>
                <w:color w:val="auto"/>
              </w:rPr>
            </w:pPr>
            <w:r>
              <w:rPr>
                <w:rFonts w:ascii="Arial" w:cs="Arial" w:eastAsia="Arial" w:hAnsi="Arial"/>
                <w:sz w:val="13"/>
                <w:szCs w:val="13"/>
                <w:b w:val="1"/>
                <w:bCs w:val="1"/>
                <w:color w:val="auto"/>
                <w:w w:val="99"/>
              </w:rPr>
              <w:t>Programs (2)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July 1 - July 31,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6"/>
                <w:szCs w:val="16"/>
                <w:color w:val="auto"/>
              </w:rPr>
              <w:t>1,200,060,000</w:t>
            </w:r>
          </w:p>
        </w:tc>
        <w:tc>
          <w:tcPr>
            <w:tcW w:w="0" w:type="dxa"/>
            <w:vAlign w:val="bottom"/>
          </w:tcPr>
          <w:p>
            <w:pPr>
              <w:spacing w:after="0"/>
              <w:rPr>
                <w:sz w:val="1"/>
                <w:szCs w:val="1"/>
                <w:color w:val="auto"/>
              </w:rPr>
            </w:pPr>
          </w:p>
        </w:tc>
      </w:tr>
      <w:tr>
        <w:trPr>
          <w:trHeight w:val="202"/>
        </w:trPr>
        <w:tc>
          <w:tcPr>
            <w:tcW w:w="4700" w:type="dxa"/>
            <w:vAlign w:val="bottom"/>
            <w:gridSpan w:val="3"/>
          </w:tcPr>
          <w:p>
            <w:pPr>
              <w:ind w:left="20"/>
              <w:spacing w:after="0"/>
              <w:rPr>
                <w:sz w:val="20"/>
                <w:szCs w:val="20"/>
                <w:color w:val="auto"/>
              </w:rPr>
            </w:pPr>
            <w:r>
              <w:rPr>
                <w:rFonts w:ascii="Arial" w:cs="Arial" w:eastAsia="Arial" w:hAnsi="Arial"/>
                <w:sz w:val="16"/>
                <w:szCs w:val="16"/>
                <w:color w:val="auto"/>
              </w:rPr>
              <w:t>August 1 - August 31, 2023</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w w:val="87"/>
              </w:rPr>
              <w:t>—</w:t>
            </w:r>
          </w:p>
        </w:tc>
        <w:tc>
          <w:tcPr>
            <w:tcW w:w="360" w:type="dxa"/>
            <w:vAlign w:val="bottom"/>
          </w:tcPr>
          <w:p>
            <w:pPr>
              <w:spacing w:after="0"/>
              <w:rPr>
                <w:sz w:val="17"/>
                <w:szCs w:val="17"/>
                <w:color w:val="auto"/>
              </w:rPr>
            </w:pPr>
          </w:p>
        </w:tc>
        <w:tc>
          <w:tcPr>
            <w:tcW w:w="1220" w:type="dxa"/>
            <w:vAlign w:val="bottom"/>
          </w:tcPr>
          <w:p>
            <w:pPr>
              <w:jc w:val="right"/>
              <w:ind w:right="31"/>
              <w:spacing w:after="0"/>
              <w:rPr>
                <w:sz w:val="20"/>
                <w:szCs w:val="20"/>
                <w:color w:val="auto"/>
              </w:rPr>
            </w:pPr>
            <w:r>
              <w:rPr>
                <w:rFonts w:ascii="Arial" w:cs="Arial" w:eastAsia="Arial" w:hAnsi="Arial"/>
                <w:sz w:val="16"/>
                <w:szCs w:val="16"/>
                <w:color w:val="auto"/>
              </w:rPr>
              <w:t>1,200,060,000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September 1 - September 30, 2023</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126.97</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6"/>
                <w:szCs w:val="16"/>
                <w:color w:val="auto"/>
                <w:w w:val="87"/>
              </w:rPr>
              <w:t>—</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6"/>
                <w:szCs w:val="16"/>
                <w:color w:val="auto"/>
              </w:rPr>
              <w:t>1,200,060,000</w:t>
            </w:r>
          </w:p>
        </w:tc>
        <w:tc>
          <w:tcPr>
            <w:tcW w:w="0" w:type="dxa"/>
            <w:vAlign w:val="bottom"/>
          </w:tcPr>
          <w:p>
            <w:pPr>
              <w:spacing w:after="0"/>
              <w:rPr>
                <w:sz w:val="1"/>
                <w:szCs w:val="1"/>
                <w:color w:val="auto"/>
              </w:rPr>
            </w:pP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color w:val="auto"/>
              </w:rPr>
              <w:t>1,728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126.97</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129540</wp:posOffset>
            </wp:positionV>
            <wp:extent cx="670750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7" w:lineRule="exact"/>
        <w:rPr>
          <w:sz w:val="20"/>
          <w:szCs w:val="20"/>
          <w:color w:val="auto"/>
        </w:rPr>
      </w:pPr>
    </w:p>
    <w:p>
      <w:pPr>
        <w:ind w:left="80" w:right="240"/>
        <w:spacing w:after="0" w:line="258" w:lineRule="auto"/>
        <w:rPr>
          <w:sz w:val="20"/>
          <w:szCs w:val="20"/>
          <w:color w:val="auto"/>
        </w:rPr>
      </w:pPr>
      <w:r>
        <w:rPr>
          <w:rFonts w:ascii="Arial" w:cs="Arial" w:eastAsia="Arial" w:hAnsi="Arial"/>
          <w:sz w:val="13"/>
          <w:szCs w:val="13"/>
          <w:i w:val="1"/>
          <w:iCs w:val="1"/>
          <w:color w:val="auto"/>
        </w:rPr>
        <w:t>(1)The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80" w:right="200"/>
        <w:spacing w:after="0" w:line="263" w:lineRule="auto"/>
        <w:rPr>
          <w:sz w:val="20"/>
          <w:szCs w:val="20"/>
          <w:color w:val="auto"/>
        </w:rPr>
      </w:pPr>
      <w:r>
        <w:rPr>
          <w:rFonts w:ascii="Arial" w:cs="Arial" w:eastAsia="Arial" w:hAnsi="Arial"/>
          <w:sz w:val="13"/>
          <w:szCs w:val="13"/>
          <w:i w:val="1"/>
          <w:iCs w:val="1"/>
          <w:color w:val="auto"/>
        </w:rPr>
        <w:t>(2)In July 2022, M&amp;T's Board of Directors authorized a program under which $3.0 billion of common shares may be repurchased with the exact number, timing, price and terms of such repurchases to be determined at the discretion of management and subject to all regulatory limitations.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05" w:lineRule="exact"/>
        <w:rPr>
          <w:sz w:val="20"/>
          <w:szCs w:val="20"/>
          <w:color w:val="auto"/>
        </w:rPr>
      </w:pPr>
    </w:p>
    <w:p>
      <w:pPr>
        <w:ind w:left="660" w:hanging="26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05" w:lineRule="exact"/>
        <w:rPr>
          <w:rFonts w:ascii="Arial" w:cs="Arial" w:eastAsia="Arial" w:hAnsi="Arial"/>
          <w:sz w:val="18"/>
          <w:szCs w:val="18"/>
          <w:color w:val="auto"/>
        </w:rPr>
      </w:pPr>
    </w:p>
    <w:p>
      <w:pPr>
        <w:ind w:left="80" w:right="280" w:firstLine="534"/>
        <w:spacing w:after="0" w:line="275" w:lineRule="auto"/>
        <w:tabs>
          <w:tab w:leader="none" w:pos="8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Certain of our officers or directors have made elections to participate in, and are participating in, our tax-qualified 401(k) plan and nonqualified deferred compensation plans, or have made, and may from time to time make,</w:t>
      </w:r>
    </w:p>
    <w:p>
      <w:pPr>
        <w:spacing w:after="0" w:line="149" w:lineRule="exact"/>
        <w:rPr>
          <w:rFonts w:ascii="Arial" w:cs="Arial" w:eastAsia="Arial" w:hAnsi="Arial"/>
          <w:sz w:val="18"/>
          <w:szCs w:val="18"/>
          <w:color w:val="auto"/>
        </w:rPr>
      </w:pPr>
    </w:p>
    <w:p>
      <w:pPr>
        <w:ind w:left="5280" w:hanging="93"/>
        <w:spacing w:after="0"/>
        <w:tabs>
          <w:tab w:leader="none" w:pos="52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43" w:right="680" w:bottom="1440" w:gutter="0" w:footer="0" w:header="0"/>
        </w:sectPr>
      </w:pPr>
    </w:p>
    <w:bookmarkStart w:id="91" w:name="page92"/>
    <w:bookmarkEnd w:id="91"/>
    <w:p>
      <w:pPr>
        <w:ind w:left="80"/>
        <w:spacing w:after="0" w:line="259" w:lineRule="auto"/>
        <w:rPr>
          <w:sz w:val="20"/>
          <w:szCs w:val="20"/>
          <w:color w:val="auto"/>
        </w:rPr>
      </w:pPr>
      <w:r>
        <w:rPr>
          <w:rFonts w:ascii="Arial" w:cs="Arial" w:eastAsia="Arial" w:hAnsi="Arial"/>
          <w:sz w:val="18"/>
          <w:szCs w:val="18"/>
          <w:color w:val="auto"/>
        </w:rPr>
        <w:t>elections to reinvest dividends in M&amp;T Bank Corporation common stock, or have shares withheld to cover withholding taxes upon the vesting of equity awards or to pay the exercise price of options, each of which may be designed to satisfy the affirmative defense conditions of Rule 10b5-1 under the Exchange Act or may constitute non-Rule 10b5-1 trading arrangements (as defined in Item 408(c)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141" w:lineRule="exact"/>
        <w:rPr>
          <w:sz w:val="20"/>
          <w:szCs w:val="20"/>
          <w:color w:val="auto"/>
        </w:rPr>
      </w:pPr>
    </w:p>
    <w:p>
      <w:pPr>
        <w:jc w:val="center"/>
        <w:ind w:right="9560"/>
        <w:spacing w:after="0"/>
        <w:rPr>
          <w:sz w:val="20"/>
          <w:szCs w:val="20"/>
          <w:color w:val="auto"/>
        </w:rPr>
      </w:pPr>
      <w:r>
        <w:rPr>
          <w:rFonts w:ascii="Arial" w:cs="Arial" w:eastAsia="Arial" w:hAnsi="Arial"/>
          <w:sz w:val="18"/>
          <w:szCs w:val="18"/>
          <w:color w:val="auto"/>
        </w:rPr>
        <w:t>Exhibit</w:t>
      </w:r>
    </w:p>
    <w:p>
      <w:pPr>
        <w:spacing w:after="0" w:line="21" w:lineRule="exact"/>
        <w:rPr>
          <w:sz w:val="20"/>
          <w:szCs w:val="20"/>
          <w:color w:val="auto"/>
        </w:rPr>
      </w:pPr>
    </w:p>
    <w:p>
      <w:pPr>
        <w:jc w:val="center"/>
        <w:ind w:right="9540"/>
        <w:spacing w:after="0"/>
        <w:rPr>
          <w:sz w:val="20"/>
          <w:szCs w:val="20"/>
          <w:color w:val="auto"/>
        </w:rPr>
      </w:pPr>
      <w:r>
        <w:rPr>
          <w:rFonts w:ascii="Arial" w:cs="Arial" w:eastAsia="Arial" w:hAnsi="Arial"/>
          <w:sz w:val="18"/>
          <w:szCs w:val="18"/>
          <w:color w:val="auto"/>
        </w:rPr>
        <w:t>No.</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Arial" w:cs="Arial" w:eastAsia="Arial" w:hAnsi="Arial"/>
                <w:sz w:val="18"/>
                <w:szCs w:val="18"/>
                <w:color w:val="auto"/>
              </w:rPr>
              <w:t>31.1</w:t>
            </w:r>
          </w:p>
        </w:tc>
        <w:tc>
          <w:tcPr>
            <w:tcW w:w="86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Executive Officer under Section 302 of the Sarbanes-Oxley Act of 2002. Filed herewith.</w:t>
              </w:r>
            </w:hyperlink>
          </w:p>
        </w:tc>
        <w:tc>
          <w:tcPr>
            <w:tcW w:w="620" w:type="dxa"/>
            <w:vAlign w:val="bottom"/>
            <w:gridSpan w:val="2"/>
          </w:tcPr>
          <w:p>
            <w:pPr>
              <w:spacing w:after="0"/>
              <w:rPr>
                <w:sz w:val="17"/>
                <w:szCs w:val="17"/>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31.2</w:t>
            </w:r>
          </w:p>
        </w:tc>
        <w:tc>
          <w:tcPr>
            <w:tcW w:w="85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Financial Officer under Section 302 of the Sarbanes-Oxley Act of 2002. Filed herewith.</w:t>
              </w:r>
            </w:hyperlink>
          </w:p>
        </w:tc>
        <w:tc>
          <w:tcPr>
            <w:tcW w:w="680" w:type="dxa"/>
            <w:vAlign w:val="bottom"/>
            <w:gridSpan w:val="3"/>
          </w:tcPr>
          <w:p>
            <w:pPr>
              <w:spacing w:after="0"/>
              <w:rPr>
                <w:sz w:val="24"/>
                <w:szCs w:val="24"/>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32.1</w:t>
            </w:r>
          </w:p>
        </w:tc>
        <w:tc>
          <w:tcPr>
            <w:tcW w:w="92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Executive Officer under 18 U.S.C. §1350 pursuant to Section 906 of the Sarbanes-Oxley Act of</w:t>
              </w:r>
            </w:hyperlink>
          </w:p>
        </w:tc>
      </w:tr>
      <w:tr>
        <w:trPr>
          <w:trHeight w:val="196"/>
        </w:trPr>
        <w:tc>
          <w:tcPr>
            <w:tcW w:w="1060" w:type="dxa"/>
            <w:vAlign w:val="bottom"/>
          </w:tcPr>
          <w:p>
            <w:pPr>
              <w:spacing w:after="0"/>
              <w:rPr>
                <w:sz w:val="17"/>
                <w:szCs w:val="17"/>
                <w:color w:val="auto"/>
              </w:rPr>
            </w:pPr>
          </w:p>
        </w:tc>
        <w:tc>
          <w:tcPr>
            <w:tcW w:w="9220" w:type="dxa"/>
            <w:vAlign w:val="bottom"/>
            <w:gridSpan w:val="5"/>
          </w:tcPr>
          <w:p>
            <w:pPr>
              <w:spacing w:after="0" w:line="196" w:lineRule="exact"/>
              <w:rPr>
                <w:rFonts w:ascii="Arial" w:cs="Arial" w:eastAsia="Arial" w:hAnsi="Arial"/>
                <w:sz w:val="18"/>
                <w:szCs w:val="18"/>
                <w:color w:val="0000FF"/>
              </w:rPr>
            </w:pPr>
            <w:hyperlink w:anchor="page1">
              <w:r>
                <w:rPr>
                  <w:rFonts w:ascii="Arial" w:cs="Arial" w:eastAsia="Arial" w:hAnsi="Arial"/>
                  <w:sz w:val="18"/>
                  <w:szCs w:val="18"/>
                  <w:color w:val="0000FF"/>
                </w:rPr>
                <w:t>2002. Filed herewith.</w:t>
              </w:r>
            </w:hyperlink>
          </w:p>
        </w:tc>
      </w:tr>
      <w:tr>
        <w:trPr>
          <w:trHeight w:val="20"/>
        </w:trPr>
        <w:tc>
          <w:tcPr>
            <w:tcW w:w="10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1060" w:type="dxa"/>
            <w:vAlign w:val="bottom"/>
          </w:tcPr>
          <w:p>
            <w:pPr>
              <w:ind w:left="100"/>
              <w:spacing w:after="0"/>
              <w:rPr>
                <w:sz w:val="20"/>
                <w:szCs w:val="20"/>
                <w:color w:val="auto"/>
              </w:rPr>
            </w:pPr>
            <w:r>
              <w:rPr>
                <w:rFonts w:ascii="Arial" w:cs="Arial" w:eastAsia="Arial" w:hAnsi="Arial"/>
                <w:sz w:val="18"/>
                <w:szCs w:val="18"/>
                <w:color w:val="auto"/>
              </w:rPr>
              <w:t>32.2</w:t>
            </w:r>
          </w:p>
        </w:tc>
        <w:tc>
          <w:tcPr>
            <w:tcW w:w="916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Certification of Chief Financial Officer under 18 U.S.C. §1350 pursuant to Section 906 of the Sarbanes-Oxley Act of</w:t>
              </w:r>
            </w:hyperlink>
          </w:p>
        </w:tc>
        <w:tc>
          <w:tcPr>
            <w:tcW w:w="6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220" w:type="dxa"/>
            <w:vAlign w:val="bottom"/>
            <w:gridSpan w:val="5"/>
          </w:tcPr>
          <w:p>
            <w:pPr>
              <w:spacing w:after="0" w:line="196" w:lineRule="exact"/>
              <w:rPr>
                <w:rFonts w:ascii="Arial" w:cs="Arial" w:eastAsia="Arial" w:hAnsi="Arial"/>
                <w:sz w:val="18"/>
                <w:szCs w:val="18"/>
                <w:color w:val="0000FF"/>
              </w:rPr>
            </w:pPr>
            <w:hyperlink w:anchor="page1">
              <w:r>
                <w:rPr>
                  <w:rFonts w:ascii="Arial" w:cs="Arial" w:eastAsia="Arial" w:hAnsi="Arial"/>
                  <w:sz w:val="18"/>
                  <w:szCs w:val="18"/>
                  <w:color w:val="0000FF"/>
                </w:rPr>
                <w:t>2002. Filed herewith.</w:t>
              </w:r>
            </w:hyperlink>
          </w:p>
        </w:tc>
      </w:tr>
      <w:tr>
        <w:trPr>
          <w:trHeight w:val="20"/>
        </w:trPr>
        <w:tc>
          <w:tcPr>
            <w:tcW w:w="10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r>
      <w:tr>
        <w:trPr>
          <w:trHeight w:val="502"/>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Instance Document.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48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2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Filed herewith.</w:t>
            </w:r>
          </w:p>
        </w:tc>
      </w:tr>
    </w:tbl>
    <w:p>
      <w:pPr>
        <w:spacing w:after="0" w:line="251" w:lineRule="exact"/>
        <w:rPr>
          <w:sz w:val="20"/>
          <w:szCs w:val="20"/>
          <w:color w:val="auto"/>
        </w:rPr>
      </w:pPr>
    </w:p>
    <w:p>
      <w:pPr>
        <w:ind w:left="1160" w:right="1520" w:hanging="1062"/>
        <w:spacing w:after="0" w:line="275"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M&amp;T Bank Corporation’s Quarterly Report on Form 10-Q for the quarter ended September 30, 2023 has been formatted in Inline XBRL.</w:t>
      </w:r>
    </w:p>
    <w:p>
      <w:pPr>
        <w:spacing w:after="0" w:line="341" w:lineRule="exact"/>
        <w:rPr>
          <w:rFonts w:ascii="Arial" w:cs="Arial" w:eastAsia="Arial" w:hAnsi="Arial"/>
          <w:sz w:val="18"/>
          <w:szCs w:val="18"/>
          <w:color w:val="auto"/>
        </w:rPr>
      </w:pPr>
    </w:p>
    <w:p>
      <w:pPr>
        <w:ind w:left="5280" w:hanging="93"/>
        <w:spacing w:after="0"/>
        <w:tabs>
          <w:tab w:leader="none" w:pos="52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839" w:right="700" w:bottom="1440" w:gutter="0" w:footer="0" w:header="0"/>
        </w:sectPr>
      </w:pPr>
    </w:p>
    <w:bookmarkStart w:id="92" w:name="page93"/>
    <w:bookmarkEnd w:id="92"/>
    <w:p>
      <w:pPr>
        <w:jc w:val="center"/>
        <w:ind w:right="-259"/>
        <w:spacing w:after="0"/>
        <w:rPr>
          <w:sz w:val="20"/>
          <w:szCs w:val="20"/>
          <w:color w:val="auto"/>
        </w:rPr>
      </w:pPr>
      <w:r>
        <w:rPr>
          <w:rFonts w:ascii="Arial" w:cs="Arial" w:eastAsia="Arial" w:hAnsi="Arial"/>
          <w:sz w:val="18"/>
          <w:szCs w:val="18"/>
          <w:color w:val="auto"/>
        </w:rPr>
        <w:t>SIGNATURES</w:t>
      </w:r>
    </w:p>
    <w:p>
      <w:pPr>
        <w:spacing w:after="0" w:line="201" w:lineRule="exact"/>
        <w:rPr>
          <w:sz w:val="20"/>
          <w:szCs w:val="20"/>
          <w:color w:val="auto"/>
        </w:rPr>
      </w:pPr>
    </w:p>
    <w:p>
      <w:pPr>
        <w:ind w:firstLine="46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M&amp;T BANK CORPORATION</w:t>
      </w:r>
    </w:p>
    <w:p>
      <w:pPr>
        <w:spacing w:after="0" w:line="273" w:lineRule="exact"/>
        <w:rPr>
          <w:sz w:val="20"/>
          <w:szCs w:val="20"/>
          <w:color w:val="auto"/>
        </w:rPr>
      </w:pPr>
    </w:p>
    <w:p>
      <w:pPr>
        <w:ind w:left="6220" w:right="2220" w:hanging="6733"/>
        <w:spacing w:after="0" w:line="278" w:lineRule="auto"/>
        <w:tabs>
          <w:tab w:leader="none" w:pos="620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8"/>
          <w:szCs w:val="18"/>
          <w:color w:val="auto"/>
        </w:rPr>
        <w:t>By: /s/ Daryl N. Bible Daryl N. Bible</w:t>
      </w:r>
    </w:p>
    <w:p>
      <w:pPr>
        <w:spacing w:after="0" w:line="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Executive Vice President</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743" w:right="920"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color w:val="auto"/>
        </w:rPr>
        <w:t>EXHIBIT 31.1</w:t>
      </w:r>
    </w:p>
    <w:p>
      <w:pPr>
        <w:spacing w:after="0" w:line="212"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 René F. Jones, certify that:</w:t>
      </w:r>
    </w:p>
    <w:p>
      <w:pPr>
        <w:spacing w:after="0" w:line="225" w:lineRule="exact"/>
        <w:rPr>
          <w:sz w:val="20"/>
          <w:szCs w:val="20"/>
          <w:color w:val="auto"/>
        </w:rPr>
      </w:pPr>
    </w:p>
    <w:p>
      <w:pPr>
        <w:ind w:left="206" w:hanging="206"/>
        <w:spacing w:after="0"/>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366" w:right="100" w:hanging="366"/>
        <w:spacing w:after="0" w:line="263" w:lineRule="auto"/>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6" w:right="620" w:hanging="366"/>
        <w:spacing w:after="0" w:line="263" w:lineRule="auto"/>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6" w:right="240" w:hanging="366"/>
        <w:spacing w:after="0" w:line="263" w:lineRule="auto"/>
        <w:tabs>
          <w:tab w:leader="none" w:pos="2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ind w:left="366" w:right="160" w:hanging="366"/>
        <w:spacing w:after="0" w:line="263" w:lineRule="auto"/>
        <w:tabs>
          <w:tab w:leader="none" w:pos="2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ind w:left="366" w:right="460" w:hanging="366"/>
        <w:spacing w:after="0" w:line="263" w:lineRule="auto"/>
        <w:tabs>
          <w:tab w:leader="none" w:pos="2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366" w:right="280" w:hanging="366"/>
        <w:spacing w:after="0" w:line="263"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ind w:left="366" w:right="160" w:hanging="366"/>
        <w:spacing w:after="0" w:line="263" w:lineRule="auto"/>
        <w:tabs>
          <w:tab w:leader="none" w:pos="2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66" w:right="160" w:hanging="366"/>
        <w:spacing w:after="0" w:line="263"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left="366" w:right="80" w:hanging="366"/>
        <w:spacing w:after="0" w:line="306" w:lineRule="auto"/>
        <w:tabs>
          <w:tab w:leader="none" w:pos="2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7"/>
          <w:szCs w:val="17"/>
          <w:color w:val="auto"/>
        </w:rPr>
      </w:pPr>
    </w:p>
    <w:p>
      <w:pPr>
        <w:ind w:left="366" w:right="320" w:hanging="366"/>
        <w:spacing w:after="0" w:line="275" w:lineRule="auto"/>
        <w:tabs>
          <w:tab w:leader="none" w:pos="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
        <w:spacing w:after="0"/>
        <w:tabs>
          <w:tab w:leader="none" w:pos="44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René F. Jones</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René F. Jones</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Chairman of the Board and</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562" w:right="66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8"/>
          <w:szCs w:val="18"/>
          <w:color w:val="auto"/>
        </w:rPr>
        <w:t>I, Daryl N. Bible, certify that:</w:t>
      </w:r>
    </w:p>
    <w:p>
      <w:pPr>
        <w:spacing w:after="0" w:line="225" w:lineRule="exact"/>
        <w:rPr>
          <w:sz w:val="20"/>
          <w:szCs w:val="20"/>
          <w:color w:val="auto"/>
        </w:rPr>
      </w:pPr>
    </w:p>
    <w:p>
      <w:pPr>
        <w:ind w:left="206" w:hanging="206"/>
        <w:spacing w:after="0"/>
        <w:tabs>
          <w:tab w:leader="none" w:pos="2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366" w:right="80" w:hanging="366"/>
        <w:spacing w:after="0" w:line="263" w:lineRule="auto"/>
        <w:tabs>
          <w:tab w:leader="none" w:pos="2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6" w:right="600" w:hanging="366"/>
        <w:spacing w:after="0" w:line="263" w:lineRule="auto"/>
        <w:tabs>
          <w:tab w:leader="none" w:pos="2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6" w:right="220" w:hanging="366"/>
        <w:spacing w:after="0" w:line="263" w:lineRule="auto"/>
        <w:tabs>
          <w:tab w:leader="none" w:pos="2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sz w:val="20"/>
          <w:szCs w:val="20"/>
          <w:color w:val="auto"/>
        </w:rPr>
      </w:pPr>
    </w:p>
    <w:p>
      <w:pPr>
        <w:ind w:left="366" w:right="140" w:hanging="366"/>
        <w:spacing w:after="0" w:line="263" w:lineRule="auto"/>
        <w:tabs>
          <w:tab w:leader="none" w:pos="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ind w:left="366" w:right="440" w:hanging="366"/>
        <w:spacing w:after="0" w:line="263" w:lineRule="auto"/>
        <w:tabs>
          <w:tab w:leader="none" w:pos="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366" w:right="260" w:hanging="366"/>
        <w:spacing w:after="0" w:line="263" w:lineRule="auto"/>
        <w:tabs>
          <w:tab w:leader="none" w:pos="2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8"/>
          <w:szCs w:val="18"/>
          <w:color w:val="auto"/>
        </w:rPr>
      </w:pPr>
    </w:p>
    <w:p>
      <w:pPr>
        <w:ind w:left="366" w:right="140" w:hanging="366"/>
        <w:spacing w:after="0" w:line="263" w:lineRule="auto"/>
        <w:tabs>
          <w:tab w:leader="none" w:pos="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66" w:right="140" w:hanging="366"/>
        <w:spacing w:after="0" w:line="263" w:lineRule="auto"/>
        <w:tabs>
          <w:tab w:leader="none" w:pos="2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sz w:val="20"/>
          <w:szCs w:val="20"/>
          <w:color w:val="auto"/>
        </w:rPr>
      </w:pPr>
    </w:p>
    <w:p>
      <w:pPr>
        <w:ind w:left="366" w:right="60" w:hanging="366"/>
        <w:spacing w:after="0" w:line="306" w:lineRule="auto"/>
        <w:tabs>
          <w:tab w:leader="none" w:pos="2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7"/>
          <w:szCs w:val="17"/>
          <w:color w:val="auto"/>
        </w:rPr>
      </w:pPr>
    </w:p>
    <w:p>
      <w:pPr>
        <w:ind w:left="366" w:right="300" w:hanging="366"/>
        <w:spacing w:after="0" w:line="275" w:lineRule="auto"/>
        <w:tabs>
          <w:tab w:leader="none" w:pos="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Date: November 6,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
        <w:spacing w:after="0"/>
        <w:tabs>
          <w:tab w:leader="none" w:pos="446"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Daryl N. Bible</w:t>
      </w:r>
    </w:p>
    <w:p>
      <w:pPr>
        <w:spacing w:after="0" w:line="2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Daryl N. Bible</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Senior Executive Vice President</w:t>
      </w:r>
    </w:p>
    <w:p>
      <w:pPr>
        <w:spacing w:after="0" w:line="2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179705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779" w:right="68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I, René F. Jones, Chairman of the Board and Chief Executive Officer of M&amp;T Bank Corporation, certify, pursuant to Section 906 of the Sarbanes-Oxley Act of 2002, 18 U.S.C. Section 1350, that:</w:t>
      </w:r>
    </w:p>
    <w:p>
      <w:pPr>
        <w:spacing w:after="0" w:line="174" w:lineRule="exact"/>
        <w:rPr>
          <w:sz w:val="20"/>
          <w:szCs w:val="20"/>
          <w:color w:val="auto"/>
        </w:rPr>
      </w:pPr>
    </w:p>
    <w:p>
      <w:pPr>
        <w:ind w:left="1400" w:right="1560" w:hanging="878"/>
        <w:spacing w:after="0" w:line="263" w:lineRule="auto"/>
        <w:tabs>
          <w:tab w:leader="none" w:pos="7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2023 (the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1400" w:right="1440" w:hanging="878"/>
        <w:spacing w:after="0" w:line="275" w:lineRule="auto"/>
        <w:tabs>
          <w:tab w:leader="none" w:pos="7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René F. Jones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René F. Jones</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November 6,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I, Daryl N. Bible, Senior Executive Vice President and Chief Financial Officer of M&amp;T Bank Corporation, certify, pursuant to Section 906 of the Sarbanes-Oxley Act of 2002, 18 U.S.C. Section 1350, that:</w:t>
      </w:r>
    </w:p>
    <w:p>
      <w:pPr>
        <w:spacing w:after="0" w:line="174" w:lineRule="exact"/>
        <w:rPr>
          <w:sz w:val="20"/>
          <w:szCs w:val="20"/>
          <w:color w:val="auto"/>
        </w:rPr>
      </w:pPr>
    </w:p>
    <w:p>
      <w:pPr>
        <w:ind w:left="1400" w:right="1560" w:hanging="878"/>
        <w:spacing w:after="0" w:line="263" w:lineRule="auto"/>
        <w:tabs>
          <w:tab w:leader="none" w:pos="7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2023 (the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1400" w:right="1440" w:hanging="878"/>
        <w:spacing w:after="0" w:line="275" w:lineRule="auto"/>
        <w:tabs>
          <w:tab w:leader="none" w:pos="7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39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Daryl N. Bible</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Daryl N. Bible</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November 6,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97" w:name="page98"/>
    <w:bookmarkEnd w:id="9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lowerLetter"/>
      <w:start w:val="2"/>
    </w:lvl>
    <w:lvl w:ilvl="1">
      <w:lvlJc w:val="left"/>
      <w:lvlText w:val="-"/>
      <w:numFmt w:val="bullet"/>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Letter"/>
      <w:start w:val="1"/>
    </w:lvl>
    <w:lvl w:ilvl="1">
      <w:lvlJc w:val="left"/>
      <w:lvlText w:val="-"/>
      <w:numFmt w:val="bullet"/>
      <w:start w:val="1"/>
    </w:lvl>
  </w:abstractNum>
  <w:abstractNum w:abstractNumId="9">
    <w:nsid w:val="41A7C4C9"/>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0">
    <w:nsid w:val="6B68079A"/>
    <w:multiLevelType w:val="hybridMultilevel"/>
    <w:lvl w:ilvl="0">
      <w:lvlJc w:val="left"/>
      <w:lvlText w:val="%1"/>
      <w:numFmt w:val="decimal"/>
      <w:start w:val="104"/>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2023-11-06T15:10:40Z</dcterms:created>
  <dcterms:modified xsi:type="dcterms:W3CDTF">2023-11-06T15:10:40Z</dcterms:modified>
</cp:coreProperties>
</file>