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146050</wp:posOffset>
            </wp:positionV>
            <wp:extent cx="634238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2380" cy="24765"/>
                    </a:xfrm>
                    <a:prstGeom prst="rect">
                      <a:avLst/>
                    </a:prstGeom>
                    <a:noFill/>
                  </pic:spPr>
                </pic:pic>
              </a:graphicData>
            </a:graphic>
          </wp:anchor>
        </w:drawing>
      </w:r>
    </w:p>
    <w:p>
      <w:pPr>
        <w:spacing w:after="0" w:line="222" w:lineRule="exact"/>
        <w:rPr>
          <w:sz w:val="20"/>
          <w:szCs w:val="20"/>
          <w:color w:val="auto"/>
        </w:rPr>
      </w:pPr>
    </w:p>
    <w:p>
      <w:pPr>
        <w:jc w:val="center"/>
        <w:ind w:right="-7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0"/>
          <w:szCs w:val="20"/>
          <w:color w:val="auto"/>
        </w:rPr>
      </w:pPr>
    </w:p>
    <w:p>
      <w:pPr>
        <w:jc w:val="center"/>
        <w:ind w:right="-779"/>
        <w:spacing w:after="0"/>
        <w:rPr>
          <w:sz w:val="20"/>
          <w:szCs w:val="20"/>
          <w:color w:val="auto"/>
        </w:rPr>
      </w:pPr>
      <w:r>
        <w:rPr>
          <w:rFonts w:ascii="Arial" w:cs="Arial" w:eastAsia="Arial" w:hAnsi="Arial"/>
          <w:sz w:val="17"/>
          <w:szCs w:val="17"/>
          <w:b w:val="1"/>
          <w:bCs w:val="1"/>
          <w:color w:val="auto"/>
        </w:rPr>
        <w:t>Washington, D.C. 20549</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26"/>
          <w:szCs w:val="26"/>
          <w:b w:val="1"/>
          <w:bCs w:val="1"/>
          <w:color w:val="auto"/>
        </w:rPr>
        <w:t>Form 10-K</w:t>
      </w:r>
    </w:p>
    <w:p>
      <w:pPr>
        <w:spacing w:after="0" w:line="33" w:lineRule="exact"/>
        <w:rPr>
          <w:sz w:val="20"/>
          <w:szCs w:val="20"/>
          <w:color w:val="auto"/>
        </w:rPr>
      </w:pPr>
    </w:p>
    <w:p>
      <w:pPr>
        <w:ind w:left="1580" w:hanging="700"/>
        <w:spacing w:after="0"/>
        <w:tabs>
          <w:tab w:leader="none" w:pos="158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For the fiscal year ended December 31, 2007</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w:t>
      </w:r>
    </w:p>
    <w:p>
      <w:pPr>
        <w:spacing w:after="0" w:line="12" w:lineRule="exact"/>
        <w:rPr>
          <w:sz w:val="20"/>
          <w:szCs w:val="20"/>
          <w:color w:val="auto"/>
        </w:rPr>
      </w:pPr>
    </w:p>
    <w:p>
      <w:pPr>
        <w:ind w:left="1580" w:hanging="669"/>
        <w:spacing w:after="0"/>
        <w:tabs>
          <w:tab w:leader="none" w:pos="15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Commission file number 1-9861</w:t>
      </w:r>
    </w:p>
    <w:p>
      <w:pPr>
        <w:spacing w:after="0" w:line="65" w:lineRule="exact"/>
        <w:rPr>
          <w:sz w:val="20"/>
          <w:szCs w:val="20"/>
          <w:color w:val="auto"/>
        </w:rPr>
      </w:pPr>
    </w:p>
    <w:p>
      <w:pPr>
        <w:jc w:val="center"/>
        <w:ind w:right="-779"/>
        <w:spacing w:after="0"/>
        <w:rPr>
          <w:sz w:val="20"/>
          <w:szCs w:val="20"/>
          <w:color w:val="auto"/>
        </w:rPr>
      </w:pPr>
      <w:r>
        <w:rPr>
          <w:rFonts w:ascii="Arial" w:cs="Arial" w:eastAsia="Arial" w:hAnsi="Arial"/>
          <w:sz w:val="36"/>
          <w:szCs w:val="36"/>
          <w:b w:val="1"/>
          <w:bCs w:val="1"/>
          <w:color w:val="auto"/>
        </w:rPr>
        <w:t>M&amp;T BANK CORPORATION</w:t>
      </w:r>
    </w:p>
    <w:p>
      <w:pPr>
        <w:spacing w:after="0" w:line="38" w:lineRule="exact"/>
        <w:rPr>
          <w:sz w:val="20"/>
          <w:szCs w:val="20"/>
          <w:color w:val="auto"/>
        </w:rPr>
      </w:pPr>
    </w:p>
    <w:p>
      <w:pPr>
        <w:ind w:left="4460"/>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46" w:lineRule="exact"/>
        <w:rPr>
          <w:sz w:val="20"/>
          <w:szCs w:val="20"/>
          <w:color w:val="auto"/>
        </w:rPr>
      </w:pPr>
    </w:p>
    <w:tbl>
      <w:tblPr>
        <w:tblLayout w:type="fixed"/>
        <w:tblInd w:w="2100" w:type="dxa"/>
        <w:tblCellMar>
          <w:top w:w="0" w:type="dxa"/>
          <w:left w:w="0" w:type="dxa"/>
          <w:bottom w:w="0" w:type="dxa"/>
          <w:right w:w="0" w:type="dxa"/>
        </w:tblCellMar>
      </w:tblPr>
      <w:tr>
        <w:trPr>
          <w:trHeight w:val="174"/>
        </w:trPr>
        <w:tc>
          <w:tcPr>
            <w:tcW w:w="5220" w:type="dxa"/>
            <w:vAlign w:val="bottom"/>
          </w:tcPr>
          <w:p>
            <w:pPr>
              <w:jc w:val="center"/>
              <w:ind w:right="2994"/>
              <w:spacing w:after="0"/>
              <w:rPr>
                <w:sz w:val="20"/>
                <w:szCs w:val="20"/>
                <w:color w:val="auto"/>
              </w:rPr>
            </w:pPr>
            <w:r>
              <w:rPr>
                <w:rFonts w:ascii="Arial" w:cs="Arial" w:eastAsia="Arial" w:hAnsi="Arial"/>
                <w:sz w:val="14"/>
                <w:szCs w:val="14"/>
                <w:b w:val="1"/>
                <w:bCs w:val="1"/>
                <w:color w:val="auto"/>
                <w:w w:val="93"/>
              </w:rPr>
              <w:t>New York</w:t>
            </w:r>
          </w:p>
        </w:tc>
        <w:tc>
          <w:tcPr>
            <w:tcW w:w="3140" w:type="dxa"/>
            <w:vAlign w:val="bottom"/>
          </w:tcPr>
          <w:p>
            <w:pPr>
              <w:jc w:val="right"/>
              <w:ind w:right="1836"/>
              <w:spacing w:after="0"/>
              <w:rPr>
                <w:sz w:val="20"/>
                <w:szCs w:val="20"/>
                <w:color w:val="auto"/>
              </w:rPr>
            </w:pPr>
            <w:r>
              <w:rPr>
                <w:rFonts w:ascii="Arial" w:cs="Arial" w:eastAsia="Arial" w:hAnsi="Arial"/>
                <w:sz w:val="14"/>
                <w:szCs w:val="14"/>
                <w:b w:val="1"/>
                <w:bCs w:val="1"/>
                <w:color w:val="auto"/>
              </w:rPr>
              <w:t>16-0968385</w:t>
            </w:r>
          </w:p>
        </w:tc>
      </w:tr>
      <w:tr>
        <w:trPr>
          <w:trHeight w:val="147"/>
        </w:trPr>
        <w:tc>
          <w:tcPr>
            <w:tcW w:w="5220" w:type="dxa"/>
            <w:vAlign w:val="bottom"/>
          </w:tcPr>
          <w:p>
            <w:pPr>
              <w:jc w:val="center"/>
              <w:ind w:right="2974"/>
              <w:spacing w:after="0"/>
              <w:rPr>
                <w:sz w:val="20"/>
                <w:szCs w:val="20"/>
                <w:color w:val="auto"/>
              </w:rPr>
            </w:pPr>
            <w:r>
              <w:rPr>
                <w:rFonts w:ascii="Arial" w:cs="Arial" w:eastAsia="Arial" w:hAnsi="Arial"/>
                <w:sz w:val="12"/>
                <w:szCs w:val="12"/>
                <w:i w:val="1"/>
                <w:iCs w:val="1"/>
                <w:color w:val="auto"/>
                <w:w w:val="90"/>
              </w:rPr>
              <w:t>(State of incorporation)</w:t>
            </w:r>
          </w:p>
        </w:tc>
        <w:tc>
          <w:tcPr>
            <w:tcW w:w="3140" w:type="dxa"/>
            <w:vAlign w:val="bottom"/>
          </w:tcPr>
          <w:p>
            <w:pPr>
              <w:jc w:val="center"/>
              <w:ind w:right="1256"/>
              <w:spacing w:after="0"/>
              <w:rPr>
                <w:sz w:val="20"/>
                <w:szCs w:val="20"/>
                <w:color w:val="auto"/>
              </w:rPr>
            </w:pPr>
            <w:r>
              <w:rPr>
                <w:rFonts w:ascii="Arial" w:cs="Arial" w:eastAsia="Arial" w:hAnsi="Arial"/>
                <w:sz w:val="12"/>
                <w:szCs w:val="12"/>
                <w:i w:val="1"/>
                <w:iCs w:val="1"/>
                <w:color w:val="auto"/>
                <w:w w:val="89"/>
              </w:rPr>
              <w:t>(I.R.S. Employer Identification No.)</w:t>
            </w:r>
          </w:p>
        </w:tc>
      </w:tr>
      <w:tr>
        <w:trPr>
          <w:trHeight w:val="268"/>
        </w:trPr>
        <w:tc>
          <w:tcPr>
            <w:tcW w:w="5220" w:type="dxa"/>
            <w:vAlign w:val="bottom"/>
          </w:tcPr>
          <w:p>
            <w:pPr>
              <w:jc w:val="center"/>
              <w:ind w:right="2974"/>
              <w:spacing w:after="0"/>
              <w:rPr>
                <w:sz w:val="20"/>
                <w:szCs w:val="20"/>
                <w:color w:val="auto"/>
              </w:rPr>
            </w:pPr>
            <w:r>
              <w:rPr>
                <w:rFonts w:ascii="Arial" w:cs="Arial" w:eastAsia="Arial" w:hAnsi="Arial"/>
                <w:sz w:val="14"/>
                <w:szCs w:val="14"/>
                <w:b w:val="1"/>
                <w:bCs w:val="1"/>
                <w:color w:val="auto"/>
                <w:w w:val="95"/>
              </w:rPr>
              <w:t>One M&amp;T Plaza, Buffalo, New York</w:t>
            </w:r>
          </w:p>
        </w:tc>
        <w:tc>
          <w:tcPr>
            <w:tcW w:w="3140" w:type="dxa"/>
            <w:vAlign w:val="bottom"/>
          </w:tcPr>
          <w:p>
            <w:pPr>
              <w:jc w:val="right"/>
              <w:ind w:right="1996"/>
              <w:spacing w:after="0"/>
              <w:rPr>
                <w:sz w:val="20"/>
                <w:szCs w:val="20"/>
                <w:color w:val="auto"/>
              </w:rPr>
            </w:pPr>
            <w:r>
              <w:rPr>
                <w:rFonts w:ascii="Arial" w:cs="Arial" w:eastAsia="Arial" w:hAnsi="Arial"/>
                <w:sz w:val="14"/>
                <w:szCs w:val="14"/>
                <w:b w:val="1"/>
                <w:bCs w:val="1"/>
                <w:color w:val="auto"/>
              </w:rPr>
              <w:t>14203</w:t>
            </w:r>
          </w:p>
        </w:tc>
      </w:tr>
      <w:tr>
        <w:trPr>
          <w:trHeight w:val="147"/>
        </w:trPr>
        <w:tc>
          <w:tcPr>
            <w:tcW w:w="5220" w:type="dxa"/>
            <w:vAlign w:val="bottom"/>
          </w:tcPr>
          <w:p>
            <w:pPr>
              <w:jc w:val="center"/>
              <w:ind w:right="2974"/>
              <w:spacing w:after="0"/>
              <w:rPr>
                <w:sz w:val="20"/>
                <w:szCs w:val="20"/>
                <w:color w:val="auto"/>
              </w:rPr>
            </w:pPr>
            <w:r>
              <w:rPr>
                <w:rFonts w:ascii="Arial" w:cs="Arial" w:eastAsia="Arial" w:hAnsi="Arial"/>
                <w:sz w:val="12"/>
                <w:szCs w:val="12"/>
                <w:i w:val="1"/>
                <w:iCs w:val="1"/>
                <w:color w:val="auto"/>
                <w:w w:val="88"/>
              </w:rPr>
              <w:t>(Address of principal executive offices)</w:t>
            </w:r>
          </w:p>
        </w:tc>
        <w:tc>
          <w:tcPr>
            <w:tcW w:w="3140" w:type="dxa"/>
            <w:vAlign w:val="bottom"/>
          </w:tcPr>
          <w:p>
            <w:pPr>
              <w:jc w:val="center"/>
              <w:ind w:right="1256"/>
              <w:spacing w:after="0"/>
              <w:rPr>
                <w:sz w:val="20"/>
                <w:szCs w:val="20"/>
                <w:color w:val="auto"/>
              </w:rPr>
            </w:pPr>
            <w:r>
              <w:rPr>
                <w:rFonts w:ascii="Arial" w:cs="Arial" w:eastAsia="Arial" w:hAnsi="Arial"/>
                <w:sz w:val="12"/>
                <w:szCs w:val="12"/>
                <w:i w:val="1"/>
                <w:iCs w:val="1"/>
                <w:color w:val="auto"/>
                <w:w w:val="88"/>
              </w:rPr>
              <w:t>(Zip Code)</w:t>
            </w:r>
          </w:p>
        </w:tc>
      </w:tr>
      <w:tr>
        <w:trPr>
          <w:trHeight w:val="200"/>
        </w:trPr>
        <w:tc>
          <w:tcPr>
            <w:tcW w:w="5220" w:type="dxa"/>
            <w:vAlign w:val="bottom"/>
          </w:tcPr>
          <w:p>
            <w:pPr>
              <w:jc w:val="center"/>
              <w:ind w:left="1854"/>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3140" w:type="dxa"/>
            <w:vAlign w:val="bottom"/>
          </w:tcPr>
          <w:p>
            <w:pPr>
              <w:spacing w:after="0"/>
              <w:rPr>
                <w:sz w:val="17"/>
                <w:szCs w:val="17"/>
                <w:color w:val="auto"/>
              </w:rPr>
            </w:pPr>
          </w:p>
        </w:tc>
      </w:tr>
      <w:tr>
        <w:trPr>
          <w:trHeight w:val="184"/>
        </w:trPr>
        <w:tc>
          <w:tcPr>
            <w:tcW w:w="5220" w:type="dxa"/>
            <w:vAlign w:val="bottom"/>
          </w:tcPr>
          <w:p>
            <w:pPr>
              <w:jc w:val="center"/>
              <w:ind w:left="1874"/>
              <w:spacing w:after="0"/>
              <w:rPr>
                <w:sz w:val="20"/>
                <w:szCs w:val="20"/>
                <w:color w:val="auto"/>
              </w:rPr>
            </w:pPr>
            <w:r>
              <w:rPr>
                <w:rFonts w:ascii="Arial" w:cs="Arial" w:eastAsia="Arial" w:hAnsi="Arial"/>
                <w:sz w:val="14"/>
                <w:szCs w:val="14"/>
                <w:b w:val="1"/>
                <w:bCs w:val="1"/>
                <w:color w:val="auto"/>
                <w:w w:val="91"/>
              </w:rPr>
              <w:t>716-842-5445</w:t>
            </w:r>
          </w:p>
        </w:tc>
        <w:tc>
          <w:tcPr>
            <w:tcW w:w="3140" w:type="dxa"/>
            <w:vAlign w:val="bottom"/>
          </w:tcPr>
          <w:p>
            <w:pPr>
              <w:spacing w:after="0"/>
              <w:rPr>
                <w:sz w:val="16"/>
                <w:szCs w:val="16"/>
                <w:color w:val="auto"/>
              </w:rPr>
            </w:pPr>
          </w:p>
        </w:tc>
      </w:tr>
      <w:tr>
        <w:trPr>
          <w:trHeight w:val="212"/>
        </w:trPr>
        <w:tc>
          <w:tcPr>
            <w:tcW w:w="8360" w:type="dxa"/>
            <w:vAlign w:val="bottom"/>
            <w:gridSpan w:val="2"/>
          </w:tcPr>
          <w:p>
            <w:pPr>
              <w:jc w:val="center"/>
              <w:ind w:right="1156"/>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r>
      <w:tr>
        <w:trPr>
          <w:trHeight w:val="233"/>
        </w:trPr>
        <w:tc>
          <w:tcPr>
            <w:tcW w:w="5220" w:type="dxa"/>
            <w:vAlign w:val="bottom"/>
          </w:tcPr>
          <w:p>
            <w:pPr>
              <w:ind w:left="1060"/>
              <w:spacing w:after="0"/>
              <w:rPr>
                <w:sz w:val="20"/>
                <w:szCs w:val="20"/>
                <w:color w:val="auto"/>
              </w:rPr>
            </w:pPr>
            <w:r>
              <w:rPr>
                <w:rFonts w:ascii="Arial" w:cs="Arial" w:eastAsia="Arial" w:hAnsi="Arial"/>
                <w:sz w:val="12"/>
                <w:szCs w:val="12"/>
                <w:b w:val="1"/>
                <w:bCs w:val="1"/>
                <w:color w:val="auto"/>
              </w:rPr>
              <w:t>Title of Each Class</w:t>
            </w:r>
          </w:p>
        </w:tc>
        <w:tc>
          <w:tcPr>
            <w:tcW w:w="3140" w:type="dxa"/>
            <w:vAlign w:val="bottom"/>
          </w:tcPr>
          <w:p>
            <w:pPr>
              <w:ind w:left="880"/>
              <w:spacing w:after="0"/>
              <w:rPr>
                <w:sz w:val="20"/>
                <w:szCs w:val="20"/>
                <w:color w:val="auto"/>
              </w:rPr>
            </w:pPr>
            <w:r>
              <w:rPr>
                <w:rFonts w:ascii="Arial" w:cs="Arial" w:eastAsia="Arial" w:hAnsi="Arial"/>
                <w:sz w:val="12"/>
                <w:szCs w:val="12"/>
                <w:b w:val="1"/>
                <w:bCs w:val="1"/>
                <w:color w:val="auto"/>
                <w:w w:val="85"/>
              </w:rPr>
              <w:t>Name of Each Exchange on Which Registered</w:t>
            </w:r>
          </w:p>
        </w:tc>
      </w:tr>
      <w:tr>
        <w:trPr>
          <w:trHeight w:val="230"/>
        </w:trPr>
        <w:tc>
          <w:tcPr>
            <w:tcW w:w="5220" w:type="dxa"/>
            <w:vAlign w:val="bottom"/>
          </w:tcPr>
          <w:p>
            <w:pPr>
              <w:jc w:val="center"/>
              <w:ind w:right="2994"/>
              <w:spacing w:after="0"/>
              <w:rPr>
                <w:sz w:val="20"/>
                <w:szCs w:val="20"/>
                <w:color w:val="auto"/>
              </w:rPr>
            </w:pPr>
            <w:r>
              <w:rPr>
                <w:rFonts w:ascii="Arial" w:cs="Arial" w:eastAsia="Arial" w:hAnsi="Arial"/>
                <w:sz w:val="14"/>
                <w:szCs w:val="14"/>
                <w:color w:val="auto"/>
                <w:w w:val="91"/>
              </w:rPr>
              <w:t>Common Stock, $.50 par value</w:t>
            </w:r>
          </w:p>
        </w:tc>
        <w:tc>
          <w:tcPr>
            <w:tcW w:w="3140" w:type="dxa"/>
            <w:vAlign w:val="bottom"/>
          </w:tcPr>
          <w:p>
            <w:pPr>
              <w:jc w:val="center"/>
              <w:ind w:right="1276"/>
              <w:spacing w:after="0"/>
              <w:rPr>
                <w:sz w:val="20"/>
                <w:szCs w:val="20"/>
                <w:color w:val="auto"/>
              </w:rPr>
            </w:pPr>
            <w:r>
              <w:rPr>
                <w:rFonts w:ascii="Arial" w:cs="Arial" w:eastAsia="Arial" w:hAnsi="Arial"/>
                <w:sz w:val="14"/>
                <w:szCs w:val="14"/>
                <w:color w:val="auto"/>
                <w:w w:val="91"/>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-136525</wp:posOffset>
            </wp:positionV>
            <wp:extent cx="304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-136525</wp:posOffset>
            </wp:positionV>
            <wp:extent cx="304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8"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90"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8.234% Capital Securities of M&amp;T Capital Trust I</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(and the Guarantee of M&amp;T Bank Corporation with respect thereto)</w:t>
      </w:r>
    </w:p>
    <w:p>
      <w:pPr>
        <w:spacing w:after="0" w:line="6" w:lineRule="exact"/>
        <w:rPr>
          <w:sz w:val="20"/>
          <w:szCs w:val="20"/>
          <w:color w:val="auto"/>
        </w:rPr>
      </w:pPr>
    </w:p>
    <w:p>
      <w:pPr>
        <w:jc w:val="center"/>
        <w:ind w:right="-779"/>
        <w:spacing w:after="0"/>
        <w:rPr>
          <w:sz w:val="20"/>
          <w:szCs w:val="20"/>
          <w:color w:val="auto"/>
        </w:rPr>
      </w:pPr>
      <w:r>
        <w:rPr>
          <w:rFonts w:ascii="Arial" w:cs="Arial" w:eastAsia="Arial" w:hAnsi="Arial"/>
          <w:sz w:val="12"/>
          <w:szCs w:val="12"/>
          <w:i w:val="1"/>
          <w:iCs w:val="1"/>
          <w:color w:val="auto"/>
        </w:rPr>
        <w:t>(Title of class)</w:t>
      </w:r>
    </w:p>
    <w:p>
      <w:pPr>
        <w:jc w:val="center"/>
        <w:ind w:right="-779"/>
        <w:spacing w:after="0"/>
        <w:rPr>
          <w:sz w:val="20"/>
          <w:szCs w:val="20"/>
          <w:color w:val="auto"/>
        </w:rPr>
      </w:pPr>
      <w:r>
        <w:rPr>
          <w:rFonts w:ascii="Arial" w:cs="Arial" w:eastAsia="Arial" w:hAnsi="Arial"/>
          <w:sz w:val="14"/>
          <w:szCs w:val="14"/>
          <w:b w:val="1"/>
          <w:bCs w:val="1"/>
          <w:color w:val="auto"/>
        </w:rPr>
        <w:t>8.234% Junior Subordinated Debentures of</w:t>
      </w:r>
    </w:p>
    <w:p>
      <w:pPr>
        <w:spacing w:after="0" w:line="7"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M&amp;T Bank Corporation</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i w:val="1"/>
          <w:iCs w:val="1"/>
          <w:color w:val="auto"/>
        </w:rPr>
        <w:t>(Title of class)</w:t>
      </w:r>
    </w:p>
    <w:p>
      <w:pPr>
        <w:sectPr>
          <w:pgSz w:w="11900" w:h="16838" w:orient="portrait"/>
          <w:cols w:equalWidth="0" w:num="1">
            <w:col w:w="10580"/>
          </w:cols>
          <w:pgMar w:left="220" w:top="127" w:right="1099" w:bottom="1440" w:gutter="0" w:footer="0" w:header="0"/>
        </w:sectPr>
      </w:pPr>
    </w:p>
    <w:p>
      <w:pPr>
        <w:spacing w:after="0" w:line="25" w:lineRule="exact"/>
        <w:rPr>
          <w:sz w:val="20"/>
          <w:szCs w:val="20"/>
          <w:color w:val="auto"/>
        </w:rPr>
      </w:pPr>
    </w:p>
    <w:p>
      <w:pPr>
        <w:ind w:left="1080"/>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No o</w:t>
      </w:r>
    </w:p>
    <w:p>
      <w:pPr>
        <w:spacing w:after="0" w:line="47" w:lineRule="exact"/>
        <w:rPr>
          <w:sz w:val="20"/>
          <w:szCs w:val="20"/>
          <w:color w:val="auto"/>
        </w:rPr>
      </w:pPr>
    </w:p>
    <w:p>
      <w:pPr>
        <w:sectPr>
          <w:pgSz w:w="11900" w:h="16838" w:orient="portrait"/>
          <w:cols w:equalWidth="0" w:num="2">
            <w:col w:w="8160" w:space="180"/>
            <w:col w:w="2240"/>
          </w:cols>
          <w:pgMar w:left="220" w:top="127" w:right="1099" w:bottom="1440" w:gutter="0" w:footer="0" w:header="0"/>
          <w:type w:val="continuous"/>
        </w:sectPr>
      </w:pPr>
    </w:p>
    <w:p>
      <w:pPr>
        <w:spacing w:after="0" w:line="2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7" w:lineRule="exact"/>
        <w:rPr>
          <w:sz w:val="20"/>
          <w:szCs w:val="20"/>
          <w:color w:val="auto"/>
        </w:rPr>
      </w:pPr>
    </w:p>
    <w:p>
      <w:pPr>
        <w:sectPr>
          <w:pgSz w:w="11900" w:h="16838" w:orient="portrait"/>
          <w:cols w:equalWidth="0" w:num="2">
            <w:col w:w="8220" w:space="180"/>
            <w:col w:w="2180"/>
          </w:cols>
          <w:pgMar w:left="220" w:top="127" w:right="1099" w:bottom="1440" w:gutter="0" w:footer="0" w:header="0"/>
          <w:type w:val="continuous"/>
        </w:sectPr>
      </w:pPr>
    </w:p>
    <w:p>
      <w:pPr>
        <w:ind w:left="680" w:right="280" w:firstLine="399"/>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 w:lineRule="exact"/>
        <w:rPr>
          <w:sz w:val="20"/>
          <w:szCs w:val="20"/>
          <w:color w:val="auto"/>
        </w:rPr>
      </w:pPr>
    </w:p>
    <w:p>
      <w:pPr>
        <w:ind w:left="680" w:right="420" w:firstLine="399"/>
        <w:spacing w:after="0" w:line="302"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ind w:left="680" w:firstLine="399"/>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580"/>
          </w:cols>
          <w:pgMar w:left="220" w:top="127" w:right="109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Non-accelerated filer o</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03" w:lineRule="exact"/>
        <w:rPr>
          <w:sz w:val="20"/>
          <w:szCs w:val="20"/>
          <w:color w:val="auto"/>
        </w:rPr>
      </w:pPr>
    </w:p>
    <w:p>
      <w:pPr>
        <w:sectPr>
          <w:pgSz w:w="11900" w:h="16838" w:orient="portrait"/>
          <w:cols w:equalWidth="0" w:num="2">
            <w:col w:w="6460" w:space="720"/>
            <w:col w:w="3400"/>
          </w:cols>
          <w:pgMar w:left="220" w:top="127" w:right="1099" w:bottom="1440" w:gutter="0" w:footer="0" w:header="0"/>
          <w:type w:val="continuous"/>
        </w:sectPr>
      </w:pPr>
    </w:p>
    <w:p>
      <w:pPr>
        <w:ind w:left="1080"/>
        <w:spacing w:after="0" w:line="150" w:lineRule="exact"/>
        <w:tabs>
          <w:tab w:leader="none" w:pos="74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8" w:lineRule="exact"/>
        <w:rPr>
          <w:sz w:val="20"/>
          <w:szCs w:val="20"/>
          <w:color w:val="auto"/>
        </w:rPr>
      </w:pPr>
    </w:p>
    <w:p>
      <w:pPr>
        <w:ind w:left="680" w:right="220" w:firstLine="399"/>
        <w:spacing w:after="0" w:line="272" w:lineRule="auto"/>
        <w:rPr>
          <w:sz w:val="20"/>
          <w:szCs w:val="20"/>
          <w:color w:val="auto"/>
        </w:rPr>
      </w:pPr>
      <w:r>
        <w:rPr>
          <w:rFonts w:ascii="Arial" w:cs="Arial" w:eastAsia="Arial" w:hAnsi="Arial"/>
          <w:sz w:val="14"/>
          <w:szCs w:val="14"/>
          <w:color w:val="auto"/>
        </w:rPr>
        <w:t>Aggregate market value of the Common Stock, $0.50 par value, held by non-affiliates of the registrant, computed by reference to the closing price as of the close of business on June 30, 2007: $7,204,996,501.</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Number of shares of the Common Stock, $0.50 par value, outstanding as of the close of business on January 31, 2008: 109,999,781 shares.</w:t>
      </w:r>
    </w:p>
    <w:p>
      <w:pPr>
        <w:spacing w:after="0" w:line="99"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 Portions of the Proxy Statement for the 2008 Annual Meeting of Stockholders of M&amp;T Bank Corporation in Parts II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46990</wp:posOffset>
            </wp:positionV>
            <wp:extent cx="634238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2380" cy="247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165735</wp:posOffset>
            </wp:positionV>
            <wp:extent cx="729234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580"/>
          </w:cols>
          <w:pgMar w:left="220" w:top="127" w:right="109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M&amp;T BANK CORPORATION</w:t>
      </w:r>
    </w:p>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Form 10-K for the year ended December 31, 2007</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CROSS-REFERENCE SHEET</w:t>
      </w:r>
    </w:p>
    <w:p>
      <w:pPr>
        <w:spacing w:after="0" w:line="173"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Form 10-K</w:t>
      </w:r>
    </w:p>
    <w:p>
      <w:pPr>
        <w:spacing w:after="0" w:line="3"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5702935</wp:posOffset>
            </wp:positionH>
            <wp:positionV relativeFrom="paragraph">
              <wp:posOffset>-1905</wp:posOffset>
            </wp:positionV>
            <wp:extent cx="10725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2515" cy="6350"/>
                    </a:xfrm>
                    <a:prstGeom prst="rect">
                      <a:avLst/>
                    </a:prstGeom>
                    <a:noFill/>
                  </pic:spPr>
                </pic:pic>
              </a:graphicData>
            </a:graphic>
          </wp:anchor>
        </w:drawing>
      </w:r>
    </w:p>
    <w:p>
      <w:pPr>
        <w:jc w:val="center"/>
        <w:ind w:right="1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PART I</w:t>
        </w:r>
      </w:hyperlink>
    </w:p>
    <w:tbl>
      <w:tblPr>
        <w:tblLayout w:type="fixed"/>
        <w:tblInd w:w="680" w:type="dxa"/>
        <w:tblCellMar>
          <w:top w:w="0" w:type="dxa"/>
          <w:left w:w="0" w:type="dxa"/>
          <w:bottom w:w="0" w:type="dxa"/>
          <w:right w:w="0" w:type="dxa"/>
        </w:tblCellMar>
      </w:tblPr>
      <w:tr>
        <w:trPr>
          <w:trHeight w:val="144"/>
        </w:trPr>
        <w:tc>
          <w:tcPr>
            <w:tcW w:w="4760" w:type="dxa"/>
            <w:vAlign w:val="bottom"/>
            <w:gridSpan w:val="2"/>
          </w:tcPr>
          <w:p>
            <w:pPr>
              <w:spacing w:after="0" w:line="144" w:lineRule="exact"/>
              <w:rPr>
                <w:rFonts w:ascii="Arial" w:cs="Arial" w:eastAsia="Arial" w:hAnsi="Arial"/>
                <w:sz w:val="14"/>
                <w:szCs w:val="14"/>
                <w:color w:val="0000EE"/>
              </w:rPr>
            </w:pPr>
            <w:hyperlink w:anchor="page5">
              <w:r>
                <w:rPr>
                  <w:rFonts w:ascii="Arial" w:cs="Arial" w:eastAsia="Arial" w:hAnsi="Arial"/>
                  <w:sz w:val="14"/>
                  <w:szCs w:val="14"/>
                  <w:color w:val="0000EE"/>
                </w:rPr>
                <w:t>Item 1. Business</w:t>
              </w:r>
            </w:hyperlink>
          </w:p>
        </w:tc>
        <w:tc>
          <w:tcPr>
            <w:tcW w:w="460" w:type="dxa"/>
            <w:vAlign w:val="bottom"/>
            <w:tcBorders>
              <w:top w:val="single" w:sz="8" w:color="0000EE"/>
            </w:tcBorders>
          </w:tcPr>
          <w:p>
            <w:pPr>
              <w:spacing w:after="0"/>
              <w:rPr>
                <w:sz w:val="12"/>
                <w:szCs w:val="12"/>
                <w:color w:val="auto"/>
              </w:rPr>
            </w:pPr>
          </w:p>
        </w:tc>
        <w:tc>
          <w:tcPr>
            <w:tcW w:w="4760" w:type="dxa"/>
            <w:vAlign w:val="bottom"/>
          </w:tcPr>
          <w:p>
            <w:pPr>
              <w:jc w:val="right"/>
              <w:spacing w:after="0" w:line="144" w:lineRule="exact"/>
              <w:rPr>
                <w:sz w:val="20"/>
                <w:szCs w:val="20"/>
                <w:color w:val="auto"/>
              </w:rPr>
            </w:pPr>
            <w:r>
              <w:rPr>
                <w:rFonts w:ascii="Arial" w:cs="Arial" w:eastAsia="Arial" w:hAnsi="Arial"/>
                <w:sz w:val="14"/>
                <w:szCs w:val="14"/>
                <w:color w:val="auto"/>
              </w:rPr>
              <w:t>4</w:t>
            </w:r>
          </w:p>
        </w:tc>
      </w:tr>
      <w:tr>
        <w:trPr>
          <w:trHeight w:val="20"/>
        </w:trPr>
        <w:tc>
          <w:tcPr>
            <w:tcW w:w="94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71" w:lineRule="exact"/>
        <w:rPr>
          <w:sz w:val="20"/>
          <w:szCs w:val="20"/>
          <w:color w:val="auto"/>
        </w:rPr>
      </w:pPr>
    </w:p>
    <w:p>
      <w:pPr>
        <w:ind w:left="2280" w:hanging="531"/>
        <w:spacing w:after="0"/>
        <w:tabs>
          <w:tab w:leader="none" w:pos="2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Distribution of assets, liabilities, and stockholders’ equity; interest rates and interest differential</w:t>
      </w:r>
    </w:p>
    <w:p>
      <w:pPr>
        <w:spacing w:after="0" w:line="6"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A. Average balance sheets</w:t>
            </w: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4"/>
        </w:trPr>
        <w:tc>
          <w:tcPr>
            <w:tcW w:w="34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B. Interest income/expense and resulting yield or rate on average interest-earning assets (including non-accrual</w:t>
            </w:r>
          </w:p>
        </w:tc>
        <w:tc>
          <w:tcPr>
            <w:tcW w:w="11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7460" w:type="dxa"/>
            <w:vAlign w:val="bottom"/>
          </w:tcPr>
          <w:p>
            <w:pPr>
              <w:ind w:left="360"/>
              <w:spacing w:after="0"/>
              <w:rPr>
                <w:sz w:val="20"/>
                <w:szCs w:val="20"/>
                <w:color w:val="auto"/>
              </w:rPr>
            </w:pPr>
            <w:r>
              <w:rPr>
                <w:rFonts w:ascii="Arial" w:cs="Arial" w:eastAsia="Arial" w:hAnsi="Arial"/>
                <w:sz w:val="14"/>
                <w:szCs w:val="14"/>
                <w:color w:val="auto"/>
              </w:rPr>
              <w:t>loans) and interest-bearing liabilities</w:t>
            </w: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4"/>
        </w:trPr>
        <w:tc>
          <w:tcPr>
            <w:tcW w:w="34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C. Rate/volume variances</w:t>
            </w: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4"/>
        </w:trPr>
        <w:tc>
          <w:tcPr>
            <w:tcW w:w="340" w:type="dxa"/>
            <w:vAlign w:val="bottom"/>
          </w:tcPr>
          <w:p>
            <w:pPr>
              <w:spacing w:after="0"/>
              <w:rPr>
                <w:sz w:val="20"/>
                <w:szCs w:val="20"/>
                <w:color w:val="auto"/>
              </w:rPr>
            </w:pPr>
            <w:r>
              <w:rPr>
                <w:rFonts w:ascii="Arial" w:cs="Arial" w:eastAsia="Arial" w:hAnsi="Arial"/>
                <w:sz w:val="14"/>
                <w:szCs w:val="14"/>
                <w:color w:val="auto"/>
              </w:rPr>
              <w:t>II.</w:t>
            </w:r>
          </w:p>
        </w:tc>
        <w:tc>
          <w:tcPr>
            <w:tcW w:w="7460" w:type="dxa"/>
            <w:vAlign w:val="bottom"/>
          </w:tcPr>
          <w:p>
            <w:pPr>
              <w:ind w:left="200"/>
              <w:spacing w:after="0"/>
              <w:rPr>
                <w:sz w:val="20"/>
                <w:szCs w:val="20"/>
                <w:color w:val="auto"/>
              </w:rPr>
            </w:pPr>
            <w:r>
              <w:rPr>
                <w:rFonts w:ascii="Arial" w:cs="Arial" w:eastAsia="Arial" w:hAnsi="Arial"/>
                <w:sz w:val="14"/>
                <w:szCs w:val="14"/>
                <w:color w:val="auto"/>
              </w:rPr>
              <w:t>Investment portfolio</w:t>
            </w:r>
          </w:p>
        </w:tc>
        <w:tc>
          <w:tcPr>
            <w:tcW w:w="11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A. Year-end balances</w:t>
            </w: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4"/>
        </w:trPr>
        <w:tc>
          <w:tcPr>
            <w:tcW w:w="340" w:type="dxa"/>
            <w:vAlign w:val="bottom"/>
          </w:tcPr>
          <w:p>
            <w:pPr>
              <w:spacing w:after="0"/>
              <w:rPr>
                <w:sz w:val="14"/>
                <w:szCs w:val="14"/>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B. Maturity schedule and weighted average yield</w:t>
            </w:r>
          </w:p>
        </w:tc>
        <w:tc>
          <w:tcPr>
            <w:tcW w:w="11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76"/>
        </w:trPr>
        <w:tc>
          <w:tcPr>
            <w:tcW w:w="340" w:type="dxa"/>
            <w:vAlign w:val="bottom"/>
          </w:tcPr>
          <w:p>
            <w:pPr>
              <w:spacing w:after="0"/>
              <w:rPr>
                <w:sz w:val="15"/>
                <w:szCs w:val="15"/>
                <w:color w:val="auto"/>
              </w:rPr>
            </w:pPr>
          </w:p>
        </w:tc>
        <w:tc>
          <w:tcPr>
            <w:tcW w:w="7460" w:type="dxa"/>
            <w:vAlign w:val="bottom"/>
          </w:tcPr>
          <w:p>
            <w:pPr>
              <w:ind w:left="200"/>
              <w:spacing w:after="0"/>
              <w:rPr>
                <w:sz w:val="20"/>
                <w:szCs w:val="20"/>
                <w:color w:val="auto"/>
              </w:rPr>
            </w:pPr>
            <w:r>
              <w:rPr>
                <w:rFonts w:ascii="Arial" w:cs="Arial" w:eastAsia="Arial" w:hAnsi="Arial"/>
                <w:sz w:val="14"/>
                <w:szCs w:val="14"/>
                <w:color w:val="auto"/>
              </w:rPr>
              <w:t>C. Aggregate carrying value of securities that exceed ten percent of stockholders’ equity</w:t>
            </w:r>
          </w:p>
        </w:tc>
        <w:tc>
          <w:tcPr>
            <w:tcW w:w="1120" w:type="dxa"/>
            <w:vAlign w:val="bottom"/>
          </w:tcPr>
          <w:p>
            <w:pPr>
              <w:jc w:val="right"/>
              <w:spacing w:after="0"/>
              <w:rPr>
                <w:sz w:val="20"/>
                <w:szCs w:val="20"/>
                <w:color w:val="auto"/>
              </w:rPr>
            </w:pPr>
            <w:r>
              <w:rPr>
                <w:rFonts w:ascii="Arial" w:cs="Arial" w:eastAsia="Arial" w:hAnsi="Arial"/>
                <w:sz w:val="14"/>
                <w:szCs w:val="14"/>
                <w:color w:val="auto"/>
              </w:rPr>
              <w:t>98</w:t>
            </w:r>
          </w:p>
        </w:tc>
      </w:tr>
    </w:tbl>
    <w:p>
      <w:pPr>
        <w:ind w:left="2280" w:hanging="531"/>
        <w:spacing w:after="0"/>
        <w:tabs>
          <w:tab w:leader="none" w:pos="2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Loan portfolio</w:t>
      </w:r>
    </w:p>
    <w:tbl>
      <w:tblPr>
        <w:tblLayout w:type="fixed"/>
        <w:tblInd w:w="1740" w:type="dxa"/>
        <w:tblCellMar>
          <w:top w:w="0" w:type="dxa"/>
          <w:left w:w="0" w:type="dxa"/>
          <w:bottom w:w="0" w:type="dxa"/>
          <w:right w:w="0" w:type="dxa"/>
        </w:tblCellMar>
      </w:tblPr>
      <w:tr>
        <w:trPr>
          <w:trHeight w:val="155"/>
        </w:trPr>
        <w:tc>
          <w:tcPr>
            <w:tcW w:w="360" w:type="dxa"/>
            <w:vAlign w:val="bottom"/>
          </w:tcPr>
          <w:p>
            <w:pPr>
              <w:spacing w:after="0"/>
              <w:rPr>
                <w:sz w:val="13"/>
                <w:szCs w:val="13"/>
                <w:color w:val="auto"/>
              </w:rPr>
            </w:pPr>
          </w:p>
        </w:tc>
        <w:tc>
          <w:tcPr>
            <w:tcW w:w="7040" w:type="dxa"/>
            <w:vAlign w:val="bottom"/>
          </w:tcPr>
          <w:p>
            <w:pPr>
              <w:ind w:left="180"/>
              <w:spacing w:after="0" w:line="155" w:lineRule="exact"/>
              <w:rPr>
                <w:sz w:val="20"/>
                <w:szCs w:val="20"/>
                <w:color w:val="auto"/>
              </w:rPr>
            </w:pPr>
            <w:r>
              <w:rPr>
                <w:rFonts w:ascii="Arial" w:cs="Arial" w:eastAsia="Arial" w:hAnsi="Arial"/>
                <w:sz w:val="14"/>
                <w:szCs w:val="14"/>
                <w:color w:val="auto"/>
              </w:rPr>
              <w:t>A. Year-end balances</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19, 101</w:t>
            </w:r>
          </w:p>
        </w:tc>
      </w:tr>
      <w:tr>
        <w:trPr>
          <w:trHeight w:val="164"/>
        </w:trPr>
        <w:tc>
          <w:tcPr>
            <w:tcW w:w="360" w:type="dxa"/>
            <w:vAlign w:val="bottom"/>
          </w:tcPr>
          <w:p>
            <w:pPr>
              <w:spacing w:after="0"/>
              <w:rPr>
                <w:sz w:val="14"/>
                <w:szCs w:val="14"/>
                <w:color w:val="auto"/>
              </w:rPr>
            </w:pPr>
          </w:p>
        </w:tc>
        <w:tc>
          <w:tcPr>
            <w:tcW w:w="7040" w:type="dxa"/>
            <w:vAlign w:val="bottom"/>
          </w:tcPr>
          <w:p>
            <w:pPr>
              <w:ind w:left="180"/>
              <w:spacing w:after="0"/>
              <w:rPr>
                <w:sz w:val="20"/>
                <w:szCs w:val="20"/>
                <w:color w:val="auto"/>
              </w:rPr>
            </w:pPr>
            <w:r>
              <w:rPr>
                <w:rFonts w:ascii="Arial" w:cs="Arial" w:eastAsia="Arial" w:hAnsi="Arial"/>
                <w:sz w:val="14"/>
                <w:szCs w:val="14"/>
                <w:color w:val="auto"/>
              </w:rPr>
              <w:t>B. Maturities and sensitivities to changes in interest rates</w:t>
            </w:r>
          </w:p>
        </w:tc>
        <w:tc>
          <w:tcPr>
            <w:tcW w:w="15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64"/>
        </w:trPr>
        <w:tc>
          <w:tcPr>
            <w:tcW w:w="360" w:type="dxa"/>
            <w:vAlign w:val="bottom"/>
          </w:tcPr>
          <w:p>
            <w:pPr>
              <w:spacing w:after="0"/>
              <w:rPr>
                <w:sz w:val="14"/>
                <w:szCs w:val="14"/>
                <w:color w:val="auto"/>
              </w:rPr>
            </w:pPr>
          </w:p>
        </w:tc>
        <w:tc>
          <w:tcPr>
            <w:tcW w:w="7040" w:type="dxa"/>
            <w:vAlign w:val="bottom"/>
          </w:tcPr>
          <w:p>
            <w:pPr>
              <w:ind w:left="180"/>
              <w:spacing w:after="0"/>
              <w:rPr>
                <w:sz w:val="20"/>
                <w:szCs w:val="20"/>
                <w:color w:val="auto"/>
              </w:rPr>
            </w:pPr>
            <w:r>
              <w:rPr>
                <w:rFonts w:ascii="Arial" w:cs="Arial" w:eastAsia="Arial" w:hAnsi="Arial"/>
                <w:sz w:val="14"/>
                <w:szCs w:val="14"/>
                <w:color w:val="auto"/>
              </w:rPr>
              <w:t>C. Risk elements</w:t>
            </w:r>
          </w:p>
        </w:tc>
        <w:tc>
          <w:tcPr>
            <w:tcW w:w="1520" w:type="dxa"/>
            <w:vAlign w:val="bottom"/>
          </w:tcPr>
          <w:p>
            <w:pPr>
              <w:spacing w:after="0"/>
              <w:rPr>
                <w:sz w:val="14"/>
                <w:szCs w:val="14"/>
                <w:color w:val="auto"/>
              </w:rPr>
            </w:pPr>
          </w:p>
        </w:tc>
      </w:tr>
      <w:tr>
        <w:trPr>
          <w:trHeight w:val="164"/>
        </w:trPr>
        <w:tc>
          <w:tcPr>
            <w:tcW w:w="360" w:type="dxa"/>
            <w:vAlign w:val="bottom"/>
          </w:tcPr>
          <w:p>
            <w:pPr>
              <w:spacing w:after="0"/>
              <w:rPr>
                <w:sz w:val="14"/>
                <w:szCs w:val="14"/>
                <w:color w:val="auto"/>
              </w:rPr>
            </w:pPr>
          </w:p>
        </w:tc>
        <w:tc>
          <w:tcPr>
            <w:tcW w:w="7040" w:type="dxa"/>
            <w:vAlign w:val="bottom"/>
          </w:tcPr>
          <w:p>
            <w:pPr>
              <w:ind w:left="320"/>
              <w:spacing w:after="0"/>
              <w:rPr>
                <w:sz w:val="20"/>
                <w:szCs w:val="20"/>
                <w:color w:val="auto"/>
              </w:rPr>
            </w:pPr>
            <w:r>
              <w:rPr>
                <w:rFonts w:ascii="Arial" w:cs="Arial" w:eastAsia="Arial" w:hAnsi="Arial"/>
                <w:sz w:val="14"/>
                <w:szCs w:val="14"/>
                <w:color w:val="auto"/>
              </w:rPr>
              <w:t>Nonaccrual, past due and renegotiated loans</w:t>
            </w:r>
          </w:p>
        </w:tc>
        <w:tc>
          <w:tcPr>
            <w:tcW w:w="15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4"/>
        </w:trPr>
        <w:tc>
          <w:tcPr>
            <w:tcW w:w="360" w:type="dxa"/>
            <w:vAlign w:val="bottom"/>
          </w:tcPr>
          <w:p>
            <w:pPr>
              <w:spacing w:after="0"/>
              <w:rPr>
                <w:sz w:val="14"/>
                <w:szCs w:val="14"/>
                <w:color w:val="auto"/>
              </w:rPr>
            </w:pPr>
          </w:p>
        </w:tc>
        <w:tc>
          <w:tcPr>
            <w:tcW w:w="7040" w:type="dxa"/>
            <w:vAlign w:val="bottom"/>
          </w:tcPr>
          <w:p>
            <w:pPr>
              <w:ind w:left="320"/>
              <w:spacing w:after="0"/>
              <w:rPr>
                <w:sz w:val="20"/>
                <w:szCs w:val="20"/>
                <w:color w:val="auto"/>
              </w:rPr>
            </w:pPr>
            <w:r>
              <w:rPr>
                <w:rFonts w:ascii="Arial" w:cs="Arial" w:eastAsia="Arial" w:hAnsi="Arial"/>
                <w:sz w:val="14"/>
                <w:szCs w:val="14"/>
                <w:color w:val="auto"/>
              </w:rPr>
              <w:t>Actual and pro forma interest on certain loans</w:t>
            </w:r>
          </w:p>
        </w:tc>
        <w:tc>
          <w:tcPr>
            <w:tcW w:w="1520" w:type="dxa"/>
            <w:vAlign w:val="bottom"/>
          </w:tcPr>
          <w:p>
            <w:pPr>
              <w:jc w:val="right"/>
              <w:spacing w:after="0"/>
              <w:rPr>
                <w:sz w:val="20"/>
                <w:szCs w:val="20"/>
                <w:color w:val="auto"/>
              </w:rPr>
            </w:pPr>
            <w:r>
              <w:rPr>
                <w:rFonts w:ascii="Arial" w:cs="Arial" w:eastAsia="Arial" w:hAnsi="Arial"/>
                <w:sz w:val="14"/>
                <w:szCs w:val="14"/>
                <w:color w:val="auto"/>
              </w:rPr>
              <w:t>101-102</w:t>
            </w:r>
          </w:p>
        </w:tc>
      </w:tr>
      <w:tr>
        <w:trPr>
          <w:trHeight w:val="164"/>
        </w:trPr>
        <w:tc>
          <w:tcPr>
            <w:tcW w:w="360" w:type="dxa"/>
            <w:vAlign w:val="bottom"/>
          </w:tcPr>
          <w:p>
            <w:pPr>
              <w:spacing w:after="0"/>
              <w:rPr>
                <w:sz w:val="14"/>
                <w:szCs w:val="14"/>
                <w:color w:val="auto"/>
              </w:rPr>
            </w:pPr>
          </w:p>
        </w:tc>
        <w:tc>
          <w:tcPr>
            <w:tcW w:w="7040" w:type="dxa"/>
            <w:vAlign w:val="bottom"/>
          </w:tcPr>
          <w:p>
            <w:pPr>
              <w:ind w:left="320"/>
              <w:spacing w:after="0"/>
              <w:rPr>
                <w:sz w:val="20"/>
                <w:szCs w:val="20"/>
                <w:color w:val="auto"/>
              </w:rPr>
            </w:pPr>
            <w:r>
              <w:rPr>
                <w:rFonts w:ascii="Arial" w:cs="Arial" w:eastAsia="Arial" w:hAnsi="Arial"/>
                <w:sz w:val="14"/>
                <w:szCs w:val="14"/>
                <w:color w:val="auto"/>
              </w:rPr>
              <w:t>Nonaccrual policy</w:t>
            </w:r>
          </w:p>
        </w:tc>
        <w:tc>
          <w:tcPr>
            <w:tcW w:w="15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4"/>
        </w:trPr>
        <w:tc>
          <w:tcPr>
            <w:tcW w:w="360" w:type="dxa"/>
            <w:vAlign w:val="bottom"/>
          </w:tcPr>
          <w:p>
            <w:pPr>
              <w:spacing w:after="0"/>
              <w:rPr>
                <w:sz w:val="14"/>
                <w:szCs w:val="14"/>
                <w:color w:val="auto"/>
              </w:rPr>
            </w:pPr>
          </w:p>
        </w:tc>
        <w:tc>
          <w:tcPr>
            <w:tcW w:w="7040" w:type="dxa"/>
            <w:vAlign w:val="bottom"/>
          </w:tcPr>
          <w:p>
            <w:pPr>
              <w:ind w:left="320"/>
              <w:spacing w:after="0"/>
              <w:rPr>
                <w:sz w:val="20"/>
                <w:szCs w:val="20"/>
                <w:color w:val="auto"/>
              </w:rPr>
            </w:pPr>
            <w:r>
              <w:rPr>
                <w:rFonts w:ascii="Arial" w:cs="Arial" w:eastAsia="Arial" w:hAnsi="Arial"/>
                <w:sz w:val="14"/>
                <w:szCs w:val="14"/>
                <w:color w:val="auto"/>
              </w:rPr>
              <w:t>Loan concentrations</w:t>
            </w:r>
          </w:p>
        </w:tc>
        <w:tc>
          <w:tcPr>
            <w:tcW w:w="15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4"/>
        </w:trPr>
        <w:tc>
          <w:tcPr>
            <w:tcW w:w="360" w:type="dxa"/>
            <w:vAlign w:val="bottom"/>
          </w:tcPr>
          <w:p>
            <w:pPr>
              <w:spacing w:after="0"/>
              <w:rPr>
                <w:sz w:val="20"/>
                <w:szCs w:val="20"/>
                <w:color w:val="auto"/>
              </w:rPr>
            </w:pPr>
            <w:r>
              <w:rPr>
                <w:rFonts w:ascii="Arial" w:cs="Arial" w:eastAsia="Arial" w:hAnsi="Arial"/>
                <w:sz w:val="14"/>
                <w:szCs w:val="14"/>
                <w:color w:val="auto"/>
              </w:rPr>
              <w:t>IV.</w:t>
            </w:r>
          </w:p>
        </w:tc>
        <w:tc>
          <w:tcPr>
            <w:tcW w:w="7040" w:type="dxa"/>
            <w:vAlign w:val="bottom"/>
          </w:tcPr>
          <w:p>
            <w:pPr>
              <w:ind w:left="180"/>
              <w:spacing w:after="0"/>
              <w:rPr>
                <w:sz w:val="20"/>
                <w:szCs w:val="20"/>
                <w:color w:val="auto"/>
              </w:rPr>
            </w:pPr>
            <w:r>
              <w:rPr>
                <w:rFonts w:ascii="Arial" w:cs="Arial" w:eastAsia="Arial" w:hAnsi="Arial"/>
                <w:sz w:val="14"/>
                <w:szCs w:val="14"/>
                <w:color w:val="auto"/>
              </w:rPr>
              <w:t>Summary of loan loss experience</w:t>
            </w:r>
          </w:p>
        </w:tc>
        <w:tc>
          <w:tcPr>
            <w:tcW w:w="1520" w:type="dxa"/>
            <w:vAlign w:val="bottom"/>
          </w:tcPr>
          <w:p>
            <w:pPr>
              <w:spacing w:after="0"/>
              <w:rPr>
                <w:sz w:val="14"/>
                <w:szCs w:val="14"/>
                <w:color w:val="auto"/>
              </w:rPr>
            </w:pPr>
          </w:p>
        </w:tc>
      </w:tr>
      <w:tr>
        <w:trPr>
          <w:trHeight w:val="164"/>
        </w:trPr>
        <w:tc>
          <w:tcPr>
            <w:tcW w:w="360" w:type="dxa"/>
            <w:vAlign w:val="bottom"/>
          </w:tcPr>
          <w:p>
            <w:pPr>
              <w:spacing w:after="0"/>
              <w:rPr>
                <w:sz w:val="14"/>
                <w:szCs w:val="14"/>
                <w:color w:val="auto"/>
              </w:rPr>
            </w:pPr>
          </w:p>
        </w:tc>
        <w:tc>
          <w:tcPr>
            <w:tcW w:w="7040" w:type="dxa"/>
            <w:vAlign w:val="bottom"/>
          </w:tcPr>
          <w:p>
            <w:pPr>
              <w:ind w:left="180"/>
              <w:spacing w:after="0"/>
              <w:rPr>
                <w:sz w:val="20"/>
                <w:szCs w:val="20"/>
                <w:color w:val="auto"/>
              </w:rPr>
            </w:pPr>
            <w:r>
              <w:rPr>
                <w:rFonts w:ascii="Arial" w:cs="Arial" w:eastAsia="Arial" w:hAnsi="Arial"/>
                <w:sz w:val="14"/>
                <w:szCs w:val="14"/>
                <w:color w:val="auto"/>
              </w:rPr>
              <w:t>A. Analysis of the allowance for loan losses</w:t>
            </w:r>
          </w:p>
        </w:tc>
        <w:tc>
          <w:tcPr>
            <w:tcW w:w="15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4"/>
        </w:trPr>
        <w:tc>
          <w:tcPr>
            <w:tcW w:w="360" w:type="dxa"/>
            <w:vAlign w:val="bottom"/>
          </w:tcPr>
          <w:p>
            <w:pPr>
              <w:spacing w:after="0"/>
              <w:rPr>
                <w:sz w:val="14"/>
                <w:szCs w:val="14"/>
                <w:color w:val="auto"/>
              </w:rPr>
            </w:pPr>
          </w:p>
        </w:tc>
        <w:tc>
          <w:tcPr>
            <w:tcW w:w="7040" w:type="dxa"/>
            <w:vAlign w:val="bottom"/>
          </w:tcPr>
          <w:p>
            <w:pPr>
              <w:ind w:left="320"/>
              <w:spacing w:after="0"/>
              <w:rPr>
                <w:sz w:val="20"/>
                <w:szCs w:val="20"/>
                <w:color w:val="auto"/>
              </w:rPr>
            </w:pPr>
            <w:r>
              <w:rPr>
                <w:rFonts w:ascii="Arial" w:cs="Arial" w:eastAsia="Arial" w:hAnsi="Arial"/>
                <w:sz w:val="14"/>
                <w:szCs w:val="14"/>
                <w:color w:val="auto"/>
              </w:rPr>
              <w:t>Factors influencing management’s judgment concerning the adequacy of the allowance and provision</w:t>
            </w:r>
          </w:p>
        </w:tc>
        <w:tc>
          <w:tcPr>
            <w:tcW w:w="1520" w:type="dxa"/>
            <w:vAlign w:val="bottom"/>
          </w:tcPr>
          <w:p>
            <w:pPr>
              <w:jc w:val="right"/>
              <w:spacing w:after="0"/>
              <w:rPr>
                <w:sz w:val="20"/>
                <w:szCs w:val="20"/>
                <w:color w:val="auto"/>
              </w:rPr>
            </w:pPr>
            <w:r>
              <w:rPr>
                <w:rFonts w:ascii="Arial" w:cs="Arial" w:eastAsia="Arial" w:hAnsi="Arial"/>
                <w:sz w:val="14"/>
                <w:szCs w:val="14"/>
                <w:color w:val="auto"/>
              </w:rPr>
              <w:t>50-57, 93</w:t>
            </w:r>
          </w:p>
        </w:tc>
      </w:tr>
      <w:tr>
        <w:trPr>
          <w:trHeight w:val="176"/>
        </w:trPr>
        <w:tc>
          <w:tcPr>
            <w:tcW w:w="360" w:type="dxa"/>
            <w:vAlign w:val="bottom"/>
          </w:tcPr>
          <w:p>
            <w:pPr>
              <w:spacing w:after="0"/>
              <w:rPr>
                <w:sz w:val="15"/>
                <w:szCs w:val="15"/>
                <w:color w:val="auto"/>
              </w:rPr>
            </w:pPr>
          </w:p>
        </w:tc>
        <w:tc>
          <w:tcPr>
            <w:tcW w:w="7040" w:type="dxa"/>
            <w:vAlign w:val="bottom"/>
          </w:tcPr>
          <w:p>
            <w:pPr>
              <w:ind w:left="180"/>
              <w:spacing w:after="0"/>
              <w:rPr>
                <w:sz w:val="20"/>
                <w:szCs w:val="20"/>
                <w:color w:val="auto"/>
              </w:rPr>
            </w:pPr>
            <w:r>
              <w:rPr>
                <w:rFonts w:ascii="Arial" w:cs="Arial" w:eastAsia="Arial" w:hAnsi="Arial"/>
                <w:sz w:val="14"/>
                <w:szCs w:val="14"/>
                <w:color w:val="auto"/>
              </w:rPr>
              <w:t>B. Allocation of the allowance for loan losses</w:t>
            </w:r>
          </w:p>
        </w:tc>
        <w:tc>
          <w:tcPr>
            <w:tcW w:w="1520" w:type="dxa"/>
            <w:vAlign w:val="bottom"/>
          </w:tcPr>
          <w:p>
            <w:pPr>
              <w:jc w:val="right"/>
              <w:spacing w:after="0"/>
              <w:rPr>
                <w:sz w:val="20"/>
                <w:szCs w:val="20"/>
                <w:color w:val="auto"/>
              </w:rPr>
            </w:pPr>
            <w:r>
              <w:rPr>
                <w:rFonts w:ascii="Arial" w:cs="Arial" w:eastAsia="Arial" w:hAnsi="Arial"/>
                <w:sz w:val="14"/>
                <w:szCs w:val="14"/>
                <w:color w:val="auto"/>
              </w:rPr>
              <w:t>56</w:t>
            </w:r>
          </w:p>
        </w:tc>
      </w:tr>
    </w:tbl>
    <w:p>
      <w:pPr>
        <w:ind w:left="2280" w:hanging="531"/>
        <w:spacing w:after="0"/>
        <w:tabs>
          <w:tab w:leader="none" w:pos="2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Deposits</w:t>
      </w:r>
    </w:p>
    <w:tbl>
      <w:tblPr>
        <w:tblLayout w:type="fixed"/>
        <w:tblInd w:w="0" w:type="dxa"/>
        <w:tblCellMar>
          <w:top w:w="0" w:type="dxa"/>
          <w:left w:w="0" w:type="dxa"/>
          <w:bottom w:w="0" w:type="dxa"/>
          <w:right w:w="0" w:type="dxa"/>
        </w:tblCellMar>
      </w:tblPr>
      <w:tr>
        <w:trPr>
          <w:trHeight w:val="155"/>
        </w:trPr>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580" w:type="dxa"/>
            <w:vAlign w:val="bottom"/>
            <w:gridSpan w:val="7"/>
          </w:tcPr>
          <w:p>
            <w:pPr>
              <w:ind w:left="100"/>
              <w:spacing w:after="0" w:line="155" w:lineRule="exact"/>
              <w:rPr>
                <w:sz w:val="20"/>
                <w:szCs w:val="20"/>
                <w:color w:val="auto"/>
              </w:rPr>
            </w:pPr>
            <w:r>
              <w:rPr>
                <w:rFonts w:ascii="Arial" w:cs="Arial" w:eastAsia="Arial" w:hAnsi="Arial"/>
                <w:sz w:val="14"/>
                <w:szCs w:val="14"/>
                <w:color w:val="auto"/>
              </w:rPr>
              <w:t>A. Average balances and rates</w:t>
            </w:r>
          </w:p>
        </w:tc>
        <w:tc>
          <w:tcPr>
            <w:tcW w:w="2720" w:type="dxa"/>
            <w:vAlign w:val="bottom"/>
          </w:tcPr>
          <w:p>
            <w:pPr>
              <w:jc w:val="right"/>
              <w:ind w:right="749"/>
              <w:spacing w:after="0" w:line="155" w:lineRule="exact"/>
              <w:rPr>
                <w:sz w:val="20"/>
                <w:szCs w:val="20"/>
                <w:color w:val="auto"/>
              </w:rPr>
            </w:pPr>
            <w:r>
              <w:rPr>
                <w:rFonts w:ascii="Arial" w:cs="Arial" w:eastAsia="Arial" w:hAnsi="Arial"/>
                <w:sz w:val="14"/>
                <w:szCs w:val="14"/>
                <w:color w:val="auto"/>
              </w:rPr>
              <w:t>39</w:t>
            </w:r>
          </w:p>
        </w:tc>
      </w:tr>
      <w:tr>
        <w:trPr>
          <w:trHeight w:val="164"/>
        </w:trPr>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80" w:type="dxa"/>
            <w:vAlign w:val="bottom"/>
            <w:gridSpan w:val="7"/>
          </w:tcPr>
          <w:p>
            <w:pPr>
              <w:ind w:left="100"/>
              <w:spacing w:after="0"/>
              <w:rPr>
                <w:sz w:val="20"/>
                <w:szCs w:val="20"/>
                <w:color w:val="auto"/>
              </w:rPr>
            </w:pPr>
            <w:r>
              <w:rPr>
                <w:rFonts w:ascii="Arial" w:cs="Arial" w:eastAsia="Arial" w:hAnsi="Arial"/>
                <w:sz w:val="14"/>
                <w:szCs w:val="14"/>
                <w:color w:val="auto"/>
              </w:rPr>
              <w:t>B. Maturity schedule of domestic time deposits with balances of $100,000 or more</w:t>
            </w:r>
          </w:p>
        </w:tc>
        <w:tc>
          <w:tcPr>
            <w:tcW w:w="2720" w:type="dxa"/>
            <w:vAlign w:val="bottom"/>
          </w:tcPr>
          <w:p>
            <w:pPr>
              <w:jc w:val="right"/>
              <w:ind w:right="749"/>
              <w:spacing w:after="0"/>
              <w:rPr>
                <w:sz w:val="20"/>
                <w:szCs w:val="20"/>
                <w:color w:val="auto"/>
              </w:rPr>
            </w:pPr>
            <w:r>
              <w:rPr>
                <w:rFonts w:ascii="Arial" w:cs="Arial" w:eastAsia="Arial" w:hAnsi="Arial"/>
                <w:sz w:val="14"/>
                <w:szCs w:val="14"/>
                <w:color w:val="auto"/>
              </w:rPr>
              <w:t>70</w:t>
            </w:r>
          </w:p>
        </w:tc>
      </w:tr>
      <w:tr>
        <w:trPr>
          <w:trHeight w:val="164"/>
        </w:trPr>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gridSpan w:val="3"/>
          </w:tcPr>
          <w:p>
            <w:pPr>
              <w:ind w:left="40"/>
              <w:spacing w:after="0"/>
              <w:rPr>
                <w:sz w:val="20"/>
                <w:szCs w:val="20"/>
                <w:color w:val="auto"/>
              </w:rPr>
            </w:pPr>
            <w:r>
              <w:rPr>
                <w:rFonts w:ascii="Arial" w:cs="Arial" w:eastAsia="Arial" w:hAnsi="Arial"/>
                <w:sz w:val="14"/>
                <w:szCs w:val="14"/>
                <w:color w:val="auto"/>
              </w:rPr>
              <w:t>VI.</w:t>
            </w:r>
          </w:p>
        </w:tc>
        <w:tc>
          <w:tcPr>
            <w:tcW w:w="6580" w:type="dxa"/>
            <w:vAlign w:val="bottom"/>
            <w:gridSpan w:val="7"/>
          </w:tcPr>
          <w:p>
            <w:pPr>
              <w:ind w:left="100"/>
              <w:spacing w:after="0"/>
              <w:rPr>
                <w:sz w:val="20"/>
                <w:szCs w:val="20"/>
                <w:color w:val="auto"/>
              </w:rPr>
            </w:pPr>
            <w:r>
              <w:rPr>
                <w:rFonts w:ascii="Arial" w:cs="Arial" w:eastAsia="Arial" w:hAnsi="Arial"/>
                <w:sz w:val="14"/>
                <w:szCs w:val="14"/>
                <w:color w:val="auto"/>
              </w:rPr>
              <w:t>Return on equity and assets</w:t>
            </w:r>
          </w:p>
        </w:tc>
        <w:tc>
          <w:tcPr>
            <w:tcW w:w="2720" w:type="dxa"/>
            <w:vAlign w:val="bottom"/>
          </w:tcPr>
          <w:p>
            <w:pPr>
              <w:jc w:val="right"/>
              <w:ind w:right="749"/>
              <w:spacing w:after="0"/>
              <w:rPr>
                <w:sz w:val="20"/>
                <w:szCs w:val="20"/>
                <w:color w:val="auto"/>
              </w:rPr>
            </w:pPr>
            <w:r>
              <w:rPr>
                <w:rFonts w:ascii="Arial" w:cs="Arial" w:eastAsia="Arial" w:hAnsi="Arial"/>
                <w:sz w:val="14"/>
                <w:szCs w:val="14"/>
                <w:color w:val="auto"/>
              </w:rPr>
              <w:t>21, 32, 73</w:t>
            </w:r>
          </w:p>
        </w:tc>
      </w:tr>
      <w:tr>
        <w:trPr>
          <w:trHeight w:val="164"/>
        </w:trPr>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gridSpan w:val="3"/>
          </w:tcPr>
          <w:p>
            <w:pPr>
              <w:ind w:left="40"/>
              <w:spacing w:after="0"/>
              <w:rPr>
                <w:sz w:val="20"/>
                <w:szCs w:val="20"/>
                <w:color w:val="auto"/>
              </w:rPr>
            </w:pPr>
            <w:r>
              <w:rPr>
                <w:rFonts w:ascii="Arial" w:cs="Arial" w:eastAsia="Arial" w:hAnsi="Arial"/>
                <w:sz w:val="14"/>
                <w:szCs w:val="14"/>
                <w:color w:val="auto"/>
              </w:rPr>
              <w:t>VII.</w:t>
            </w:r>
          </w:p>
        </w:tc>
        <w:tc>
          <w:tcPr>
            <w:tcW w:w="6580" w:type="dxa"/>
            <w:vAlign w:val="bottom"/>
            <w:gridSpan w:val="7"/>
          </w:tcPr>
          <w:p>
            <w:pPr>
              <w:ind w:left="100"/>
              <w:spacing w:after="0"/>
              <w:rPr>
                <w:sz w:val="20"/>
                <w:szCs w:val="20"/>
                <w:color w:val="auto"/>
              </w:rPr>
            </w:pPr>
            <w:r>
              <w:rPr>
                <w:rFonts w:ascii="Arial" w:cs="Arial" w:eastAsia="Arial" w:hAnsi="Arial"/>
                <w:sz w:val="14"/>
                <w:szCs w:val="14"/>
                <w:color w:val="auto"/>
              </w:rPr>
              <w:t>Short-term borrowings</w:t>
            </w:r>
          </w:p>
        </w:tc>
        <w:tc>
          <w:tcPr>
            <w:tcW w:w="2720" w:type="dxa"/>
            <w:vAlign w:val="bottom"/>
          </w:tcPr>
          <w:p>
            <w:pPr>
              <w:jc w:val="right"/>
              <w:ind w:right="749"/>
              <w:spacing w:after="0"/>
              <w:rPr>
                <w:sz w:val="20"/>
                <w:szCs w:val="20"/>
                <w:color w:val="auto"/>
              </w:rPr>
            </w:pPr>
            <w:r>
              <w:rPr>
                <w:rFonts w:ascii="Arial" w:cs="Arial" w:eastAsia="Arial" w:hAnsi="Arial"/>
                <w:sz w:val="14"/>
                <w:szCs w:val="14"/>
                <w:color w:val="auto"/>
              </w:rPr>
              <w:t>108</w:t>
            </w:r>
          </w:p>
        </w:tc>
      </w:tr>
      <w:tr>
        <w:trPr>
          <w:trHeight w:val="148"/>
        </w:trPr>
        <w:tc>
          <w:tcPr>
            <w:tcW w:w="680" w:type="dxa"/>
            <w:vAlign w:val="bottom"/>
          </w:tcPr>
          <w:p>
            <w:pPr>
              <w:spacing w:after="0"/>
              <w:rPr>
                <w:sz w:val="12"/>
                <w:szCs w:val="12"/>
                <w:color w:val="auto"/>
              </w:rPr>
            </w:pPr>
          </w:p>
        </w:tc>
        <w:tc>
          <w:tcPr>
            <w:tcW w:w="1260" w:type="dxa"/>
            <w:vAlign w:val="bottom"/>
            <w:tcBorders>
              <w:bottom w:val="single" w:sz="8" w:color="0000EE"/>
            </w:tcBorders>
            <w:gridSpan w:val="3"/>
          </w:tcPr>
          <w:p>
            <w:pPr>
              <w:spacing w:after="0" w:line="148" w:lineRule="exact"/>
              <w:rPr>
                <w:rFonts w:ascii="Arial" w:cs="Arial" w:eastAsia="Arial" w:hAnsi="Arial"/>
                <w:sz w:val="14"/>
                <w:szCs w:val="14"/>
                <w:color w:val="0000EE"/>
                <w:w w:val="92"/>
              </w:rPr>
            </w:pPr>
            <w:hyperlink w:anchor="page22">
              <w:r>
                <w:rPr>
                  <w:rFonts w:ascii="Arial" w:cs="Arial" w:eastAsia="Arial" w:hAnsi="Arial"/>
                  <w:sz w:val="14"/>
                  <w:szCs w:val="14"/>
                  <w:color w:val="0000EE"/>
                  <w:w w:val="92"/>
                </w:rPr>
                <w:t>Item 1A. Risk Factors</w:t>
              </w:r>
            </w:hyperlink>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20" w:type="dxa"/>
            <w:vAlign w:val="bottom"/>
          </w:tcPr>
          <w:p>
            <w:pPr>
              <w:jc w:val="right"/>
              <w:ind w:right="749"/>
              <w:spacing w:after="0" w:line="148" w:lineRule="exact"/>
              <w:rPr>
                <w:sz w:val="20"/>
                <w:szCs w:val="20"/>
                <w:color w:val="auto"/>
              </w:rPr>
            </w:pPr>
            <w:r>
              <w:rPr>
                <w:rFonts w:ascii="Arial" w:cs="Arial" w:eastAsia="Arial" w:hAnsi="Arial"/>
                <w:sz w:val="14"/>
                <w:szCs w:val="14"/>
                <w:color w:val="auto"/>
              </w:rPr>
              <w:t>21-23</w:t>
            </w:r>
          </w:p>
        </w:tc>
      </w:tr>
      <w:tr>
        <w:trPr>
          <w:trHeight w:val="144"/>
        </w:trPr>
        <w:tc>
          <w:tcPr>
            <w:tcW w:w="680" w:type="dxa"/>
            <w:vAlign w:val="bottom"/>
          </w:tcPr>
          <w:p>
            <w:pPr>
              <w:spacing w:after="0"/>
              <w:rPr>
                <w:sz w:val="12"/>
                <w:szCs w:val="12"/>
                <w:color w:val="auto"/>
              </w:rPr>
            </w:pPr>
          </w:p>
        </w:tc>
        <w:tc>
          <w:tcPr>
            <w:tcW w:w="8080" w:type="dxa"/>
            <w:vAlign w:val="bottom"/>
            <w:gridSpan w:val="11"/>
          </w:tcPr>
          <w:p>
            <w:pPr>
              <w:spacing w:after="0" w:line="144" w:lineRule="exact"/>
              <w:rPr>
                <w:rFonts w:ascii="Arial" w:cs="Arial" w:eastAsia="Arial" w:hAnsi="Arial"/>
                <w:sz w:val="14"/>
                <w:szCs w:val="14"/>
                <w:color w:val="0000EE"/>
              </w:rPr>
            </w:pPr>
            <w:hyperlink w:anchor="page24">
              <w:r>
                <w:rPr>
                  <w:rFonts w:ascii="Arial" w:cs="Arial" w:eastAsia="Arial" w:hAnsi="Arial"/>
                  <w:sz w:val="14"/>
                  <w:szCs w:val="14"/>
                  <w:color w:val="0000EE"/>
                </w:rPr>
                <w:t>Item 1B. Unresolved Staff Comments</w:t>
              </w:r>
            </w:hyperlink>
          </w:p>
        </w:tc>
        <w:tc>
          <w:tcPr>
            <w:tcW w:w="272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23</w:t>
            </w:r>
          </w:p>
        </w:tc>
      </w:tr>
      <w:tr>
        <w:trPr>
          <w:trHeight w:val="144"/>
        </w:trPr>
        <w:tc>
          <w:tcPr>
            <w:tcW w:w="680" w:type="dxa"/>
            <w:vAlign w:val="bottom"/>
          </w:tcPr>
          <w:p>
            <w:pPr>
              <w:spacing w:after="0"/>
              <w:rPr>
                <w:sz w:val="12"/>
                <w:szCs w:val="12"/>
                <w:color w:val="auto"/>
              </w:rPr>
            </w:pPr>
          </w:p>
        </w:tc>
        <w:tc>
          <w:tcPr>
            <w:tcW w:w="1020" w:type="dxa"/>
            <w:vAlign w:val="bottom"/>
            <w:tcBorders>
              <w:top w:val="single" w:sz="8" w:color="0000EE"/>
              <w:bottom w:val="single" w:sz="8" w:color="0000EE"/>
            </w:tcBorders>
          </w:tcPr>
          <w:p>
            <w:pPr>
              <w:spacing w:after="0" w:line="144" w:lineRule="exact"/>
              <w:rPr>
                <w:rFonts w:ascii="Arial" w:cs="Arial" w:eastAsia="Arial" w:hAnsi="Arial"/>
                <w:sz w:val="14"/>
                <w:szCs w:val="14"/>
                <w:color w:val="0000EE"/>
                <w:w w:val="90"/>
              </w:rPr>
            </w:pPr>
            <w:hyperlink w:anchor="page24">
              <w:r>
                <w:rPr>
                  <w:rFonts w:ascii="Arial" w:cs="Arial" w:eastAsia="Arial" w:hAnsi="Arial"/>
                  <w:sz w:val="14"/>
                  <w:szCs w:val="14"/>
                  <w:color w:val="0000EE"/>
                  <w:w w:val="90"/>
                </w:rPr>
                <w:t>Item 2. Properties</w:t>
              </w:r>
            </w:hyperlink>
          </w:p>
        </w:tc>
        <w:tc>
          <w:tcPr>
            <w:tcW w:w="480" w:type="dxa"/>
            <w:vAlign w:val="bottom"/>
            <w:tcBorders>
              <w:top w:val="single" w:sz="8" w:color="0000EE"/>
            </w:tcBorders>
            <w:gridSpan w:val="3"/>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2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23-24, 104</w:t>
            </w:r>
          </w:p>
        </w:tc>
      </w:tr>
      <w:tr>
        <w:trPr>
          <w:trHeight w:val="144"/>
        </w:trPr>
        <w:tc>
          <w:tcPr>
            <w:tcW w:w="680" w:type="dxa"/>
            <w:vAlign w:val="bottom"/>
          </w:tcPr>
          <w:p>
            <w:pPr>
              <w:spacing w:after="0"/>
              <w:rPr>
                <w:sz w:val="12"/>
                <w:szCs w:val="12"/>
                <w:color w:val="auto"/>
              </w:rPr>
            </w:pPr>
          </w:p>
        </w:tc>
        <w:tc>
          <w:tcPr>
            <w:tcW w:w="1500" w:type="dxa"/>
            <w:vAlign w:val="bottom"/>
            <w:tcBorders>
              <w:bottom w:val="single" w:sz="8" w:color="0000EE"/>
            </w:tcBorders>
            <w:gridSpan w:val="4"/>
          </w:tcPr>
          <w:p>
            <w:pPr>
              <w:spacing w:after="0" w:line="144" w:lineRule="exact"/>
              <w:rPr>
                <w:rFonts w:ascii="Arial" w:cs="Arial" w:eastAsia="Arial" w:hAnsi="Arial"/>
                <w:sz w:val="14"/>
                <w:szCs w:val="14"/>
                <w:color w:val="0000EE"/>
                <w:w w:val="90"/>
              </w:rPr>
            </w:pPr>
            <w:hyperlink w:anchor="page25">
              <w:r>
                <w:rPr>
                  <w:rFonts w:ascii="Arial" w:cs="Arial" w:eastAsia="Arial" w:hAnsi="Arial"/>
                  <w:sz w:val="14"/>
                  <w:szCs w:val="14"/>
                  <w:color w:val="0000EE"/>
                  <w:w w:val="90"/>
                </w:rPr>
                <w:t>Item 3. Legal Proceedings</w:t>
              </w:r>
            </w:hyperlink>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2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24</w:t>
            </w:r>
          </w:p>
        </w:tc>
      </w:tr>
      <w:tr>
        <w:trPr>
          <w:trHeight w:val="144"/>
        </w:trPr>
        <w:tc>
          <w:tcPr>
            <w:tcW w:w="680" w:type="dxa"/>
            <w:vAlign w:val="bottom"/>
          </w:tcPr>
          <w:p>
            <w:pPr>
              <w:spacing w:after="0"/>
              <w:rPr>
                <w:sz w:val="12"/>
                <w:szCs w:val="12"/>
                <w:color w:val="auto"/>
              </w:rPr>
            </w:pPr>
          </w:p>
        </w:tc>
        <w:tc>
          <w:tcPr>
            <w:tcW w:w="8080" w:type="dxa"/>
            <w:vAlign w:val="bottom"/>
            <w:gridSpan w:val="11"/>
          </w:tcPr>
          <w:p>
            <w:pPr>
              <w:spacing w:after="0" w:line="144" w:lineRule="exact"/>
              <w:rPr>
                <w:rFonts w:ascii="Arial" w:cs="Arial" w:eastAsia="Arial" w:hAnsi="Arial"/>
                <w:sz w:val="14"/>
                <w:szCs w:val="14"/>
                <w:color w:val="0000EE"/>
              </w:rPr>
            </w:pPr>
            <w:hyperlink w:anchor="page25">
              <w:r>
                <w:rPr>
                  <w:rFonts w:ascii="Arial" w:cs="Arial" w:eastAsia="Arial" w:hAnsi="Arial"/>
                  <w:sz w:val="14"/>
                  <w:szCs w:val="14"/>
                  <w:color w:val="0000EE"/>
                </w:rPr>
                <w:t>Item 4. Submission of Matters to a Vote of Security Holders</w:t>
              </w:r>
            </w:hyperlink>
          </w:p>
        </w:tc>
        <w:tc>
          <w:tcPr>
            <w:tcW w:w="272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24</w:t>
            </w:r>
          </w:p>
        </w:tc>
      </w:tr>
      <w:tr>
        <w:trPr>
          <w:trHeight w:val="144"/>
        </w:trPr>
        <w:tc>
          <w:tcPr>
            <w:tcW w:w="680" w:type="dxa"/>
            <w:vAlign w:val="bottom"/>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260" w:type="dxa"/>
            <w:vAlign w:val="bottom"/>
            <w:tcBorders>
              <w:top w:val="single" w:sz="8" w:color="0000EE"/>
            </w:tcBorders>
            <w:gridSpan w:val="5"/>
          </w:tcPr>
          <w:p>
            <w:pPr>
              <w:spacing w:after="0" w:line="144" w:lineRule="exact"/>
              <w:rPr>
                <w:rFonts w:ascii="Arial" w:cs="Arial" w:eastAsia="Arial" w:hAnsi="Arial"/>
                <w:sz w:val="14"/>
                <w:szCs w:val="14"/>
                <w:color w:val="0000EE"/>
              </w:rPr>
            </w:pPr>
            <w:hyperlink w:anchor="page25">
              <w:r>
                <w:rPr>
                  <w:rFonts w:ascii="Arial" w:cs="Arial" w:eastAsia="Arial" w:hAnsi="Arial"/>
                  <w:sz w:val="14"/>
                  <w:szCs w:val="14"/>
                  <w:color w:val="0000EE"/>
                </w:rPr>
                <w:t>Executive Officers of the Registrant</w:t>
              </w:r>
            </w:hyperlink>
          </w:p>
        </w:tc>
        <w:tc>
          <w:tcPr>
            <w:tcW w:w="4680" w:type="dxa"/>
            <w:vAlign w:val="bottom"/>
            <w:gridSpan w:val="4"/>
          </w:tcPr>
          <w:p>
            <w:pPr>
              <w:spacing w:after="0"/>
              <w:rPr>
                <w:sz w:val="12"/>
                <w:szCs w:val="12"/>
                <w:color w:val="auto"/>
              </w:rPr>
            </w:pPr>
          </w:p>
        </w:tc>
        <w:tc>
          <w:tcPr>
            <w:tcW w:w="272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24-26</w:t>
            </w:r>
          </w:p>
        </w:tc>
      </w:tr>
      <w:tr>
        <w:trPr>
          <w:trHeight w:val="260"/>
        </w:trPr>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104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20" w:type="dxa"/>
            <w:vAlign w:val="bottom"/>
            <w:tcBorders>
              <w:bottom w:val="single" w:sz="8" w:color="0000EE"/>
            </w:tcBorders>
          </w:tcPr>
          <w:p>
            <w:pPr>
              <w:spacing w:after="0"/>
              <w:rPr>
                <w:rFonts w:ascii="Arial" w:cs="Arial" w:eastAsia="Arial" w:hAnsi="Arial"/>
                <w:sz w:val="14"/>
                <w:szCs w:val="14"/>
                <w:b w:val="1"/>
                <w:bCs w:val="1"/>
                <w:color w:val="0000EE"/>
              </w:rPr>
            </w:pPr>
            <w:hyperlink w:anchor="page27">
              <w:r>
                <w:rPr>
                  <w:rFonts w:ascii="Arial" w:cs="Arial" w:eastAsia="Arial" w:hAnsi="Arial"/>
                  <w:sz w:val="14"/>
                  <w:szCs w:val="14"/>
                  <w:b w:val="1"/>
                  <w:bCs w:val="1"/>
                  <w:color w:val="0000EE"/>
                </w:rPr>
                <w:t>PART II</w:t>
              </w:r>
            </w:hyperlink>
          </w:p>
        </w:tc>
        <w:tc>
          <w:tcPr>
            <w:tcW w:w="282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r>
      <w:tr>
        <w:trPr>
          <w:trHeight w:val="144"/>
        </w:trPr>
        <w:tc>
          <w:tcPr>
            <w:tcW w:w="680" w:type="dxa"/>
            <w:vAlign w:val="bottom"/>
          </w:tcPr>
          <w:p>
            <w:pPr>
              <w:spacing w:after="0"/>
              <w:rPr>
                <w:sz w:val="12"/>
                <w:szCs w:val="12"/>
                <w:color w:val="auto"/>
              </w:rPr>
            </w:pPr>
          </w:p>
        </w:tc>
        <w:tc>
          <w:tcPr>
            <w:tcW w:w="8080" w:type="dxa"/>
            <w:vAlign w:val="bottom"/>
            <w:gridSpan w:val="11"/>
          </w:tcPr>
          <w:p>
            <w:pPr>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Item 5. Market for Registrant’s Common Equity, Related Stockholder Matters and Issuer Purchases of Equity Securities</w:t>
              </w:r>
            </w:hyperlink>
          </w:p>
        </w:tc>
        <w:tc>
          <w:tcPr>
            <w:tcW w:w="272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26-29</w:t>
            </w:r>
          </w:p>
        </w:tc>
      </w:tr>
      <w:tr>
        <w:trPr>
          <w:trHeight w:val="160"/>
        </w:trPr>
        <w:tc>
          <w:tcPr>
            <w:tcW w:w="680" w:type="dxa"/>
            <w:vAlign w:val="bottom"/>
          </w:tcPr>
          <w:p>
            <w:pPr>
              <w:spacing w:after="0"/>
              <w:rPr>
                <w:sz w:val="13"/>
                <w:szCs w:val="13"/>
                <w:color w:val="auto"/>
              </w:rPr>
            </w:pPr>
          </w:p>
        </w:tc>
        <w:tc>
          <w:tcPr>
            <w:tcW w:w="10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5280" w:type="dxa"/>
            <w:vAlign w:val="bottom"/>
            <w:tcBorders>
              <w:top w:val="single" w:sz="8" w:color="0000EE"/>
            </w:tcBorders>
            <w:gridSpan w:val="6"/>
          </w:tcPr>
          <w:p>
            <w:pPr>
              <w:ind w:left="100"/>
              <w:spacing w:after="0"/>
              <w:rPr>
                <w:sz w:val="20"/>
                <w:szCs w:val="20"/>
                <w:color w:val="auto"/>
              </w:rPr>
            </w:pPr>
            <w:r>
              <w:rPr>
                <w:rFonts w:ascii="Arial" w:cs="Arial" w:eastAsia="Arial" w:hAnsi="Arial"/>
                <w:sz w:val="14"/>
                <w:szCs w:val="14"/>
                <w:color w:val="auto"/>
              </w:rPr>
              <w:t>A. Principal market</w:t>
            </w:r>
          </w:p>
        </w:tc>
        <w:tc>
          <w:tcPr>
            <w:tcW w:w="1300" w:type="dxa"/>
            <w:vAlign w:val="bottom"/>
          </w:tcPr>
          <w:p>
            <w:pPr>
              <w:spacing w:after="0"/>
              <w:rPr>
                <w:sz w:val="13"/>
                <w:szCs w:val="13"/>
                <w:color w:val="auto"/>
              </w:rPr>
            </w:pPr>
          </w:p>
        </w:tc>
        <w:tc>
          <w:tcPr>
            <w:tcW w:w="2720" w:type="dxa"/>
            <w:vAlign w:val="bottom"/>
          </w:tcPr>
          <w:p>
            <w:pPr>
              <w:jc w:val="right"/>
              <w:ind w:right="749"/>
              <w:spacing w:after="0"/>
              <w:rPr>
                <w:sz w:val="20"/>
                <w:szCs w:val="20"/>
                <w:color w:val="auto"/>
              </w:rPr>
            </w:pPr>
            <w:r>
              <w:rPr>
                <w:rFonts w:ascii="Arial" w:cs="Arial" w:eastAsia="Arial" w:hAnsi="Arial"/>
                <w:sz w:val="14"/>
                <w:szCs w:val="14"/>
                <w:color w:val="auto"/>
              </w:rPr>
              <w:t>26</w:t>
            </w:r>
          </w:p>
        </w:tc>
      </w:tr>
      <w:tr>
        <w:trPr>
          <w:trHeight w:val="164"/>
        </w:trPr>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80" w:type="dxa"/>
            <w:vAlign w:val="bottom"/>
            <w:gridSpan w:val="7"/>
          </w:tcPr>
          <w:p>
            <w:pPr>
              <w:ind w:left="240"/>
              <w:spacing w:after="0"/>
              <w:rPr>
                <w:sz w:val="20"/>
                <w:szCs w:val="20"/>
                <w:color w:val="auto"/>
              </w:rPr>
            </w:pPr>
            <w:r>
              <w:rPr>
                <w:rFonts w:ascii="Arial" w:cs="Arial" w:eastAsia="Arial" w:hAnsi="Arial"/>
                <w:sz w:val="14"/>
                <w:szCs w:val="14"/>
                <w:color w:val="auto"/>
              </w:rPr>
              <w:t>Market prices</w:t>
            </w:r>
          </w:p>
        </w:tc>
        <w:tc>
          <w:tcPr>
            <w:tcW w:w="2720" w:type="dxa"/>
            <w:vAlign w:val="bottom"/>
          </w:tcPr>
          <w:p>
            <w:pPr>
              <w:jc w:val="right"/>
              <w:ind w:right="749"/>
              <w:spacing w:after="0"/>
              <w:rPr>
                <w:sz w:val="20"/>
                <w:szCs w:val="20"/>
                <w:color w:val="auto"/>
              </w:rPr>
            </w:pPr>
            <w:r>
              <w:rPr>
                <w:rFonts w:ascii="Arial" w:cs="Arial" w:eastAsia="Arial" w:hAnsi="Arial"/>
                <w:sz w:val="14"/>
                <w:szCs w:val="14"/>
                <w:color w:val="auto"/>
              </w:rPr>
              <w:t>83</w:t>
            </w:r>
          </w:p>
        </w:tc>
      </w:tr>
      <w:tr>
        <w:trPr>
          <w:trHeight w:val="180"/>
        </w:trPr>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580" w:type="dxa"/>
            <w:vAlign w:val="bottom"/>
            <w:gridSpan w:val="7"/>
          </w:tcPr>
          <w:p>
            <w:pPr>
              <w:ind w:left="100"/>
              <w:spacing w:after="0"/>
              <w:rPr>
                <w:sz w:val="20"/>
                <w:szCs w:val="20"/>
                <w:color w:val="auto"/>
              </w:rPr>
            </w:pPr>
            <w:r>
              <w:rPr>
                <w:rFonts w:ascii="Arial" w:cs="Arial" w:eastAsia="Arial" w:hAnsi="Arial"/>
                <w:sz w:val="14"/>
                <w:szCs w:val="14"/>
                <w:color w:val="auto"/>
              </w:rPr>
              <w:t>B. Approximate number of holders at year-end</w:t>
            </w:r>
          </w:p>
        </w:tc>
        <w:tc>
          <w:tcPr>
            <w:tcW w:w="2720" w:type="dxa"/>
            <w:vAlign w:val="bottom"/>
          </w:tcPr>
          <w:p>
            <w:pPr>
              <w:jc w:val="right"/>
              <w:ind w:right="749"/>
              <w:spacing w:after="0"/>
              <w:rPr>
                <w:sz w:val="20"/>
                <w:szCs w:val="20"/>
                <w:color w:val="auto"/>
              </w:rPr>
            </w:pPr>
            <w:r>
              <w:rPr>
                <w:rFonts w:ascii="Arial" w:cs="Arial" w:eastAsia="Arial" w:hAnsi="Arial"/>
                <w:sz w:val="14"/>
                <w:szCs w:val="14"/>
                <w:color w:val="auto"/>
              </w:rPr>
              <w:t>19</w:t>
            </w:r>
          </w:p>
        </w:tc>
      </w:tr>
      <w:tr>
        <w:trPr>
          <w:trHeight w:val="291"/>
        </w:trPr>
        <w:tc>
          <w:tcPr>
            <w:tcW w:w="1700" w:type="dxa"/>
            <w:vAlign w:val="bottom"/>
            <w:gridSpan w:val="2"/>
          </w:tcPr>
          <w:p>
            <w:pPr>
              <w:ind w:left="68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80" w:type="dxa"/>
            <w:vAlign w:val="bottom"/>
          </w:tcPr>
          <w:p>
            <w:pPr>
              <w:jc w:val="right"/>
              <w:ind w:right="530"/>
              <w:spacing w:after="0"/>
              <w:rPr>
                <w:sz w:val="20"/>
                <w:szCs w:val="20"/>
                <w:color w:val="auto"/>
              </w:rPr>
            </w:pPr>
            <w:r>
              <w:rPr>
                <w:rFonts w:ascii="Arial" w:cs="Arial" w:eastAsia="Arial" w:hAnsi="Arial"/>
                <w:sz w:val="10"/>
                <w:szCs w:val="10"/>
                <w:b w:val="1"/>
                <w:bCs w:val="1"/>
                <w:color w:val="auto"/>
              </w:rPr>
              <w:t>Form 10-K</w:t>
            </w:r>
          </w:p>
        </w:tc>
      </w:tr>
      <w:tr>
        <w:trPr>
          <w:trHeight w:val="123"/>
        </w:trPr>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80" w:type="dxa"/>
            <w:vAlign w:val="bottom"/>
            <w:tcBorders>
              <w:bottom w:val="single" w:sz="8" w:color="auto"/>
            </w:tcBorders>
          </w:tcPr>
          <w:p>
            <w:pPr>
              <w:jc w:val="right"/>
              <w:ind w:right="670"/>
              <w:spacing w:after="0"/>
              <w:rPr>
                <w:sz w:val="20"/>
                <w:szCs w:val="20"/>
                <w:color w:val="auto"/>
              </w:rPr>
            </w:pPr>
            <w:r>
              <w:rPr>
                <w:rFonts w:ascii="Arial" w:cs="Arial" w:eastAsia="Arial" w:hAnsi="Arial"/>
                <w:sz w:val="10"/>
                <w:szCs w:val="10"/>
                <w:b w:val="1"/>
                <w:bCs w:val="1"/>
                <w:color w:val="auto"/>
              </w:rPr>
              <w:t>Page</w:t>
            </w:r>
          </w:p>
        </w:tc>
      </w:tr>
      <w:tr>
        <w:trPr>
          <w:trHeight w:val="180"/>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C. Frequency and amount of dividends declared</w:t>
            </w:r>
          </w:p>
        </w:tc>
        <w:tc>
          <w:tcPr>
            <w:tcW w:w="1680" w:type="dxa"/>
            <w:vAlign w:val="bottom"/>
          </w:tcPr>
          <w:p>
            <w:pPr>
              <w:jc w:val="right"/>
              <w:spacing w:after="0"/>
              <w:rPr>
                <w:sz w:val="20"/>
                <w:szCs w:val="20"/>
                <w:color w:val="auto"/>
              </w:rPr>
            </w:pPr>
            <w:r>
              <w:rPr>
                <w:rFonts w:ascii="Arial" w:cs="Arial" w:eastAsia="Arial" w:hAnsi="Arial"/>
                <w:sz w:val="14"/>
                <w:szCs w:val="14"/>
                <w:color w:val="auto"/>
              </w:rPr>
              <w:t>20-21, 83, 91</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D. Restrictions on dividends</w:t>
            </w:r>
          </w:p>
        </w:tc>
        <w:tc>
          <w:tcPr>
            <w:tcW w:w="1680" w:type="dxa"/>
            <w:vAlign w:val="bottom"/>
          </w:tcPr>
          <w:p>
            <w:pPr>
              <w:jc w:val="right"/>
              <w:spacing w:after="0"/>
              <w:rPr>
                <w:sz w:val="20"/>
                <w:szCs w:val="20"/>
                <w:color w:val="auto"/>
              </w:rPr>
            </w:pPr>
            <w:r>
              <w:rPr>
                <w:rFonts w:ascii="Arial" w:cs="Arial" w:eastAsia="Arial" w:hAnsi="Arial"/>
                <w:sz w:val="14"/>
                <w:szCs w:val="14"/>
                <w:color w:val="auto"/>
              </w:rPr>
              <w:t>6, 13-16, 112, 136-138</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E. Securities authorized for issuance under equity compensation plans</w:t>
            </w:r>
          </w:p>
        </w:tc>
        <w:tc>
          <w:tcPr>
            <w:tcW w:w="1680" w:type="dxa"/>
            <w:vAlign w:val="bottom"/>
          </w:tcPr>
          <w:p>
            <w:pPr>
              <w:jc w:val="right"/>
              <w:spacing w:after="0"/>
              <w:rPr>
                <w:sz w:val="20"/>
                <w:szCs w:val="20"/>
                <w:color w:val="auto"/>
              </w:rPr>
            </w:pPr>
            <w:r>
              <w:rPr>
                <w:rFonts w:ascii="Arial" w:cs="Arial" w:eastAsia="Arial" w:hAnsi="Arial"/>
                <w:sz w:val="14"/>
                <w:szCs w:val="14"/>
                <w:color w:val="auto"/>
              </w:rPr>
              <w:t>26-27</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F. Performance graph</w:t>
            </w:r>
          </w:p>
        </w:tc>
        <w:tc>
          <w:tcPr>
            <w:tcW w:w="16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G. Repurchases of common stock</w:t>
            </w:r>
          </w:p>
        </w:tc>
        <w:tc>
          <w:tcPr>
            <w:tcW w:w="1680" w:type="dxa"/>
            <w:vAlign w:val="bottom"/>
          </w:tcPr>
          <w:p>
            <w:pPr>
              <w:jc w:val="right"/>
              <w:spacing w:after="0"/>
              <w:rPr>
                <w:sz w:val="20"/>
                <w:szCs w:val="20"/>
                <w:color w:val="auto"/>
              </w:rPr>
            </w:pPr>
            <w:r>
              <w:rPr>
                <w:rFonts w:ascii="Arial" w:cs="Arial" w:eastAsia="Arial" w:hAnsi="Arial"/>
                <w:sz w:val="14"/>
                <w:szCs w:val="14"/>
                <w:color w:val="auto"/>
              </w:rPr>
              <w:t>28-29</w:t>
            </w:r>
          </w:p>
        </w:tc>
      </w:tr>
      <w:tr>
        <w:trPr>
          <w:trHeight w:val="148"/>
        </w:trPr>
        <w:tc>
          <w:tcPr>
            <w:tcW w:w="8300" w:type="dxa"/>
            <w:vAlign w:val="bottom"/>
            <w:gridSpan w:val="20"/>
          </w:tcPr>
          <w:p>
            <w:pPr>
              <w:spacing w:after="0" w:line="148" w:lineRule="exact"/>
              <w:rPr>
                <w:rFonts w:ascii="Arial" w:cs="Arial" w:eastAsia="Arial" w:hAnsi="Arial"/>
                <w:sz w:val="14"/>
                <w:szCs w:val="14"/>
                <w:color w:val="0000EE"/>
              </w:rPr>
            </w:pPr>
            <w:hyperlink w:anchor="page30">
              <w:r>
                <w:rPr>
                  <w:rFonts w:ascii="Arial" w:cs="Arial" w:eastAsia="Arial" w:hAnsi="Arial"/>
                  <w:sz w:val="14"/>
                  <w:szCs w:val="14"/>
                  <w:color w:val="0000EE"/>
                </w:rPr>
                <w:t>Item 6. Selected Financial Data</w:t>
              </w:r>
            </w:hyperlink>
          </w:p>
        </w:tc>
        <w:tc>
          <w:tcPr>
            <w:tcW w:w="1680" w:type="dxa"/>
            <w:vAlign w:val="bottom"/>
          </w:tcPr>
          <w:p>
            <w:pPr>
              <w:jc w:val="right"/>
              <w:spacing w:after="0" w:line="148" w:lineRule="exact"/>
              <w:rPr>
                <w:sz w:val="20"/>
                <w:szCs w:val="20"/>
                <w:color w:val="auto"/>
              </w:rPr>
            </w:pPr>
            <w:r>
              <w:rPr>
                <w:rFonts w:ascii="Arial" w:cs="Arial" w:eastAsia="Arial" w:hAnsi="Arial"/>
                <w:sz w:val="14"/>
                <w:szCs w:val="14"/>
                <w:color w:val="auto"/>
              </w:rPr>
              <w:t>29</w:t>
            </w:r>
          </w:p>
        </w:tc>
      </w:tr>
      <w:tr>
        <w:trPr>
          <w:trHeight w:val="20"/>
        </w:trPr>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60"/>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A. Selected consolidated year-end balances</w:t>
            </w:r>
          </w:p>
        </w:tc>
        <w:tc>
          <w:tcPr>
            <w:tcW w:w="16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B. Consolidated earnings, etc</w:t>
            </w:r>
          </w:p>
        </w:tc>
        <w:tc>
          <w:tcPr>
            <w:tcW w:w="1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48"/>
        </w:trPr>
        <w:tc>
          <w:tcPr>
            <w:tcW w:w="5520" w:type="dxa"/>
            <w:vAlign w:val="bottom"/>
            <w:tcBorders>
              <w:bottom w:val="single" w:sz="8" w:color="0000EE"/>
            </w:tcBorders>
            <w:gridSpan w:val="17"/>
          </w:tcPr>
          <w:p>
            <w:pPr>
              <w:spacing w:after="0" w:line="148" w:lineRule="exact"/>
              <w:rPr>
                <w:rFonts w:ascii="Arial" w:cs="Arial" w:eastAsia="Arial" w:hAnsi="Arial"/>
                <w:sz w:val="14"/>
                <w:szCs w:val="14"/>
                <w:color w:val="0000EE"/>
                <w:w w:val="92"/>
              </w:rPr>
            </w:pPr>
            <w:hyperlink w:anchor="page30">
              <w:r>
                <w:rPr>
                  <w:rFonts w:ascii="Arial" w:cs="Arial" w:eastAsia="Arial" w:hAnsi="Arial"/>
                  <w:sz w:val="14"/>
                  <w:szCs w:val="14"/>
                  <w:color w:val="0000EE"/>
                  <w:w w:val="92"/>
                </w:rPr>
                <w:t>Item 7. Management’s Discussion and Analysis of Financial Condition and Results of Operations</w:t>
              </w:r>
            </w:hyperlink>
          </w:p>
        </w:tc>
        <w:tc>
          <w:tcPr>
            <w:tcW w:w="2780" w:type="dxa"/>
            <w:vAlign w:val="bottom"/>
            <w:gridSpan w:val="3"/>
          </w:tcPr>
          <w:p>
            <w:pPr>
              <w:spacing w:after="0"/>
              <w:rPr>
                <w:sz w:val="12"/>
                <w:szCs w:val="12"/>
                <w:color w:val="auto"/>
              </w:rPr>
            </w:pPr>
          </w:p>
        </w:tc>
        <w:tc>
          <w:tcPr>
            <w:tcW w:w="1680" w:type="dxa"/>
            <w:vAlign w:val="bottom"/>
          </w:tcPr>
          <w:p>
            <w:pPr>
              <w:jc w:val="right"/>
              <w:spacing w:after="0" w:line="148" w:lineRule="exact"/>
              <w:rPr>
                <w:sz w:val="20"/>
                <w:szCs w:val="20"/>
                <w:color w:val="auto"/>
              </w:rPr>
            </w:pPr>
            <w:r>
              <w:rPr>
                <w:rFonts w:ascii="Arial" w:cs="Arial" w:eastAsia="Arial" w:hAnsi="Arial"/>
                <w:sz w:val="14"/>
                <w:szCs w:val="14"/>
                <w:color w:val="auto"/>
              </w:rPr>
              <w:t>29-84</w:t>
            </w:r>
          </w:p>
        </w:tc>
      </w:tr>
      <w:tr>
        <w:trPr>
          <w:trHeight w:val="144"/>
        </w:trPr>
        <w:tc>
          <w:tcPr>
            <w:tcW w:w="3980" w:type="dxa"/>
            <w:vAlign w:val="bottom"/>
            <w:tcBorders>
              <w:bottom w:val="single" w:sz="8" w:color="0000EE"/>
            </w:tcBorders>
            <w:gridSpan w:val="12"/>
          </w:tcPr>
          <w:p>
            <w:pPr>
              <w:spacing w:after="0" w:line="144" w:lineRule="exact"/>
              <w:rPr>
                <w:rFonts w:ascii="Arial" w:cs="Arial" w:eastAsia="Arial" w:hAnsi="Arial"/>
                <w:sz w:val="14"/>
                <w:szCs w:val="14"/>
                <w:color w:val="0000EE"/>
                <w:w w:val="93"/>
              </w:rPr>
            </w:pPr>
            <w:hyperlink w:anchor="page86">
              <w:r>
                <w:rPr>
                  <w:rFonts w:ascii="Arial" w:cs="Arial" w:eastAsia="Arial" w:hAnsi="Arial"/>
                  <w:sz w:val="14"/>
                  <w:szCs w:val="14"/>
                  <w:color w:val="0000EE"/>
                  <w:w w:val="93"/>
                </w:rPr>
                <w:t>Item 7A. Quantitative and Qualitative Disclosures About Market Risk</w:t>
              </w:r>
            </w:hyperlink>
          </w:p>
        </w:tc>
        <w:tc>
          <w:tcPr>
            <w:tcW w:w="4320" w:type="dxa"/>
            <w:vAlign w:val="bottom"/>
            <w:gridSpan w:val="8"/>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85</w:t>
            </w:r>
          </w:p>
        </w:tc>
      </w:tr>
      <w:tr>
        <w:trPr>
          <w:trHeight w:val="144"/>
        </w:trPr>
        <w:tc>
          <w:tcPr>
            <w:tcW w:w="3060" w:type="dxa"/>
            <w:vAlign w:val="bottom"/>
            <w:tcBorders>
              <w:bottom w:val="single" w:sz="8" w:color="0000EE"/>
            </w:tcBorders>
            <w:gridSpan w:val="9"/>
          </w:tcPr>
          <w:p>
            <w:pPr>
              <w:spacing w:after="0" w:line="144" w:lineRule="exact"/>
              <w:rPr>
                <w:rFonts w:ascii="Arial" w:cs="Arial" w:eastAsia="Arial" w:hAnsi="Arial"/>
                <w:sz w:val="14"/>
                <w:szCs w:val="14"/>
                <w:color w:val="0000EE"/>
                <w:w w:val="90"/>
              </w:rPr>
            </w:pPr>
            <w:hyperlink w:anchor="page86">
              <w:r>
                <w:rPr>
                  <w:rFonts w:ascii="Arial" w:cs="Arial" w:eastAsia="Arial" w:hAnsi="Arial"/>
                  <w:sz w:val="14"/>
                  <w:szCs w:val="14"/>
                  <w:color w:val="0000EE"/>
                  <w:w w:val="90"/>
                </w:rPr>
                <w:t>Item 8. Financial Statements and Supplementary Data</w:t>
              </w:r>
            </w:hyperlink>
          </w:p>
        </w:tc>
        <w:tc>
          <w:tcPr>
            <w:tcW w:w="5240" w:type="dxa"/>
            <w:vAlign w:val="bottom"/>
            <w:gridSpan w:val="11"/>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85</w:t>
            </w:r>
          </w:p>
        </w:tc>
      </w:tr>
      <w:tr>
        <w:trPr>
          <w:trHeight w:val="160"/>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A. Report on Internal Control Over Financial Reporting</w:t>
            </w:r>
          </w:p>
        </w:tc>
        <w:tc>
          <w:tcPr>
            <w:tcW w:w="168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B. Report of Independent Registered Public Accounting Firm</w:t>
            </w:r>
          </w:p>
        </w:tc>
        <w:tc>
          <w:tcPr>
            <w:tcW w:w="16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C. Consolidated Balance Sheet — December 31, 2007 and 2006</w:t>
            </w:r>
          </w:p>
        </w:tc>
        <w:tc>
          <w:tcPr>
            <w:tcW w:w="16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D. Consolidated Statement of Income — Years ended December 31, 2007, 2006 and 2005</w:t>
            </w:r>
          </w:p>
        </w:tc>
        <w:tc>
          <w:tcPr>
            <w:tcW w:w="16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E. Consolidated Statement of Cash Flows — Years ended December 31, 2007, 2006 and 2005</w:t>
            </w:r>
          </w:p>
        </w:tc>
        <w:tc>
          <w:tcPr>
            <w:tcW w:w="16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w w:val="94"/>
              </w:rPr>
              <w:t>F. Consolidated Statement of Changes in Stockholders’ Equity — Years ended December 31, 2007, 2006 and 2005</w:t>
            </w:r>
          </w:p>
        </w:tc>
        <w:tc>
          <w:tcPr>
            <w:tcW w:w="16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G. Notes to Financial Statements</w:t>
            </w:r>
          </w:p>
        </w:tc>
        <w:tc>
          <w:tcPr>
            <w:tcW w:w="1680" w:type="dxa"/>
            <w:vAlign w:val="bottom"/>
          </w:tcPr>
          <w:p>
            <w:pPr>
              <w:jc w:val="right"/>
              <w:spacing w:after="0"/>
              <w:rPr>
                <w:sz w:val="20"/>
                <w:szCs w:val="20"/>
                <w:color w:val="auto"/>
              </w:rPr>
            </w:pPr>
            <w:r>
              <w:rPr>
                <w:rFonts w:ascii="Arial" w:cs="Arial" w:eastAsia="Arial" w:hAnsi="Arial"/>
                <w:sz w:val="14"/>
                <w:szCs w:val="14"/>
                <w:color w:val="auto"/>
              </w:rPr>
              <w:t>92-141</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H. Quarterly Trends</w:t>
            </w:r>
          </w:p>
        </w:tc>
        <w:tc>
          <w:tcPr>
            <w:tcW w:w="16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48"/>
        </w:trPr>
        <w:tc>
          <w:tcPr>
            <w:tcW w:w="5540" w:type="dxa"/>
            <w:vAlign w:val="bottom"/>
            <w:tcBorders>
              <w:bottom w:val="single" w:sz="8" w:color="0000EE"/>
            </w:tcBorders>
            <w:gridSpan w:val="18"/>
          </w:tcPr>
          <w:p>
            <w:pPr>
              <w:spacing w:after="0" w:line="148" w:lineRule="exact"/>
              <w:rPr>
                <w:rFonts w:ascii="Arial" w:cs="Arial" w:eastAsia="Arial" w:hAnsi="Arial"/>
                <w:sz w:val="14"/>
                <w:szCs w:val="14"/>
                <w:color w:val="0000EE"/>
                <w:w w:val="91"/>
              </w:rPr>
            </w:pPr>
            <w:hyperlink w:anchor="page143">
              <w:r>
                <w:rPr>
                  <w:rFonts w:ascii="Arial" w:cs="Arial" w:eastAsia="Arial" w:hAnsi="Arial"/>
                  <w:sz w:val="14"/>
                  <w:szCs w:val="14"/>
                  <w:color w:val="0000EE"/>
                  <w:w w:val="91"/>
                </w:rPr>
                <w:t>Item 9. Changes in and Disagreements with Accountants on Accounting and Financial Disclosure</w:t>
              </w:r>
            </w:hyperlink>
          </w:p>
        </w:tc>
        <w:tc>
          <w:tcPr>
            <w:tcW w:w="2760" w:type="dxa"/>
            <w:vAlign w:val="bottom"/>
            <w:gridSpan w:val="2"/>
          </w:tcPr>
          <w:p>
            <w:pPr>
              <w:spacing w:after="0"/>
              <w:rPr>
                <w:sz w:val="12"/>
                <w:szCs w:val="12"/>
                <w:color w:val="auto"/>
              </w:rPr>
            </w:pPr>
          </w:p>
        </w:tc>
        <w:tc>
          <w:tcPr>
            <w:tcW w:w="1680" w:type="dxa"/>
            <w:vAlign w:val="bottom"/>
          </w:tcPr>
          <w:p>
            <w:pPr>
              <w:jc w:val="right"/>
              <w:spacing w:after="0" w:line="148" w:lineRule="exact"/>
              <w:rPr>
                <w:sz w:val="20"/>
                <w:szCs w:val="20"/>
                <w:color w:val="auto"/>
              </w:rPr>
            </w:pPr>
            <w:r>
              <w:rPr>
                <w:rFonts w:ascii="Arial" w:cs="Arial" w:eastAsia="Arial" w:hAnsi="Arial"/>
                <w:sz w:val="14"/>
                <w:szCs w:val="14"/>
                <w:color w:val="auto"/>
              </w:rPr>
              <w:t>142</w:t>
            </w:r>
          </w:p>
        </w:tc>
      </w:tr>
      <w:tr>
        <w:trPr>
          <w:trHeight w:val="144"/>
        </w:trPr>
        <w:tc>
          <w:tcPr>
            <w:tcW w:w="1980" w:type="dxa"/>
            <w:vAlign w:val="bottom"/>
            <w:tcBorders>
              <w:bottom w:val="single" w:sz="8" w:color="0000EE"/>
            </w:tcBorders>
            <w:gridSpan w:val="6"/>
          </w:tcPr>
          <w:p>
            <w:pPr>
              <w:spacing w:after="0" w:line="144" w:lineRule="exact"/>
              <w:rPr>
                <w:rFonts w:ascii="Arial" w:cs="Arial" w:eastAsia="Arial" w:hAnsi="Arial"/>
                <w:sz w:val="14"/>
                <w:szCs w:val="14"/>
                <w:color w:val="0000EE"/>
                <w:w w:val="91"/>
              </w:rPr>
            </w:pPr>
            <w:hyperlink w:anchor="page143">
              <w:r>
                <w:rPr>
                  <w:rFonts w:ascii="Arial" w:cs="Arial" w:eastAsia="Arial" w:hAnsi="Arial"/>
                  <w:sz w:val="14"/>
                  <w:szCs w:val="14"/>
                  <w:color w:val="0000EE"/>
                  <w:w w:val="91"/>
                </w:rPr>
                <w:t>Item 9A. Controls and Procedures.</w:t>
              </w:r>
            </w:hyperlink>
          </w:p>
        </w:tc>
        <w:tc>
          <w:tcPr>
            <w:tcW w:w="6320" w:type="dxa"/>
            <w:vAlign w:val="bottom"/>
            <w:gridSpan w:val="14"/>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142</w:t>
            </w:r>
          </w:p>
        </w:tc>
      </w:tr>
      <w:tr>
        <w:trPr>
          <w:trHeight w:val="160"/>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A. Conclusions of principal executive officer and principal financial officer regarding disclosure controls and</w:t>
            </w:r>
          </w:p>
        </w:tc>
        <w:tc>
          <w:tcPr>
            <w:tcW w:w="1680" w:type="dxa"/>
            <w:vAlign w:val="bottom"/>
          </w:tcPr>
          <w:p>
            <w:pPr>
              <w:spacing w:after="0"/>
              <w:rPr>
                <w:sz w:val="13"/>
                <w:szCs w:val="13"/>
                <w:color w:val="auto"/>
              </w:rPr>
            </w:pP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720" w:type="dxa"/>
            <w:vAlign w:val="bottom"/>
            <w:gridSpan w:val="17"/>
          </w:tcPr>
          <w:p>
            <w:pPr>
              <w:ind w:left="120"/>
              <w:spacing w:after="0"/>
              <w:rPr>
                <w:sz w:val="20"/>
                <w:szCs w:val="20"/>
                <w:color w:val="auto"/>
              </w:rPr>
            </w:pPr>
            <w:r>
              <w:rPr>
                <w:rFonts w:ascii="Arial" w:cs="Arial" w:eastAsia="Arial" w:hAnsi="Arial"/>
                <w:sz w:val="14"/>
                <w:szCs w:val="14"/>
                <w:color w:val="auto"/>
              </w:rPr>
              <w:t>procedures</w:t>
            </w:r>
          </w:p>
        </w:tc>
        <w:tc>
          <w:tcPr>
            <w:tcW w:w="16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B. Management’s annual report on internal control over financial reporting</w:t>
            </w:r>
          </w:p>
        </w:tc>
        <w:tc>
          <w:tcPr>
            <w:tcW w:w="16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C. Attestation report of the registered public accounting firm</w:t>
            </w:r>
          </w:p>
        </w:tc>
        <w:tc>
          <w:tcPr>
            <w:tcW w:w="16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64"/>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60" w:type="dxa"/>
            <w:vAlign w:val="bottom"/>
            <w:gridSpan w:val="18"/>
          </w:tcPr>
          <w:p>
            <w:pPr>
              <w:ind w:left="480"/>
              <w:spacing w:after="0"/>
              <w:rPr>
                <w:sz w:val="20"/>
                <w:szCs w:val="20"/>
                <w:color w:val="auto"/>
              </w:rPr>
            </w:pPr>
            <w:r>
              <w:rPr>
                <w:rFonts w:ascii="Arial" w:cs="Arial" w:eastAsia="Arial" w:hAnsi="Arial"/>
                <w:sz w:val="14"/>
                <w:szCs w:val="14"/>
                <w:color w:val="auto"/>
              </w:rPr>
              <w:t>D. Changes in internal control over financial reporting</w:t>
            </w:r>
          </w:p>
        </w:tc>
        <w:tc>
          <w:tcPr>
            <w:tcW w:w="16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48"/>
        </w:trPr>
        <w:tc>
          <w:tcPr>
            <w:tcW w:w="8300" w:type="dxa"/>
            <w:vAlign w:val="bottom"/>
            <w:gridSpan w:val="20"/>
          </w:tcPr>
          <w:p>
            <w:pPr>
              <w:spacing w:after="0" w:line="148" w:lineRule="exact"/>
              <w:rPr>
                <w:rFonts w:ascii="Arial" w:cs="Arial" w:eastAsia="Arial" w:hAnsi="Arial"/>
                <w:sz w:val="14"/>
                <w:szCs w:val="14"/>
                <w:color w:val="0000EE"/>
              </w:rPr>
            </w:pPr>
            <w:hyperlink w:anchor="page143">
              <w:r>
                <w:rPr>
                  <w:rFonts w:ascii="Arial" w:cs="Arial" w:eastAsia="Arial" w:hAnsi="Arial"/>
                  <w:sz w:val="14"/>
                  <w:szCs w:val="14"/>
                  <w:color w:val="0000EE"/>
                </w:rPr>
                <w:t>Item 9B. Other Information</w:t>
              </w:r>
            </w:hyperlink>
          </w:p>
        </w:tc>
        <w:tc>
          <w:tcPr>
            <w:tcW w:w="1680" w:type="dxa"/>
            <w:vAlign w:val="bottom"/>
          </w:tcPr>
          <w:p>
            <w:pPr>
              <w:jc w:val="right"/>
              <w:spacing w:after="0" w:line="148" w:lineRule="exact"/>
              <w:rPr>
                <w:sz w:val="20"/>
                <w:szCs w:val="20"/>
                <w:color w:val="auto"/>
              </w:rPr>
            </w:pPr>
            <w:r>
              <w:rPr>
                <w:rFonts w:ascii="Arial" w:cs="Arial" w:eastAsia="Arial" w:hAnsi="Arial"/>
                <w:sz w:val="14"/>
                <w:szCs w:val="14"/>
                <w:color w:val="auto"/>
              </w:rPr>
              <w:t>142</w:t>
            </w:r>
          </w:p>
        </w:tc>
      </w:tr>
      <w:tr>
        <w:trPr>
          <w:trHeight w:val="260"/>
        </w:trPr>
        <w:tc>
          <w:tcPr>
            <w:tcW w:w="8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320" w:type="dxa"/>
            <w:vAlign w:val="bottom"/>
            <w:gridSpan w:val="8"/>
          </w:tcPr>
          <w:p>
            <w:pPr>
              <w:jc w:val="right"/>
              <w:ind w:right="3020"/>
              <w:spacing w:after="0"/>
              <w:rPr>
                <w:rFonts w:ascii="Arial" w:cs="Arial" w:eastAsia="Arial" w:hAnsi="Arial"/>
                <w:sz w:val="14"/>
                <w:szCs w:val="14"/>
                <w:b w:val="1"/>
                <w:bCs w:val="1"/>
                <w:color w:val="0000EE"/>
              </w:rPr>
            </w:pPr>
            <w:hyperlink w:anchor="page143">
              <w:r>
                <w:rPr>
                  <w:rFonts w:ascii="Arial" w:cs="Arial" w:eastAsia="Arial" w:hAnsi="Arial"/>
                  <w:sz w:val="14"/>
                  <w:szCs w:val="14"/>
                  <w:b w:val="1"/>
                  <w:bCs w:val="1"/>
                  <w:color w:val="0000EE"/>
                </w:rPr>
                <w:t>PART III</w:t>
              </w:r>
            </w:hyperlink>
          </w:p>
        </w:tc>
        <w:tc>
          <w:tcPr>
            <w:tcW w:w="1680" w:type="dxa"/>
            <w:vAlign w:val="bottom"/>
          </w:tcPr>
          <w:p>
            <w:pPr>
              <w:spacing w:after="0"/>
              <w:rPr>
                <w:sz w:val="22"/>
                <w:szCs w:val="22"/>
                <w:color w:val="auto"/>
              </w:rPr>
            </w:pPr>
          </w:p>
        </w:tc>
      </w:tr>
      <w:tr>
        <w:trPr>
          <w:trHeight w:val="144"/>
        </w:trPr>
        <w:tc>
          <w:tcPr>
            <w:tcW w:w="3360" w:type="dxa"/>
            <w:vAlign w:val="bottom"/>
            <w:tcBorders>
              <w:bottom w:val="single" w:sz="8" w:color="0000EE"/>
            </w:tcBorders>
            <w:gridSpan w:val="11"/>
          </w:tcPr>
          <w:p>
            <w:pPr>
              <w:spacing w:after="0" w:line="144" w:lineRule="exact"/>
              <w:rPr>
                <w:rFonts w:ascii="Arial" w:cs="Arial" w:eastAsia="Arial" w:hAnsi="Arial"/>
                <w:sz w:val="14"/>
                <w:szCs w:val="14"/>
                <w:color w:val="0000EE"/>
                <w:w w:val="92"/>
              </w:rPr>
            </w:pPr>
            <w:hyperlink w:anchor="page143">
              <w:r>
                <w:rPr>
                  <w:rFonts w:ascii="Arial" w:cs="Arial" w:eastAsia="Arial" w:hAnsi="Arial"/>
                  <w:sz w:val="14"/>
                  <w:szCs w:val="14"/>
                  <w:color w:val="0000EE"/>
                  <w:w w:val="92"/>
                </w:rPr>
                <w:t>Item 10. Directors and Executive Officers of the Registrant</w:t>
              </w:r>
            </w:hyperlink>
          </w:p>
        </w:tc>
        <w:tc>
          <w:tcPr>
            <w:tcW w:w="1360" w:type="dxa"/>
            <w:vAlign w:val="bottom"/>
            <w:gridSpan w:val="2"/>
          </w:tcPr>
          <w:p>
            <w:pPr>
              <w:spacing w:after="0"/>
              <w:rPr>
                <w:sz w:val="12"/>
                <w:szCs w:val="12"/>
                <w:color w:val="auto"/>
              </w:rPr>
            </w:pPr>
          </w:p>
        </w:tc>
        <w:tc>
          <w:tcPr>
            <w:tcW w:w="580" w:type="dxa"/>
            <w:vAlign w:val="bottom"/>
            <w:tcBorders>
              <w:top w:val="single" w:sz="8" w:color="0000EE"/>
            </w:tcBorders>
            <w:gridSpan w:val="3"/>
          </w:tcPr>
          <w:p>
            <w:pPr>
              <w:spacing w:after="0"/>
              <w:rPr>
                <w:sz w:val="12"/>
                <w:szCs w:val="12"/>
                <w:color w:val="auto"/>
              </w:rPr>
            </w:pPr>
          </w:p>
        </w:tc>
        <w:tc>
          <w:tcPr>
            <w:tcW w:w="3000" w:type="dxa"/>
            <w:vAlign w:val="bottom"/>
            <w:gridSpan w:val="4"/>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142</w:t>
            </w:r>
          </w:p>
        </w:tc>
      </w:tr>
      <w:tr>
        <w:trPr>
          <w:trHeight w:val="144"/>
        </w:trPr>
        <w:tc>
          <w:tcPr>
            <w:tcW w:w="8300" w:type="dxa"/>
            <w:vAlign w:val="bottom"/>
            <w:gridSpan w:val="20"/>
          </w:tcPr>
          <w:p>
            <w:pPr>
              <w:spacing w:after="0" w:line="144" w:lineRule="exact"/>
              <w:rPr>
                <w:rFonts w:ascii="Arial" w:cs="Arial" w:eastAsia="Arial" w:hAnsi="Arial"/>
                <w:sz w:val="14"/>
                <w:szCs w:val="14"/>
                <w:color w:val="0000EE"/>
              </w:rPr>
            </w:pPr>
            <w:hyperlink w:anchor="page143">
              <w:r>
                <w:rPr>
                  <w:rFonts w:ascii="Arial" w:cs="Arial" w:eastAsia="Arial" w:hAnsi="Arial"/>
                  <w:sz w:val="14"/>
                  <w:szCs w:val="14"/>
                  <w:color w:val="0000EE"/>
                </w:rPr>
                <w:t>Item 11. Executive Compensation</w:t>
              </w:r>
            </w:hyperlink>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142</w:t>
            </w:r>
          </w:p>
        </w:tc>
      </w:tr>
      <w:tr>
        <w:trPr>
          <w:trHeight w:val="20"/>
        </w:trPr>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4"/>
        </w:trPr>
        <w:tc>
          <w:tcPr>
            <w:tcW w:w="8300" w:type="dxa"/>
            <w:vAlign w:val="bottom"/>
            <w:gridSpan w:val="20"/>
          </w:tcPr>
          <w:p>
            <w:pPr>
              <w:spacing w:after="0" w:line="144" w:lineRule="exact"/>
              <w:rPr>
                <w:rFonts w:ascii="Arial" w:cs="Arial" w:eastAsia="Arial" w:hAnsi="Arial"/>
                <w:sz w:val="14"/>
                <w:szCs w:val="14"/>
                <w:color w:val="0000EE"/>
              </w:rPr>
            </w:pPr>
            <w:hyperlink w:anchor="page144">
              <w:r>
                <w:rPr>
                  <w:rFonts w:ascii="Arial" w:cs="Arial" w:eastAsia="Arial" w:hAnsi="Arial"/>
                  <w:sz w:val="14"/>
                  <w:szCs w:val="14"/>
                  <w:color w:val="0000EE"/>
                </w:rPr>
                <w:t>Item 12. Security Ownership of Certain Beneficial Owners and Management and Related Stockholder Matters</w:t>
              </w:r>
            </w:hyperlink>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143</w:t>
            </w:r>
          </w:p>
        </w:tc>
      </w:tr>
      <w:tr>
        <w:trPr>
          <w:trHeight w:val="144"/>
        </w:trPr>
        <w:tc>
          <w:tcPr>
            <w:tcW w:w="3200" w:type="dxa"/>
            <w:vAlign w:val="bottom"/>
            <w:tcBorders>
              <w:top w:val="single" w:sz="8" w:color="0000EE"/>
              <w:bottom w:val="single" w:sz="8" w:color="0000EE"/>
            </w:tcBorders>
            <w:gridSpan w:val="10"/>
          </w:tcPr>
          <w:p>
            <w:pPr>
              <w:spacing w:after="0" w:line="144" w:lineRule="exact"/>
              <w:rPr>
                <w:rFonts w:ascii="Arial" w:cs="Arial" w:eastAsia="Arial" w:hAnsi="Arial"/>
                <w:sz w:val="14"/>
                <w:szCs w:val="14"/>
                <w:color w:val="0000EE"/>
                <w:w w:val="90"/>
              </w:rPr>
            </w:pPr>
            <w:hyperlink w:anchor="page144">
              <w:r>
                <w:rPr>
                  <w:rFonts w:ascii="Arial" w:cs="Arial" w:eastAsia="Arial" w:hAnsi="Arial"/>
                  <w:sz w:val="14"/>
                  <w:szCs w:val="14"/>
                  <w:color w:val="0000EE"/>
                  <w:w w:val="90"/>
                </w:rPr>
                <w:t>Item 13. Certain Relationships and Related Transactions</w:t>
              </w:r>
            </w:hyperlink>
          </w:p>
        </w:tc>
        <w:tc>
          <w:tcPr>
            <w:tcW w:w="3040" w:type="dxa"/>
            <w:vAlign w:val="bottom"/>
            <w:tcBorders>
              <w:top w:val="single" w:sz="8" w:color="0000EE"/>
            </w:tcBorders>
            <w:gridSpan w:val="9"/>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143</w:t>
            </w:r>
          </w:p>
        </w:tc>
      </w:tr>
      <w:tr>
        <w:trPr>
          <w:trHeight w:val="144"/>
        </w:trPr>
        <w:tc>
          <w:tcPr>
            <w:tcW w:w="8300" w:type="dxa"/>
            <w:vAlign w:val="bottom"/>
            <w:gridSpan w:val="20"/>
          </w:tcPr>
          <w:p>
            <w:pPr>
              <w:spacing w:after="0" w:line="144" w:lineRule="exact"/>
              <w:rPr>
                <w:rFonts w:ascii="Arial" w:cs="Arial" w:eastAsia="Arial" w:hAnsi="Arial"/>
                <w:sz w:val="14"/>
                <w:szCs w:val="14"/>
                <w:color w:val="0000EE"/>
              </w:rPr>
            </w:pPr>
            <w:hyperlink w:anchor="page144">
              <w:r>
                <w:rPr>
                  <w:rFonts w:ascii="Arial" w:cs="Arial" w:eastAsia="Arial" w:hAnsi="Arial"/>
                  <w:sz w:val="14"/>
                  <w:szCs w:val="14"/>
                  <w:color w:val="0000EE"/>
                </w:rPr>
                <w:t>Item 14. Principal Accounting Fees and Services</w:t>
              </w:r>
            </w:hyperlink>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143</w:t>
            </w:r>
          </w:p>
        </w:tc>
      </w:tr>
      <w:tr>
        <w:trPr>
          <w:trHeight w:val="260"/>
        </w:trPr>
        <w:tc>
          <w:tcPr>
            <w:tcW w:w="8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78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0000EE"/>
            </w:tcBorders>
          </w:tcPr>
          <w:p>
            <w:pPr>
              <w:jc w:val="right"/>
              <w:spacing w:after="0"/>
              <w:rPr>
                <w:rFonts w:ascii="Arial" w:cs="Arial" w:eastAsia="Arial" w:hAnsi="Arial"/>
                <w:sz w:val="14"/>
                <w:szCs w:val="14"/>
                <w:b w:val="1"/>
                <w:bCs w:val="1"/>
                <w:color w:val="0000EE"/>
                <w:w w:val="94"/>
              </w:rPr>
            </w:pPr>
            <w:hyperlink w:anchor="page144">
              <w:r>
                <w:rPr>
                  <w:rFonts w:ascii="Arial" w:cs="Arial" w:eastAsia="Arial" w:hAnsi="Arial"/>
                  <w:sz w:val="14"/>
                  <w:szCs w:val="14"/>
                  <w:b w:val="1"/>
                  <w:bCs w:val="1"/>
                  <w:color w:val="0000EE"/>
                  <w:w w:val="94"/>
                </w:rPr>
                <w:t>PART IV</w:t>
              </w:r>
            </w:hyperlink>
          </w:p>
        </w:tc>
        <w:tc>
          <w:tcPr>
            <w:tcW w:w="3020" w:type="dxa"/>
            <w:vAlign w:val="bottom"/>
            <w:gridSpan w:val="5"/>
          </w:tcPr>
          <w:p>
            <w:pPr>
              <w:spacing w:after="0"/>
              <w:rPr>
                <w:sz w:val="22"/>
                <w:szCs w:val="22"/>
                <w:color w:val="auto"/>
              </w:rPr>
            </w:pPr>
          </w:p>
        </w:tc>
        <w:tc>
          <w:tcPr>
            <w:tcW w:w="1680" w:type="dxa"/>
            <w:vAlign w:val="bottom"/>
          </w:tcPr>
          <w:p>
            <w:pPr>
              <w:spacing w:after="0"/>
              <w:rPr>
                <w:sz w:val="22"/>
                <w:szCs w:val="22"/>
                <w:color w:val="auto"/>
              </w:rPr>
            </w:pPr>
          </w:p>
        </w:tc>
      </w:tr>
      <w:tr>
        <w:trPr>
          <w:trHeight w:val="144"/>
        </w:trPr>
        <w:tc>
          <w:tcPr>
            <w:tcW w:w="3000" w:type="dxa"/>
            <w:vAlign w:val="bottom"/>
            <w:tcBorders>
              <w:bottom w:val="single" w:sz="8" w:color="0000EE"/>
            </w:tcBorders>
            <w:gridSpan w:val="8"/>
          </w:tcPr>
          <w:p>
            <w:pPr>
              <w:spacing w:after="0" w:line="144" w:lineRule="exact"/>
              <w:rPr>
                <w:rFonts w:ascii="Arial" w:cs="Arial" w:eastAsia="Arial" w:hAnsi="Arial"/>
                <w:sz w:val="14"/>
                <w:szCs w:val="14"/>
                <w:color w:val="0000EE"/>
                <w:w w:val="90"/>
              </w:rPr>
            </w:pPr>
            <w:hyperlink w:anchor="page144">
              <w:r>
                <w:rPr>
                  <w:rFonts w:ascii="Arial" w:cs="Arial" w:eastAsia="Arial" w:hAnsi="Arial"/>
                  <w:sz w:val="14"/>
                  <w:szCs w:val="14"/>
                  <w:color w:val="0000EE"/>
                  <w:w w:val="90"/>
                </w:rPr>
                <w:t>Item 15. Exhibits and Financial Statement Schedules</w:t>
              </w:r>
            </w:hyperlink>
          </w:p>
        </w:tc>
        <w:tc>
          <w:tcPr>
            <w:tcW w:w="5300" w:type="dxa"/>
            <w:vAlign w:val="bottom"/>
            <w:gridSpan w:val="12"/>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143</w:t>
            </w:r>
          </w:p>
        </w:tc>
      </w:tr>
      <w:tr>
        <w:trPr>
          <w:trHeight w:val="144"/>
        </w:trPr>
        <w:tc>
          <w:tcPr>
            <w:tcW w:w="880" w:type="dxa"/>
            <w:vAlign w:val="bottom"/>
            <w:tcBorders>
              <w:bottom w:val="single" w:sz="8" w:color="0000EE"/>
            </w:tcBorders>
          </w:tcPr>
          <w:p>
            <w:pPr>
              <w:spacing w:after="0" w:line="144" w:lineRule="exact"/>
              <w:rPr>
                <w:rFonts w:ascii="Arial" w:cs="Arial" w:eastAsia="Arial" w:hAnsi="Arial"/>
                <w:sz w:val="14"/>
                <w:szCs w:val="14"/>
                <w:color w:val="0000EE"/>
                <w:w w:val="94"/>
              </w:rPr>
            </w:pPr>
            <w:hyperlink w:anchor="page145">
              <w:r>
                <w:rPr>
                  <w:rFonts w:ascii="Arial" w:cs="Arial" w:eastAsia="Arial" w:hAnsi="Arial"/>
                  <w:sz w:val="14"/>
                  <w:szCs w:val="14"/>
                  <w:color w:val="0000EE"/>
                  <w:w w:val="94"/>
                </w:rPr>
                <w:t>SIGNATURES</w:t>
              </w:r>
            </w:hyperlink>
          </w:p>
        </w:tc>
        <w:tc>
          <w:tcPr>
            <w:tcW w:w="7420" w:type="dxa"/>
            <w:vAlign w:val="bottom"/>
            <w:gridSpan w:val="19"/>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144-145</w:t>
            </w:r>
          </w:p>
        </w:tc>
      </w:tr>
      <w:tr>
        <w:trPr>
          <w:trHeight w:val="144"/>
        </w:trPr>
        <w:tc>
          <w:tcPr>
            <w:tcW w:w="8300" w:type="dxa"/>
            <w:vAlign w:val="bottom"/>
            <w:gridSpan w:val="20"/>
          </w:tcPr>
          <w:p>
            <w:pPr>
              <w:spacing w:after="0" w:line="144" w:lineRule="exact"/>
              <w:rPr>
                <w:rFonts w:ascii="Arial" w:cs="Arial" w:eastAsia="Arial" w:hAnsi="Arial"/>
                <w:sz w:val="14"/>
                <w:szCs w:val="14"/>
                <w:color w:val="0000EE"/>
              </w:rPr>
            </w:pPr>
            <w:hyperlink w:anchor="page147">
              <w:r>
                <w:rPr>
                  <w:rFonts w:ascii="Arial" w:cs="Arial" w:eastAsia="Arial" w:hAnsi="Arial"/>
                  <w:sz w:val="14"/>
                  <w:szCs w:val="14"/>
                  <w:color w:val="0000EE"/>
                </w:rPr>
                <w:t>EXHIBIT INDEX</w:t>
              </w:r>
            </w:hyperlink>
          </w:p>
        </w:tc>
        <w:tc>
          <w:tcPr>
            <w:tcW w:w="1680" w:type="dxa"/>
            <w:vAlign w:val="bottom"/>
          </w:tcPr>
          <w:p>
            <w:pPr>
              <w:jc w:val="right"/>
              <w:spacing w:after="0" w:line="144" w:lineRule="exact"/>
              <w:rPr>
                <w:sz w:val="20"/>
                <w:szCs w:val="20"/>
                <w:color w:val="auto"/>
              </w:rPr>
            </w:pPr>
            <w:r>
              <w:rPr>
                <w:rFonts w:ascii="Arial" w:cs="Arial" w:eastAsia="Arial" w:hAnsi="Arial"/>
                <w:sz w:val="14"/>
                <w:szCs w:val="14"/>
                <w:color w:val="auto"/>
              </w:rPr>
              <w:t>146-150</w:t>
            </w:r>
          </w:p>
        </w:tc>
      </w:tr>
      <w:tr>
        <w:trPr>
          <w:trHeight w:val="20"/>
        </w:trPr>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EX-12.1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EX-23.1</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EX-31.1</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EX-31.2</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EX-32.1</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EX-32.2</w:t>
      </w:r>
    </w:p>
    <w:p>
      <w:pPr>
        <w:spacing w:after="0" w:line="155" w:lineRule="exact"/>
        <w:rPr>
          <w:sz w:val="20"/>
          <w:szCs w:val="20"/>
          <w:color w:val="auto"/>
        </w:rPr>
      </w:pPr>
    </w:p>
    <w:p>
      <w:pPr>
        <w:ind w:left="1060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9234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w:t>
      </w:r>
    </w:p>
    <w:p>
      <w:pPr>
        <w:spacing w:after="0" w:line="16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94" w:lineRule="exact"/>
        <w:rPr>
          <w:sz w:val="20"/>
          <w:szCs w:val="20"/>
          <w:color w:val="auto"/>
        </w:rPr>
      </w:pPr>
    </w:p>
    <w:p>
      <w:pPr>
        <w:ind w:left="680"/>
        <w:spacing w:after="0" w:line="248" w:lineRule="auto"/>
        <w:rPr>
          <w:sz w:val="20"/>
          <w:szCs w:val="20"/>
          <w:color w:val="auto"/>
        </w:rPr>
      </w:pPr>
      <w:r>
        <w:rPr>
          <w:rFonts w:ascii="Arial" w:cs="Arial" w:eastAsia="Arial" w:hAnsi="Arial"/>
          <w:sz w:val="14"/>
          <w:szCs w:val="14"/>
          <w:color w:val="auto"/>
        </w:rPr>
        <w:t>M&amp;T Bank Corporation (“Registrant” or “M&amp;T”) is a New York business corporation which is registered as a bank holding company under the Bank Holding Company Act of 1956, as amended (“BHCA”) and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2007 the Company had consolidated total assets of $64.9 billion, deposits of $41.3 billion and stockholders’ equity of $6.5 billion. The Company had 12,422 full-time and 1,447 part-time employees as of December 31, 2007.</w:t>
      </w:r>
    </w:p>
    <w:p>
      <w:pPr>
        <w:ind w:left="680" w:right="20" w:firstLine="599"/>
        <w:spacing w:after="0" w:line="285" w:lineRule="auto"/>
        <w:rPr>
          <w:sz w:val="20"/>
          <w:szCs w:val="20"/>
          <w:color w:val="auto"/>
        </w:rPr>
      </w:pPr>
      <w:r>
        <w:rPr>
          <w:rFonts w:ascii="Arial" w:cs="Arial" w:eastAsia="Arial" w:hAnsi="Arial"/>
          <w:sz w:val="12"/>
          <w:szCs w:val="12"/>
          <w:color w:val="auto"/>
        </w:rPr>
        <w:t>At December 31, 2007, the Registrant had two wholly owned bank subsidiaries: M&amp;T Bank and M&amp;T Bank, National Association (“M&amp;T Bank, N.A.”). The banks collectively offer a wide range of commercial banking, trust and investment services to their customers. At December 31, 2007, M&amp;T Bank represented 99% of consolidated assets of the Company. M&amp;T Bank operates branch offices in New York, Maryland, Pennsylvania, Delaware, New Jersey, Virginia, West Virginia and the District of Columbia.</w:t>
      </w:r>
    </w:p>
    <w:p>
      <w:pPr>
        <w:spacing w:after="0" w:line="1" w:lineRule="exact"/>
        <w:rPr>
          <w:sz w:val="20"/>
          <w:szCs w:val="20"/>
          <w:color w:val="auto"/>
        </w:rPr>
      </w:pPr>
    </w:p>
    <w:p>
      <w:pPr>
        <w:ind w:left="680" w:right="440" w:firstLine="599"/>
        <w:spacing w:after="0" w:line="278" w:lineRule="auto"/>
        <w:rPr>
          <w:sz w:val="20"/>
          <w:szCs w:val="20"/>
          <w:color w:val="auto"/>
        </w:rPr>
      </w:pPr>
      <w:r>
        <w:rPr>
          <w:rFonts w:ascii="Arial" w:cs="Arial" w:eastAsia="Arial" w:hAnsi="Arial"/>
          <w:sz w:val="13"/>
          <w:szCs w:val="13"/>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Relationship With Allied Irish Banks, p.l.c.</w:t>
      </w:r>
    </w:p>
    <w:p>
      <w:pPr>
        <w:spacing w:after="0" w:line="19" w:lineRule="exact"/>
        <w:rPr>
          <w:sz w:val="20"/>
          <w:szCs w:val="20"/>
          <w:color w:val="auto"/>
        </w:rPr>
      </w:pPr>
    </w:p>
    <w:p>
      <w:pPr>
        <w:ind w:left="680" w:right="20"/>
        <w:spacing w:after="0" w:line="267" w:lineRule="auto"/>
        <w:rPr>
          <w:sz w:val="20"/>
          <w:szCs w:val="20"/>
          <w:color w:val="auto"/>
        </w:rPr>
      </w:pPr>
      <w:r>
        <w:rPr>
          <w:rFonts w:ascii="Arial" w:cs="Arial" w:eastAsia="Arial" w:hAnsi="Arial"/>
          <w:sz w:val="13"/>
          <w:szCs w:val="13"/>
          <w:color w:val="auto"/>
        </w:rPr>
        <w:t>On April 1, 2003, M&amp;T completed the acquisition of Allfirst Financial Inc. (“Allfirst”), a bank holding company headquartered in Baltimore, Maryland from Allied Irish Banks, p.l.c. (“AIB”). Under the terms of the Agreement and Plan of Reorganization dated September 26, 2002 by and among AIB, Allfirst and M&amp;T (the “Reorganization Agreement”), M&amp;T combined with Allfirst through the acquisition of all of the issued and outstanding Allfirst stock in exchange for 26,700,000 shares of M&amp;T common stock and $886,107,000 in cash paid to AIB. In addition, there were several M&amp;T corporate governance changes that resulted from the transaction. While it maintains a significant ownership in M&amp;T, AIB will have representation on the M&amp;T board, the M&amp;T Bank board and key M&amp;T board committees and will have certain protections of its rights as a substantial M&amp;T shareholder. In addition, AIB will have rights that will facilitate its ability to maintain its proportionate ownership position in M&amp;T. M&amp;T will also have representation on the AIB board while AIB remains a significant shareholder. The following is a description of the ongoing relationship between M&amp;T and AIB. The following description is qualified in its entirety by the terms of the Reorganization Agreement. The Reorganization Agreement was filed with the Securities Exchange Commission on October 3, 2002 as Exhibit 2 to the Current Report on Form 8-K of M&amp;T dated September 26, 2002.</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Board of Directors; Management</w:t>
      </w:r>
    </w:p>
    <w:p>
      <w:pPr>
        <w:spacing w:after="0" w:line="19"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At December 31, 2007, AIB held approximately 24.3% of the issued and outstanding shares of M&amp;T common stock. In defining their relationship after the acquisition, M&amp;T and AIB negotiated certain agreements regarding share ownership and corporate governance issues such as board representation, with the number of AIB’s representatives on the M&amp;T and M&amp;T Bank boards of directors being dependent upon the amount of M&amp;T common stock held by AIB. M&amp;T has the right to one seat on the AIB board of directors until AIB no longer holds at least 15% of the outstanding shares of M&amp;T common stock. Pursuant to the Reorganization Agreement, AIB has the right to name four members to serve on the Boards of Directors of M&amp;T and M&amp;T Bank, each of whom must be reasonably acceptable to M&amp;T (collectively, the “AIB Designees”). Further, one of the AIB Designees will serve on each of the Executive Committee, Nomination, Compensation and Governance Committee, and Audit and Risk Committee (or any committee or committees performing comparable functions) of the M&amp;T board of directors. In order to serve, the AIB Designees must meet the requisite independence and expertise requirements prescribed under applicable law or stock exchange rules. In addition, the Reorganization Agreement provides that the board of directors of M&amp;T Bank will include four members designated by AIB, each of whom must be reasonably acceptable to M&amp;T.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As long as AIB remains a significant shareholder of M&amp;T, AIB will have representation on the boards of directors of both M&amp;T and M&amp;T Bank as follows:</w:t>
      </w:r>
    </w:p>
    <w:p>
      <w:pPr>
        <w:spacing w:after="0" w:line="27" w:lineRule="exact"/>
        <w:rPr>
          <w:sz w:val="20"/>
          <w:szCs w:val="20"/>
          <w:color w:val="auto"/>
        </w:rPr>
      </w:pPr>
    </w:p>
    <w:p>
      <w:pPr>
        <w:ind w:left="1300" w:right="320" w:hanging="209"/>
        <w:spacing w:after="0" w:line="244" w:lineRule="auto"/>
        <w:tabs>
          <w:tab w:leader="none" w:pos="1300" w:val="left"/>
        </w:tabs>
        <w:numPr>
          <w:ilvl w:val="0"/>
          <w:numId w:val="6"/>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M&amp;T common stock, AIB will be entitled to designate four persons on both the M&amp;T and M&amp;T Bank boards of directors and representation on the committees of the M&amp;T board described above.</w:t>
      </w:r>
    </w:p>
    <w:p>
      <w:pPr>
        <w:ind w:left="1300" w:right="320" w:hanging="209"/>
        <w:spacing w:after="0" w:line="244" w:lineRule="auto"/>
        <w:tabs>
          <w:tab w:leader="none" w:pos="1300" w:val="left"/>
        </w:tabs>
        <w:numPr>
          <w:ilvl w:val="0"/>
          <w:numId w:val="6"/>
        </w:numPr>
        <w:rPr>
          <w:rFonts w:ascii="Arial" w:cs="Arial" w:eastAsia="Arial" w:hAnsi="Arial"/>
          <w:sz w:val="9"/>
          <w:szCs w:val="9"/>
          <w:color w:val="auto"/>
        </w:rPr>
      </w:pPr>
      <w:r>
        <w:rPr>
          <w:rFonts w:ascii="Arial" w:cs="Arial" w:eastAsia="Arial" w:hAnsi="Arial"/>
          <w:sz w:val="14"/>
          <w:szCs w:val="14"/>
          <w:color w:val="auto"/>
        </w:rPr>
        <w:t>If AIB holds at least 10%, but less than 15%, of the outstanding shares of M&amp;T common stock, AIB will be entitled to designate at least two people on both the M&amp;T and M&amp;T Bank boards of directors.</w:t>
      </w:r>
    </w:p>
    <w:p>
      <w:pPr>
        <w:ind w:left="1300" w:right="20" w:hanging="209"/>
        <w:spacing w:after="0" w:line="244" w:lineRule="auto"/>
        <w:tabs>
          <w:tab w:leader="none" w:pos="1300" w:val="left"/>
        </w:tabs>
        <w:numPr>
          <w:ilvl w:val="0"/>
          <w:numId w:val="6"/>
        </w:numPr>
        <w:rPr>
          <w:rFonts w:ascii="Arial" w:cs="Arial" w:eastAsia="Arial" w:hAnsi="Arial"/>
          <w:sz w:val="9"/>
          <w:szCs w:val="9"/>
          <w:color w:val="auto"/>
        </w:rPr>
      </w:pPr>
      <w:r>
        <w:rPr>
          <w:rFonts w:ascii="Arial" w:cs="Arial" w:eastAsia="Arial" w:hAnsi="Arial"/>
          <w:sz w:val="14"/>
          <w:szCs w:val="14"/>
          <w:color w:val="auto"/>
        </w:rPr>
        <w:t>If AIB’s ownership interest in M&amp;T is at least 5%, but less than 10%, of the outstanding shares of M&amp;T common stock, AIB will be entitled to designate at least one person on both the M&amp;T and M&amp;T Bank boards of directors.</w:t>
      </w:r>
    </w:p>
    <w:p>
      <w:pPr>
        <w:ind w:left="1300" w:right="340" w:hanging="209"/>
        <w:spacing w:after="0" w:line="244" w:lineRule="auto"/>
        <w:tabs>
          <w:tab w:leader="none" w:pos="1300" w:val="left"/>
        </w:tabs>
        <w:numPr>
          <w:ilvl w:val="0"/>
          <w:numId w:val="6"/>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M&amp;T common stock, neither M&amp;T’s board of directors nor M&amp;T Bank’s board of directors will consist of more than twenty-eight directors without the consent of the AIB Designees.</w:t>
      </w:r>
    </w:p>
    <w:p>
      <w:pPr>
        <w:ind w:left="1300" w:hanging="209"/>
        <w:spacing w:after="0" w:line="246" w:lineRule="auto"/>
        <w:tabs>
          <w:tab w:leader="none" w:pos="1300" w:val="left"/>
        </w:tabs>
        <w:numPr>
          <w:ilvl w:val="0"/>
          <w:numId w:val="6"/>
        </w:numPr>
        <w:rPr>
          <w:rFonts w:ascii="Arial" w:cs="Arial" w:eastAsia="Arial" w:hAnsi="Arial"/>
          <w:sz w:val="9"/>
          <w:szCs w:val="9"/>
          <w:color w:val="auto"/>
        </w:rPr>
      </w:pPr>
      <w:r>
        <w:rPr>
          <w:rFonts w:ascii="Arial" w:cs="Arial" w:eastAsia="Arial" w:hAnsi="Arial"/>
          <w:sz w:val="14"/>
          <w:szCs w:val="14"/>
          <w:color w:val="auto"/>
        </w:rPr>
        <w:t>If AIB’s holdings of M&amp;T common stock fall below 15%, but not lower than 12% of the outstanding shares of M&amp;T common stock, AIB will continue to have the same rights that it would have had if it owned 15% of the outstanding shares of M&amp;T common stock, as long as AIB restores its ownership percentage to 15% within one year. Additionally, as described in more detail below, M&amp;T has agreed to repurchase shares of M&amp;T common stock in order to offset dilution to AIB’s ownership interests that may otherwise be caused by issuances of M&amp;T common stock under M&amp;T employee and director benefit or stock purchase plans. Dilution of AIB’s ownership position caused by such issuances will not be counted in determining whether the “Sunset Date” has occurred or whether any of AIB’s other rights under the Reorganization Agreement have terminated. The “Sunset Date” is the date on which AIB no longer holds at least 15% of the M&amp;T common stock, calculated as described in this paragraph.</w:t>
      </w:r>
    </w:p>
    <w:p>
      <w:pPr>
        <w:spacing w:after="0" w:line="29" w:lineRule="exact"/>
        <w:rPr>
          <w:sz w:val="20"/>
          <w:szCs w:val="20"/>
          <w:color w:val="auto"/>
        </w:rPr>
      </w:pPr>
    </w:p>
    <w:p>
      <w:pPr>
        <w:ind w:left="680" w:right="120" w:firstLine="599"/>
        <w:spacing w:after="0" w:line="258" w:lineRule="auto"/>
        <w:rPr>
          <w:sz w:val="20"/>
          <w:szCs w:val="20"/>
          <w:color w:val="auto"/>
        </w:rPr>
      </w:pPr>
      <w:r>
        <w:rPr>
          <w:rFonts w:ascii="Arial" w:cs="Arial" w:eastAsia="Arial" w:hAnsi="Arial"/>
          <w:sz w:val="14"/>
          <w:szCs w:val="14"/>
          <w:color w:val="auto"/>
        </w:rPr>
        <w:t>The AIB Designees at December 31, 2007 were Michael D. Buckley, Colm E. Doherty, Richard G. King and Eugene J. Sheehy. Mr. Buckley serves as a member of the Executive Committee and the Nomination, Compensation and Governance Committee, and Mr. King serves as a member of the Audit and Risk Committee. Robert G. Wilmers, Chairman of the Board and Chief Executive Officer of M&amp;T, is a member of the AIB board of directors.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Amendments to M&amp;T’s Bylaws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Pursuant to the Reorganization Agreement, M&amp;T amended and restated its bylaws. The following is a description of the amended bylaws:</w:t>
      </w:r>
    </w:p>
    <w:p>
      <w:pPr>
        <w:spacing w:after="0" w:line="3" w:lineRule="exact"/>
        <w:rPr>
          <w:sz w:val="20"/>
          <w:szCs w:val="20"/>
          <w:color w:val="auto"/>
        </w:rPr>
      </w:pPr>
    </w:p>
    <w:p>
      <w:pPr>
        <w:ind w:left="680" w:right="180" w:firstLine="599"/>
        <w:spacing w:after="0" w:line="263" w:lineRule="auto"/>
        <w:rPr>
          <w:sz w:val="20"/>
          <w:szCs w:val="20"/>
          <w:color w:val="auto"/>
        </w:rPr>
      </w:pPr>
      <w:r>
        <w:rPr>
          <w:rFonts w:ascii="Arial" w:cs="Arial" w:eastAsia="Arial" w:hAnsi="Arial"/>
          <w:sz w:val="13"/>
          <w:szCs w:val="13"/>
          <w:color w:val="auto"/>
        </w:rPr>
        <w:t>The amended bylaws provide that until the Sunset Date, the M&amp;T board of directors may not take or make any recommendation to M&amp;T’s shareholders regarding the following actions without the approval of the Executive Committee, including the approval of the AIB Designee serving on the committee:</w:t>
      </w:r>
    </w:p>
    <w:p>
      <w:pPr>
        <w:ind w:left="1300" w:right="460" w:hanging="209"/>
        <w:spacing w:after="0" w:line="263" w:lineRule="auto"/>
        <w:tabs>
          <w:tab w:leader="none" w:pos="1300" w:val="left"/>
        </w:tabs>
        <w:numPr>
          <w:ilvl w:val="0"/>
          <w:numId w:val="7"/>
        </w:numPr>
        <w:rPr>
          <w:rFonts w:ascii="Arial" w:cs="Arial" w:eastAsia="Arial" w:hAnsi="Arial"/>
          <w:sz w:val="8"/>
          <w:szCs w:val="8"/>
          <w:color w:val="auto"/>
        </w:rPr>
      </w:pPr>
      <w:r>
        <w:rPr>
          <w:rFonts w:ascii="Arial" w:cs="Arial" w:eastAsia="Arial" w:hAnsi="Arial"/>
          <w:sz w:val="13"/>
          <w:szCs w:val="13"/>
          <w:color w:val="auto"/>
        </w:rPr>
        <w:t>Any amendment of M&amp;T’s Certificate of Incorporation or bylaws that would be inconsistent with the rights described herein or that would otherwise have an adverse effect on the board representation, committee representation or other rights of AIB contemplated by the Reorganization Agreement;</w:t>
      </w:r>
    </w:p>
    <w:p>
      <w:pPr>
        <w:ind w:left="1300" w:hanging="209"/>
        <w:spacing w:after="0"/>
        <w:tabs>
          <w:tab w:leader="none" w:pos="1300" w:val="left"/>
        </w:tabs>
        <w:numPr>
          <w:ilvl w:val="0"/>
          <w:numId w:val="7"/>
        </w:numPr>
        <w:rPr>
          <w:rFonts w:ascii="Arial" w:cs="Arial" w:eastAsia="Arial" w:hAnsi="Arial"/>
          <w:sz w:val="9"/>
          <w:szCs w:val="9"/>
          <w:color w:val="auto"/>
        </w:rPr>
      </w:pPr>
      <w:r>
        <w:rPr>
          <w:rFonts w:ascii="Arial" w:cs="Arial" w:eastAsia="Arial" w:hAnsi="Arial"/>
          <w:sz w:val="14"/>
          <w:szCs w:val="14"/>
          <w:color w:val="auto"/>
        </w:rPr>
        <w:t>Any activity not permissible for a U.S. bank holding company;</w:t>
      </w:r>
    </w:p>
    <w:p>
      <w:pPr>
        <w:spacing w:after="0" w:line="3" w:lineRule="exact"/>
        <w:rPr>
          <w:rFonts w:ascii="Arial" w:cs="Arial" w:eastAsia="Arial" w:hAnsi="Arial"/>
          <w:sz w:val="9"/>
          <w:szCs w:val="9"/>
          <w:color w:val="auto"/>
        </w:rPr>
      </w:pPr>
    </w:p>
    <w:p>
      <w:pPr>
        <w:ind w:left="1300" w:right="440" w:hanging="209"/>
        <w:spacing w:after="0" w:line="244" w:lineRule="auto"/>
        <w:tabs>
          <w:tab w:leader="none" w:pos="1300" w:val="left"/>
        </w:tabs>
        <w:numPr>
          <w:ilvl w:val="0"/>
          <w:numId w:val="7"/>
        </w:numPr>
        <w:rPr>
          <w:rFonts w:ascii="Arial" w:cs="Arial" w:eastAsia="Arial" w:hAnsi="Arial"/>
          <w:sz w:val="9"/>
          <w:szCs w:val="9"/>
          <w:color w:val="auto"/>
        </w:rPr>
      </w:pPr>
      <w:r>
        <w:rPr>
          <w:rFonts w:ascii="Arial" w:cs="Arial" w:eastAsia="Arial" w:hAnsi="Arial"/>
          <w:sz w:val="14"/>
          <w:szCs w:val="14"/>
          <w:color w:val="auto"/>
        </w:rPr>
        <w:t>The adoption of any shareholder rights plan or other measures having the purpose or effect of preventing or materially delaying completion of any transaction involving a change in control of M&amp;T; and</w:t>
      </w:r>
    </w:p>
    <w:p>
      <w:pPr>
        <w:ind w:left="1300" w:hanging="209"/>
        <w:spacing w:after="0"/>
        <w:tabs>
          <w:tab w:leader="none" w:pos="1300" w:val="left"/>
        </w:tabs>
        <w:numPr>
          <w:ilvl w:val="0"/>
          <w:numId w:val="7"/>
        </w:numPr>
        <w:rPr>
          <w:rFonts w:ascii="Arial" w:cs="Arial" w:eastAsia="Arial" w:hAnsi="Arial"/>
          <w:sz w:val="9"/>
          <w:szCs w:val="9"/>
          <w:color w:val="auto"/>
        </w:rPr>
      </w:pPr>
      <w:r>
        <w:rPr>
          <w:rFonts w:ascii="Arial" w:cs="Arial" w:eastAsia="Arial" w:hAnsi="Arial"/>
          <w:sz w:val="14"/>
          <w:szCs w:val="14"/>
          <w:color w:val="auto"/>
        </w:rPr>
        <w:t>Any public announcement disclosing M&amp;T’s desire or intention to take any of the foregoing actions.</w:t>
      </w:r>
    </w:p>
    <w:p>
      <w:pPr>
        <w:spacing w:after="0" w:line="39" w:lineRule="exact"/>
        <w:rPr>
          <w:sz w:val="20"/>
          <w:szCs w:val="20"/>
          <w:color w:val="auto"/>
        </w:rPr>
      </w:pPr>
    </w:p>
    <w:p>
      <w:pPr>
        <w:ind w:left="680" w:right="440" w:firstLine="599"/>
        <w:spacing w:after="0" w:line="258" w:lineRule="auto"/>
        <w:rPr>
          <w:sz w:val="20"/>
          <w:szCs w:val="20"/>
          <w:color w:val="auto"/>
        </w:rPr>
      </w:pPr>
      <w:r>
        <w:rPr>
          <w:rFonts w:ascii="Arial" w:cs="Arial" w:eastAsia="Arial" w:hAnsi="Arial"/>
          <w:sz w:val="14"/>
          <w:szCs w:val="14"/>
          <w:color w:val="auto"/>
        </w:rPr>
        <w:t>The amended bylaws also provide that until the Sunset Date, the M&amp;T board of directors may only take or make any recommendation to M&amp;T’s shareholders regarding the following actions if the action has been approved by the Executive Committee (in the case of the first four items and sixth item below) or Nomination, Compensation and Governance Committee (in the case of the fifth item below)</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500"/>
        <w:spacing w:after="0" w:line="253" w:lineRule="auto"/>
        <w:rPr>
          <w:sz w:val="20"/>
          <w:szCs w:val="20"/>
          <w:color w:val="auto"/>
        </w:rPr>
      </w:pPr>
      <w:r>
        <w:rPr>
          <w:rFonts w:ascii="Arial" w:cs="Arial" w:eastAsia="Arial" w:hAnsi="Arial"/>
          <w:sz w:val="14"/>
          <w:szCs w:val="14"/>
          <w:color w:val="auto"/>
        </w:rPr>
        <w:t>and the members of such committee not voting in favor of the action do not include the AIB Designee serving on such committee and at least one other member of the committee who is not an AIB Designee:</w:t>
      </w:r>
    </w:p>
    <w:p>
      <w:pPr>
        <w:spacing w:after="0" w:line="1" w:lineRule="exact"/>
        <w:rPr>
          <w:sz w:val="20"/>
          <w:szCs w:val="20"/>
          <w:color w:val="auto"/>
        </w:rPr>
      </w:pPr>
    </w:p>
    <w:p>
      <w:pPr>
        <w:ind w:left="1300" w:right="40" w:hanging="209"/>
        <w:spacing w:after="0" w:line="244"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reduction in M&amp;T’s cash dividend policy such that the ratio of cash dividends to net income is less than 15%, or any extraordinary dividends or distributions to holders of M&amp;T common stock;</w:t>
      </w:r>
    </w:p>
    <w:p>
      <w:pPr>
        <w:ind w:left="1300" w:right="320" w:hanging="209"/>
        <w:spacing w:after="0" w:line="263" w:lineRule="auto"/>
        <w:tabs>
          <w:tab w:leader="none" w:pos="1300" w:val="left"/>
        </w:tabs>
        <w:numPr>
          <w:ilvl w:val="0"/>
          <w:numId w:val="8"/>
        </w:numPr>
        <w:rPr>
          <w:rFonts w:ascii="Arial" w:cs="Arial" w:eastAsia="Arial" w:hAnsi="Arial"/>
          <w:sz w:val="8"/>
          <w:szCs w:val="8"/>
          <w:color w:val="auto"/>
        </w:rPr>
      </w:pPr>
      <w:r>
        <w:rPr>
          <w:rFonts w:ascii="Arial" w:cs="Arial" w:eastAsia="Arial" w:hAnsi="Arial"/>
          <w:sz w:val="13"/>
          <w:szCs w:val="13"/>
          <w:color w:val="auto"/>
        </w:rPr>
        <w:t>Any acquisition of any assets or businesses, (1) if the consideration is in M&amp;T common stock, where the stock consideration paid by M&amp;T exceeds 10% of the aggregate voting power of M&amp;T common stock and (2) if the consideration is cash, M&amp;T stock or other consideration, where the fair market value of the consideration paid by M&amp;T exceeds 10% of the market capitalization of M&amp;T, as determined under the Reorganization Agreement;</w:t>
      </w:r>
    </w:p>
    <w:p>
      <w:pPr>
        <w:ind w:left="1300" w:right="580" w:hanging="209"/>
        <w:spacing w:after="0" w:line="244"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sale of any assets or businesses in which the value of the aggregate consideration to be received exceeds 10% of the market capitalization of M&amp;T, as determined under the Reorganization Agreement;</w:t>
      </w:r>
    </w:p>
    <w:p>
      <w:pPr>
        <w:ind w:left="1300" w:hanging="209"/>
        <w:spacing w:after="0"/>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liquidation or dissolution of M&amp;T;</w:t>
      </w:r>
    </w:p>
    <w:p>
      <w:pPr>
        <w:spacing w:after="0" w:line="3" w:lineRule="exact"/>
        <w:rPr>
          <w:rFonts w:ascii="Arial" w:cs="Arial" w:eastAsia="Arial" w:hAnsi="Arial"/>
          <w:sz w:val="9"/>
          <w:szCs w:val="9"/>
          <w:color w:val="auto"/>
        </w:rPr>
      </w:pPr>
    </w:p>
    <w:p>
      <w:pPr>
        <w:ind w:left="1300" w:hanging="209"/>
        <w:spacing w:after="0"/>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appointment or election of the Chairman of the board of directors or the Chief Executive Officer of M&amp;T; and</w:t>
      </w:r>
    </w:p>
    <w:p>
      <w:pPr>
        <w:spacing w:after="0" w:line="3" w:lineRule="exact"/>
        <w:rPr>
          <w:rFonts w:ascii="Arial" w:cs="Arial" w:eastAsia="Arial" w:hAnsi="Arial"/>
          <w:sz w:val="9"/>
          <w:szCs w:val="9"/>
          <w:color w:val="auto"/>
        </w:rPr>
      </w:pPr>
    </w:p>
    <w:p>
      <w:pPr>
        <w:ind w:left="1300" w:hanging="209"/>
        <w:spacing w:after="0"/>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Any public announcement disclosing M&amp;T’s desire or intention to take any of the foregoing actions prior to obtaining the requisite committee approval.</w:t>
      </w:r>
    </w:p>
    <w:p>
      <w:pPr>
        <w:spacing w:after="0" w:line="39" w:lineRule="exact"/>
        <w:rPr>
          <w:sz w:val="20"/>
          <w:szCs w:val="20"/>
          <w:color w:val="auto"/>
        </w:rPr>
      </w:pPr>
    </w:p>
    <w:p>
      <w:pPr>
        <w:ind w:left="680" w:firstLine="599"/>
        <w:spacing w:after="0" w:line="258" w:lineRule="auto"/>
        <w:rPr>
          <w:sz w:val="20"/>
          <w:szCs w:val="20"/>
          <w:color w:val="auto"/>
        </w:rPr>
      </w:pPr>
      <w:r>
        <w:rPr>
          <w:rFonts w:ascii="Arial" w:cs="Arial" w:eastAsia="Arial" w:hAnsi="Arial"/>
          <w:sz w:val="14"/>
          <w:szCs w:val="14"/>
          <w:color w:val="auto"/>
        </w:rPr>
        <w:t>The provisions of the bylaws described above may not be amended or repealed without the unanimous approval of the entire M&amp;T board of directors or the approval of the holders of not less than 80% of the outstanding shares of M&amp;T common stock. The provisions of the bylaws described above will automatically terminate when AIB holds less than 5% of the outstanding shares of M&amp;T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Investment Parameters</w:t>
      </w:r>
    </w:p>
    <w:p>
      <w:pPr>
        <w:spacing w:after="0" w:line="19" w:lineRule="exact"/>
        <w:rPr>
          <w:sz w:val="20"/>
          <w:szCs w:val="20"/>
          <w:color w:val="auto"/>
        </w:rPr>
      </w:pPr>
    </w:p>
    <w:p>
      <w:pPr>
        <w:ind w:left="680" w:right="120"/>
        <w:spacing w:after="0" w:line="244" w:lineRule="auto"/>
        <w:rPr>
          <w:sz w:val="20"/>
          <w:szCs w:val="20"/>
          <w:color w:val="auto"/>
        </w:rPr>
      </w:pPr>
      <w:r>
        <w:rPr>
          <w:rFonts w:ascii="Arial" w:cs="Arial" w:eastAsia="Arial" w:hAnsi="Arial"/>
          <w:sz w:val="14"/>
          <w:szCs w:val="14"/>
          <w:color w:val="auto"/>
        </w:rPr>
        <w:t>The Reorganization Agreement provides that through the second anniversary of the Sunset Date, without prior written consent of the M&amp;T board of directors, AIB will not, directly or indirectly, acquire or offer to acquire (except by way of stock dividends, offerings made available to M&amp;T shareholders generally, or pursuant to compensation plans) more than 25% of the then outstanding shares of M&amp;T common stock. Further, during this period, AIB and AIB’s subsidiaries have agreed not to participate in any proxy solicitation or to otherwise seek to influence any M&amp;T shareholder with respect to the voting of any shares of M&amp;T common stock for the approval of any shareholder proposals.</w:t>
      </w:r>
    </w:p>
    <w:p>
      <w:pPr>
        <w:spacing w:after="0" w:line="2"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The Reorganization Agreement also provides that, during this period, AIB will not make any public announcement with respect to any proposal or offer by AIB or any AIB subsidiary with respect to certain transactions (such as mergers, business combinations, tender or exchange offers, the sale or purchase of securities or similar transactions) involving M&amp;T or any of the M&amp;T subsidiaries. The Reorganization Agreement also provides that, during this period, AIB may not subject any shares of M&amp;T common stock to any voting trust or voting arrangement or agreement and will not execute any written consent as a shareholder with respect to the M&amp;T common stock.</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The Reorganization Agreement also provides that, during this period, AIB will not seek to control or influence the management, the board of directors or policies of M&amp;T, including through communications with shareholders of M&amp;T or otherwise, except through non-public communications with the directors of M&amp;T, including the AIB Designees.</w:t>
      </w:r>
    </w:p>
    <w:p>
      <w:pPr>
        <w:spacing w:after="0" w:line="1" w:lineRule="exact"/>
        <w:rPr>
          <w:sz w:val="20"/>
          <w:szCs w:val="20"/>
          <w:color w:val="auto"/>
        </w:rPr>
      </w:pPr>
    </w:p>
    <w:p>
      <w:pPr>
        <w:ind w:left="680" w:right="100" w:firstLine="599"/>
        <w:spacing w:after="0" w:line="302" w:lineRule="auto"/>
        <w:rPr>
          <w:sz w:val="20"/>
          <w:szCs w:val="20"/>
          <w:color w:val="auto"/>
        </w:rPr>
      </w:pPr>
      <w:r>
        <w:rPr>
          <w:rFonts w:ascii="Arial" w:cs="Arial" w:eastAsia="Arial" w:hAnsi="Arial"/>
          <w:sz w:val="12"/>
          <w:szCs w:val="12"/>
          <w:color w:val="auto"/>
        </w:rPr>
        <w:t>These restrictions on AIB will no longer apply if a third party commences or announces its intention to commence a tender offer or an exchange offer and, within a reasonable time, the M&amp;T board of directors either does not recommend that shareholders not accept the offer or fails to adopt a shareholders rights plan, or if M&amp;T or M&amp;T Bank becomes subject to any regulatory capital directive or becomes an institution in “troubled” condition under applicable banking regulations. However, in the event the tender offer or exchange offer is not commenced or consummated in accordance with its terms, the restrictions on AIB described above will thereafter continue to apply.</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Anti-Dilution Protections</w:t>
      </w:r>
    </w:p>
    <w:p>
      <w:pPr>
        <w:spacing w:after="0" w:line="19" w:lineRule="exact"/>
        <w:rPr>
          <w:sz w:val="20"/>
          <w:szCs w:val="20"/>
          <w:color w:val="auto"/>
        </w:rPr>
      </w:pPr>
    </w:p>
    <w:p>
      <w:pPr>
        <w:ind w:left="680" w:right="240"/>
        <w:spacing w:after="0" w:line="255" w:lineRule="auto"/>
        <w:rPr>
          <w:sz w:val="20"/>
          <w:szCs w:val="20"/>
          <w:color w:val="auto"/>
        </w:rPr>
      </w:pPr>
      <w:r>
        <w:rPr>
          <w:rFonts w:ascii="Arial" w:cs="Arial" w:eastAsia="Arial" w:hAnsi="Arial"/>
          <w:sz w:val="14"/>
          <w:szCs w:val="14"/>
          <w:color w:val="auto"/>
        </w:rPr>
        <w:t>M&amp;T has agreed that until the Sunset Date, in the event M&amp;T issues shares of M&amp;T stock (other than certain issuances to employees pursuant to option and benefit plans), subject to applicable law and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20"/>
          </w:cols>
          <w:pgMar w:left="220" w:top="339"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00"/>
        <w:spacing w:after="0" w:line="253" w:lineRule="auto"/>
        <w:rPr>
          <w:sz w:val="20"/>
          <w:szCs w:val="20"/>
          <w:color w:val="auto"/>
        </w:rPr>
      </w:pPr>
      <w:r>
        <w:rPr>
          <w:rFonts w:ascii="Arial" w:cs="Arial" w:eastAsia="Arial" w:hAnsi="Arial"/>
          <w:sz w:val="14"/>
          <w:szCs w:val="14"/>
          <w:color w:val="auto"/>
        </w:rPr>
        <w:t>regulatory requirements, AIB will have the right to purchase at fair market value up to the number of shares of M&amp;T common stock required to increase or maintain its equity interest in M&amp;T to 22.5% of the then outstanding M&amp;T common stock.</w:t>
      </w:r>
    </w:p>
    <w:p>
      <w:pPr>
        <w:spacing w:after="0" w:line="1" w:lineRule="exact"/>
        <w:rPr>
          <w:sz w:val="20"/>
          <w:szCs w:val="20"/>
          <w:color w:val="auto"/>
        </w:rPr>
      </w:pPr>
    </w:p>
    <w:p>
      <w:pPr>
        <w:ind w:left="680" w:right="60" w:firstLine="599"/>
        <w:spacing w:after="0" w:line="248" w:lineRule="auto"/>
        <w:rPr>
          <w:sz w:val="20"/>
          <w:szCs w:val="20"/>
          <w:color w:val="auto"/>
        </w:rPr>
      </w:pPr>
      <w:r>
        <w:rPr>
          <w:rFonts w:ascii="Arial" w:cs="Arial" w:eastAsia="Arial" w:hAnsi="Arial"/>
          <w:sz w:val="14"/>
          <w:szCs w:val="14"/>
          <w:color w:val="auto"/>
        </w:rPr>
        <w:t>M&amp;T has also agreed that until the Sunset Date, in connection with any issuance of M&amp;T stock pursuant to employee option or benefit plans, M&amp;T will as soon as reasonably practicable, taking into account applicable law, regulatory capital requirements, capital planning and risk management, take such necessary actions so that AIB’s proportionate ownership of M&amp;T common stock is not reduced as a result of such issuances, including by funding such issuances through purchases of M&amp;T common stock in the open market or by undertaking share repurchase programs.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Sale of M&amp;T Common Stock; Right of First Refusal in Certain Circumstances</w:t>
      </w:r>
    </w:p>
    <w:p>
      <w:pPr>
        <w:spacing w:after="0" w:line="19"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The M&amp;T common stock issued to AIB was not registered under the Securities Act of 1933 (the “Securities Act”) and may only be disposed of by AIB pursuant to an effective registration statement or pursuant to an exemption from registration under the Securities Act and subject to the provisions of the Reorganization Agreement.</w:t>
      </w:r>
    </w:p>
    <w:p>
      <w:pPr>
        <w:ind w:left="680" w:right="80" w:firstLine="599"/>
        <w:spacing w:after="0" w:line="244" w:lineRule="auto"/>
        <w:rPr>
          <w:sz w:val="20"/>
          <w:szCs w:val="20"/>
          <w:color w:val="auto"/>
        </w:rPr>
      </w:pPr>
      <w:r>
        <w:rPr>
          <w:rFonts w:ascii="Arial" w:cs="Arial" w:eastAsia="Arial" w:hAnsi="Arial"/>
          <w:sz w:val="14"/>
          <w:szCs w:val="14"/>
          <w:color w:val="auto"/>
        </w:rPr>
        <w:t>M&amp;T and AIB have entered into a registration rights agreement that provides that upon AIB’s request, M&amp;T will file a registration statement relating to all or a portion of AIB’s shares of M&amp;T common stock providing for the sale of such shares by AIB from time to time on a continuous basis pursuant to Rule 415 under the Securities Act, provided that M&amp;T need only effect one such “shelf registration” in any 12-month period. In addition, the registration rights agreement provides that AIB is entitled to demand registration under the Securities Act of all or part of its shares of M&amp;T stock, provided that M&amp;T is not obligated to effect two such “demand registrations” in any 12-month period. Any demand or shelf registration must cover no less than one million shares.</w:t>
      </w:r>
    </w:p>
    <w:p>
      <w:pPr>
        <w:spacing w:after="0" w:line="2"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registration rights agreement further provides that in the event M&amp;T proposes to file a registration statement other than pursuant to a shelf registration or demand registration or Forms S-8 or S-4, for an offering and sale of shares by M&amp;T in an underwritten offering or an offering and sale of shares on behalf of one or more selling shareholders, M&amp;T must give AIB notice at least 15 days prior to the anticipated filing date, and AIB may request that all or a portion of its M&amp;T common shares be included in the registration statement. M&amp;T will honor the request, unless the managing underwriter advises M&amp;T in writing that in its opinion the inclusion of all shares requested to be included by M&amp;T, the other selling shareholders, if any, and AIB would materially and adversely affect the offering, in which case M&amp;T may limit the number of shares included in the offering to a number that would not reasonably be expected to have such an effect. In such event, the number of shares to be included in the registration statement shall first include the number of shares requested to be included by M&amp;T and then the shares requested by other selling shareholders, including AIB, on a pro rata basis according to the number of shares requested to be included in the registration statement by each shareholder.</w:t>
      </w:r>
    </w:p>
    <w:p>
      <w:pPr>
        <w:spacing w:after="0" w:line="2"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As long as AIB holds 5% or more of the outstanding shares of M&amp;T common stock, AIB will not dispose of any of its shares of M&amp;T common stock except, subject to the terms and conditions of the Reorganization Agreement and applicable law, in a widely dispersed public distribution; a private placement in which no one party acquires the right to purchase more than 2% of the outstanding shares of M&amp;T common stock; an assignment to a single party (such as a broker or investment banker) for the purpose of conducting a widely dispersed public distribution on AIB’s behalf; pursuant to Rule 144 under the Securities Act; pursuant to a tender or exchange offer to M&amp;T’s shareholders not opposed by M&amp;T’s board of directors, or open market purchase programs made by M&amp;T; with the consent of M&amp;T, which consent will not be unreasonably withheld, to a controlled subsidiary of AIB; or pursuant to M&amp;T’s right of first refusal as described below.</w:t>
      </w:r>
    </w:p>
    <w:p>
      <w:pPr>
        <w:spacing w:after="0" w:line="1" w:lineRule="exact"/>
        <w:rPr>
          <w:sz w:val="20"/>
          <w:szCs w:val="20"/>
          <w:color w:val="auto"/>
        </w:rPr>
      </w:pPr>
    </w:p>
    <w:p>
      <w:pPr>
        <w:ind w:left="680" w:right="160" w:firstLine="599"/>
        <w:spacing w:after="0" w:line="247" w:lineRule="auto"/>
        <w:rPr>
          <w:sz w:val="20"/>
          <w:szCs w:val="20"/>
          <w:color w:val="auto"/>
        </w:rPr>
      </w:pPr>
      <w:r>
        <w:rPr>
          <w:rFonts w:ascii="Arial" w:cs="Arial" w:eastAsia="Arial" w:hAnsi="Arial"/>
          <w:sz w:val="14"/>
          <w:szCs w:val="14"/>
          <w:color w:val="auto"/>
        </w:rPr>
        <w:t>The Reorganization Agreement provides that until AIB no longer holds at least 5% of the outstanding shares of M&amp;T common stock, if AIB wishes to sell or otherwise transfer any of its shares of M&amp;T common stock other than as described in the preceding paragraph, AIB must first submit an offer notice to M&amp;T identifying the proposed transferee and setting forth the proposed terms of the transaction, which shall be limited to sales for cash, cash equivalents or marketable securities. M&amp;T will have the right, for 20 days following receipt of an offer notice from AIB, to purchase all (but not less than all) of the shares of M&amp;T common stock that AIB wishes to sell, on the proposed terms specified in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54" w:lineRule="auto"/>
        <w:rPr>
          <w:sz w:val="20"/>
          <w:szCs w:val="20"/>
          <w:color w:val="auto"/>
        </w:rPr>
      </w:pPr>
      <w:r>
        <w:rPr>
          <w:rFonts w:ascii="Arial" w:cs="Arial" w:eastAsia="Arial" w:hAnsi="Arial"/>
          <w:sz w:val="14"/>
          <w:szCs w:val="14"/>
          <w:color w:val="auto"/>
        </w:rPr>
        <w:t>the offer notice. If M&amp;T declines or fails to respond to the offer notice within 20 days, AIB may sell all or a portion of the M&amp;T shares specified in the offer notice to the proposed transferee at a purchase price equal to or greater than the price specified in the offer notice, at any time during the three months following the date of the offer notice, or, if prior notification to or approval of the sale by the Federal Reserve Board or another regulatory agency is required, AIB shall pursue regulatory approval expeditiously and the sale may occur on the first date permitted under applicable law.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Certain Post-Closing Bank Regulatory Matters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The Board of Governors of the Federal Reserve System (“Federal Reserve Board”) deems AIB to be M&amp;T’s bank holding company for purposes of the BHCA. In addition, the New York Banking Superintendent (“Banking Superintendent”) deems AIB to be M&amp;T’s bank holding company for purposes of Article III-A of the Banking Law. Among other things, this means that, should M&amp;T propose to make an acquisition or engage in a new type of activity that requires the submission of an application or notice to the Federal Reserve Board or the Banking Superintendent, AIB, as well as M&amp;T, may also be required to file an application or notice. The Reorganization Agreement generally provides that AIB will make any applications, notices or filings that M&amp;T determines to be necessary or desirable. The Reorganization Agreement also requires AIB not to take any action that would have a material adverse effect on M&amp;T and to advise M&amp;T prior to entering into any material transaction or activity. These provisions of the Reorganization Agreement would no longer apply if AIB ceased to be M&amp;T’s bank holding company and also was not otherwise considered to control M&amp;T for purposes of the BHCA.</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Pursuant to the Reorganization Agreement, if, as a result of any administrative enforcement action under Section 8 of the Federal Deposit Insurance Act (the “FDI Act”), memorandum of understanding, written agreement, supervisory letter or any other action or determination of any regulatory agency relating to the status of AIB (but not relating to the conduct of M&amp;T or any subsidiary of M&amp;T), M&amp;T or M&amp;T Bank also becomes subject to such an action, memorandum, agreement or letter that relates to M&amp;T or any M&amp;T subsidiary, or experiences any fact, event or circumstance that affects M&amp;T’s regulatory status or compliance, and that in either case would be reasonably likely to create a material burden on M&amp;T or to cause any material adverse economic or operating consequences to M&amp;T or an M&amp;T subsidiary (a “Material Regulatory Event”), then M&amp;T will notify AIB thereof in writing as promptly as practicable. Should AIB fail to cure the Material Regulatory Event within 90 days following the receipt of such notice, AIB will, as promptly as practicable but in no event later than 30 days from the end of the cure period, take any and all such actions (with the reasonable cooperation of M&amp;T as requested by AIB) as may be necessary or advisable in order that it no longer has “control” of M&amp;T for purposes of the BHCA, including, if necessary, by selling some or all of its shares of M&amp;T common stock (subject to the right of first refusal provisions of the Reorganization Agreement) and divesting itself as required of its board and committee representation and governance rights as set forth in the Reorganization Agreement. If, at the end of such 30-day period, the Material Regulatory Event is continuing and AIB has not terminated its control of M&amp;T, then M&amp;T will have the right to repurchase, at fair market value, such amount of the M&amp;T common stock owned by AIB as would result in AIB holding no less than 4.9% of the outstanding shares of M&amp;T common stock, pursuant to the procedures detailed in the Reorganization Agreement.</w:t>
      </w:r>
    </w:p>
    <w:p>
      <w:pPr>
        <w:spacing w:after="0" w:line="3" w:lineRule="exact"/>
        <w:rPr>
          <w:sz w:val="20"/>
          <w:szCs w:val="20"/>
          <w:color w:val="auto"/>
        </w:rPr>
      </w:pPr>
    </w:p>
    <w:p>
      <w:pPr>
        <w:ind w:left="680" w:firstLine="599"/>
        <w:spacing w:after="0" w:line="246" w:lineRule="auto"/>
        <w:rPr>
          <w:sz w:val="20"/>
          <w:szCs w:val="20"/>
          <w:color w:val="auto"/>
        </w:rPr>
      </w:pPr>
      <w:r>
        <w:rPr>
          <w:rFonts w:ascii="Arial" w:cs="Arial" w:eastAsia="Arial" w:hAnsi="Arial"/>
          <w:sz w:val="14"/>
          <w:szCs w:val="14"/>
          <w:color w:val="auto"/>
        </w:rPr>
        <w:t>As long as AIB is considered to “control” M&amp;T for purposes of the BHCA or the federal Change in Bank Control Act, if AIB acquires any insured depository institution with total assets greater than 25% of the assets of M&amp;T’s largest insured depository institution subsidiary, then within two years AIB must terminate its affiliation with the insured depository institution or take such steps as may be necessary so that none of M&amp;T’s bank subsidiaries would be subject to “cross guarantee” liability for losses incurred if the institution AIB acquired potentially were to fail. This liability applies under the FDI Act to insured depository institutions that are commonly controlled. The actions AIB would take could include disposing of shares of M&amp;T common stock and/or surrendering its representation or governance rights. Also, if such an insured depository institution that is controlled by AIB and of the size described in the first sentence of this paragraph that would be considered to be commonly controlled with M&amp;T’s insured depository institution subsidiaries fails to meet applicable requirements to be “adequately capitalized” under applicable U.S. banking laws, then AIB will have to take the actions described in the previous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sentence no later than 180 days after the date that the institution failed to meet those requirements, unless the institution is sooner returned to “adequately capitalized” status.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Subsidiaries</w:t>
      </w:r>
    </w:p>
    <w:p>
      <w:pPr>
        <w:spacing w:after="0" w:line="19"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2007, M&amp;T Bank had 704 banking offices located throughout New York State, Pennsylvania, Maryland, Delaware, New Jersey, Virginia, West Virginia and the District of Columbia, plus a branch in George Town, Cayman Islands. As of December 31, 2007, M&amp;T Bank had consolidated total assets of $64.1 billion, deposits of $41.1 billion and stockholder’s equity of $6.8 billion. The deposit liabilities of M&amp;T Bank are insured by the FDIC through its Deposit Insurance Fund (“DIF”) of which, at December 31, 2007, $37.4 billion were assessable.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northern Virginia and Washington, D.C., and on small and medium-size businesses based in those areas, although residential and commercial real estate loans are originated through lending offices in 20 other states. In addition, the Company conducts lending activities in various states through other subsidiaries. M&amp;T Bank and certain of its subsidiaries also offer commercial mortgage loans secured by income producing properties or properties used by borrowers in a trade or business. Additional financial services are provided through other operating subsidiaries of the Company. Effective January 1, 2007, M&amp;T Mortgage Corporation, previously a wholly owned mortgage banking subsidiary of M&amp;T Bank, was merged into M&amp;T Bank.</w:t>
      </w:r>
    </w:p>
    <w:p>
      <w:pPr>
        <w:spacing w:after="0" w:line="137"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M&amp;T Bank, N.A., a national banking association and a member of the Federal Reserve System and the FDIC, commenced operations on October 2, 1995. The deposit liabilities of M&amp;T Bank, N.A. are insured by the FDIC through the DIF. The main office of M&amp;T Bank, N.A. is located at 48 Main Street, Oakfield, New York 14125. M&amp;T Bank, N.A. offers selected deposit and loan products on a nationwide basis, primarily through direct mail and telephone marketing techniques. As of December 31, 2007, M&amp;T Bank, N.A. had total assets of $376 million, deposits of $229 million and stockholder’s equity of $81 million.</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M&amp;T Life Insurance Company (“M&amp;T Life Insurance”), a wholly owned subsidiary of M&amp;T, was incorporated as an Arizona business corporation in January 1984. M&amp;T Life Insurance is a captive credit reinsurer which reinsures credit life and accident and health insurance purchased by the Company’s consumer loan customers. As of December 31, 2007, M&amp;T Life Insurance had assets of $33 million and stockholder’s equity of $28 million. M&amp;T Life Insurance recorded revenues of $2 million during 2007. Headquarters of M&amp;T Life Insurance are located at 101 North First Avenue, Phoenix, Arizona 85003.</w:t>
      </w:r>
    </w:p>
    <w:p>
      <w:pPr>
        <w:spacing w:after="0" w:line="1" w:lineRule="exact"/>
        <w:rPr>
          <w:sz w:val="20"/>
          <w:szCs w:val="20"/>
          <w:color w:val="auto"/>
        </w:rPr>
      </w:pPr>
    </w:p>
    <w:p>
      <w:pPr>
        <w:ind w:left="680" w:right="160" w:firstLine="599"/>
        <w:spacing w:after="0" w:line="285" w:lineRule="auto"/>
        <w:rPr>
          <w:sz w:val="20"/>
          <w:szCs w:val="20"/>
          <w:color w:val="auto"/>
        </w:rPr>
      </w:pPr>
      <w:r>
        <w:rPr>
          <w:rFonts w:ascii="Arial" w:cs="Arial" w:eastAsia="Arial" w:hAnsi="Arial"/>
          <w:sz w:val="12"/>
          <w:szCs w:val="12"/>
          <w:color w:val="auto"/>
        </w:rPr>
        <w:t>M&amp;T Credit Services, LLC (“M&amp;T Credit”), a wholly owned subsidiary of M&amp;T Bank, is a New York limited liability company formed in June 2004, but its operations can be traced to a predecessor company that was a wholly owned subsidiary of M&amp;T Bank formed in 1994. M&amp;T Credit is a credit and leasing company offering consumer loans and commercial loans and leases. Its headquarters are located at M&amp;T Center, One Fountain Plaza, Buffalo, New York 14203, and it has offices in Delaware, Massachusetts and Pennsylvania. As of December 31, 2007, M&amp;T Credit had assets of $4.2 billion and stockholder’s equity of $506 million. M&amp;T Credit recorded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$231 million of revenue during 2007.</w:t>
      </w:r>
    </w:p>
    <w:p>
      <w:pPr>
        <w:spacing w:after="0" w:line="3"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2007, M&amp;T Insurance Agency had assets of $39 million and stockholder’s equity of $24 million. M&amp;T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right="40" w:hanging="598"/>
        <w:spacing w:after="0" w:line="295" w:lineRule="auto"/>
        <w:rPr>
          <w:sz w:val="20"/>
          <w:szCs w:val="20"/>
          <w:color w:val="auto"/>
        </w:rPr>
      </w:pPr>
      <w:r>
        <w:rPr>
          <w:rFonts w:ascii="Arial" w:cs="Arial" w:eastAsia="Arial" w:hAnsi="Arial"/>
          <w:sz w:val="12"/>
          <w:szCs w:val="12"/>
          <w:color w:val="auto"/>
        </w:rPr>
        <w:t>Insurance Agency recorded revenues of $21 million during 2007. The headquarters of M&amp;T Insurance Agency are located at 285 Delaware Avenue, Buffalo, New York 14202. M&amp;T Investment Company of Delaware, Inc. (“M&amp;T Investment”), is a subsidiary of M&amp;T Bank that was formed on November 17, 2004. M&amp;T Investment owns</w:t>
      </w:r>
    </w:p>
    <w:p>
      <w:pPr>
        <w:spacing w:after="0" w:line="1"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all of the outstanding common stock and 88% of the preferred stock of M&amp;T Real Estate Trust. As of December 31, 2007, M&amp;T Investment had assets and stockholder’s equity of approximately $14.7 billion. Excluding dividends from M&amp;T Real Estate Trust, M&amp;T Investment realized $23 million of revenue in 2007. The headquarters of M&amp;T Investment are located at 501 Silverside Road, Wilmington, Delaware 19809.</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M&amp;T Lease, LLC (“M&amp;T Lease”), a wholly owned subsidiary of M&amp;T Bank, is a Delaware limited liability company formed in June 2004, but its operations can be traced to a predecessor company that was a wholly owned subsidiary of M&amp;T Bank formed in 1994. M&amp;T Lease is a consumer leasing company with headquarters at One M&amp;T Plaza, Buffalo, New York 14203. As of December 31, 2007, M&amp;T Lease had assets of $51 million and stockholder’s equity of $44 million. M&amp;T Lease recorded $3 million of revenue during 2007.</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Mortgage-related mortgage loans. M&amp;T Reinsurance receives a share of the premium for those policies in exchange for accepting a portion of the insurer’s risk of borrower default. M&amp;T Reinsurance had assets and stockholder’s equity of approximately $24 million each as of December 31, 2007, and recorded approximately $5 million of revenue during 2007. M&amp;T Reinsurance’s principal and registered office is at 148 College Street, Burlington, Vermont 05401.</w:t>
      </w:r>
    </w:p>
    <w:p>
      <w:pPr>
        <w:spacing w:after="0" w:line="1"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M&amp;T Real Estate Trust (“M&amp;T Real Estate”) is a Maryland Real Estate Investment Trust and is a subsidiary of M&amp;T Investment. M&amp;T Real Estate was formed through the merger of two separate subsidiaries, but traces its origin to M&amp;T Real Estate, Inc., a New York business corporation incorporated in July 1995. M&amp;T Real Estate engages in commercial real estate lending and provides loan servicing to M&amp;T Bank. As of December 31, 2007, M&amp;T Real Estate had assets of $15.0 billion, common stockholder’s equity of $14.2 billion, and preferred stockholders’ equity, consisting of 9% fixed-rate preferred stock (par value $1,000), of $1 million. All of the outstanding common stock and 88% of the preferred stock of M&amp;T Real Estate is owned by M&amp;T Investment. The remaining 12% of M&amp;T Real Estate’s outstanding preferred stock is owned by officers or former officers of the Company. M&amp;T Real Estate recorded $965 million of revenue in 2007. The headquarters of M&amp;T Real Estate are located at M&amp;T Center, One Fountain Plaza, Buffalo, New York 14203.</w:t>
      </w:r>
    </w:p>
    <w:p>
      <w:pPr>
        <w:spacing w:after="0" w:line="3"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2007 M&amp;T Realty Capital serviced $5.3 billion of commercial mortgage loans for non-affiliates and had assets of $145 million and stockholder’s equity of $42 million. M&amp;T Realty Capital recorded revenues of $31 million in 2007. The headquarters of M&amp;T Realty Capital are located at 25 South Charles Street, Baltimore, Maryland 21202.</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M&amp;T Securities is licensed as a life insurance agent in each state where M&amp;T Bank operates branch offices and in a number of other states. It provides securities brokerage, investment advisory and insurance services. As of December 31, 2007, M&amp;T Securities had assets of $40 million and stockholder’s equity of $27 million. M&amp;T Securities recorded $88 million of revenue during 2007. The headquarters of M&amp;T Securities are located at One M&amp;T Plaza, Buffalo, New York 14203.</w:t>
      </w:r>
    </w:p>
    <w:p>
      <w:pPr>
        <w:spacing w:after="0" w:line="1"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M&amp;T Auto Receivables I, LLC (“M&amp;T Auto Receivables”), a wholly owned subsidiary of M&amp;T Bank, was formed as a Delaware limited liability company in May 2002. M&amp;T Auto Receivables is a special purpose entity whose activities are generally restricted to purchasing and owning automobile loans for the purpose of securing a revolving asset-backed structured borrowing. M&amp;T Auto Receivables had</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0"/>
        <w:spacing w:after="0" w:line="253" w:lineRule="auto"/>
        <w:rPr>
          <w:sz w:val="20"/>
          <w:szCs w:val="20"/>
          <w:color w:val="auto"/>
        </w:rPr>
      </w:pPr>
      <w:r>
        <w:rPr>
          <w:rFonts w:ascii="Arial" w:cs="Arial" w:eastAsia="Arial" w:hAnsi="Arial"/>
          <w:sz w:val="14"/>
          <w:szCs w:val="14"/>
          <w:color w:val="auto"/>
        </w:rPr>
        <w:t>assets of $557 million and stockholder’s equity of $51 million as of December 31, 2007, and recorded approximately $23 million of revenue during 2007. M&amp;T Auto Receivables’ registered office is at 1209 Orange Street, Wilmington, Delaware 19801.</w:t>
      </w:r>
    </w:p>
    <w:p>
      <w:pPr>
        <w:spacing w:after="0" w:line="1" w:lineRule="exact"/>
        <w:rPr>
          <w:sz w:val="20"/>
          <w:szCs w:val="20"/>
          <w:color w:val="auto"/>
        </w:rPr>
      </w:pPr>
    </w:p>
    <w:p>
      <w:pPr>
        <w:jc w:val="both"/>
        <w:ind w:left="680" w:right="100" w:firstLine="599"/>
        <w:spacing w:after="0" w:line="244" w:lineRule="auto"/>
        <w:rPr>
          <w:sz w:val="20"/>
          <w:szCs w:val="20"/>
          <w:color w:val="auto"/>
        </w:rPr>
      </w:pPr>
      <w:r>
        <w:rPr>
          <w:rFonts w:ascii="Arial" w:cs="Arial" w:eastAsia="Arial" w:hAnsi="Arial"/>
          <w:sz w:val="14"/>
          <w:szCs w:val="14"/>
          <w:color w:val="auto"/>
        </w:rPr>
        <w:t>MTB Investment Advisors, Inc. (“MTB Investment Advisors”), a wholly owned subsidiary of M&amp;T Bank, was incorporated as a Maryland corporation on June 30, 1995. MTB Investment Advisors serves as investment advisor to the MTB Group of Funds, a family of proprietary mutual funds, and institutional clients. As of December 31, 2007, MTB Investment Advisors had assets of $32 million and stockholder’s equity of $28 million. MTB Investment Advisors recorded revenues of $47 million in 2007. The headquarters of MTB Investment Advisors are located at 100 East Pratt Street, Baltimore, Maryland 21202.</w:t>
      </w:r>
    </w:p>
    <w:p>
      <w:pPr>
        <w:spacing w:after="0" w:line="1" w:lineRule="exact"/>
        <w:rPr>
          <w:sz w:val="20"/>
          <w:szCs w:val="20"/>
          <w:color w:val="auto"/>
        </w:rPr>
      </w:pPr>
    </w:p>
    <w:p>
      <w:pPr>
        <w:ind w:left="680" w:right="140" w:firstLine="599"/>
        <w:spacing w:after="0" w:line="255" w:lineRule="auto"/>
        <w:rPr>
          <w:sz w:val="20"/>
          <w:szCs w:val="20"/>
          <w:color w:val="auto"/>
        </w:rPr>
      </w:pPr>
      <w:r>
        <w:rPr>
          <w:rFonts w:ascii="Arial" w:cs="Arial" w:eastAsia="Arial" w:hAnsi="Arial"/>
          <w:sz w:val="14"/>
          <w:szCs w:val="14"/>
          <w:color w:val="auto"/>
        </w:rPr>
        <w:t>The Registrant and its banking subsidiaries have a number of other special-purpose or inactive subsidiaries. These other subsidiaries did not represent, individually and collectively, a significant portion of the Company’s consolidated assets, net income and stockholders’ equity at December 31, 2007.</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 Principal Products/Services and Foreign Operations</w:t>
      </w:r>
    </w:p>
    <w:p>
      <w:pPr>
        <w:spacing w:after="0" w:line="19"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Information about the Registrant’s business segments is included in note 21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16 of Notes to Financial Statements filed herewith in Part II, Item 8, “Financial Statements and Supplementary Data.”</w:t>
      </w:r>
    </w:p>
    <w:p>
      <w:pPr>
        <w:spacing w:after="0" w:line="3" w:lineRule="exact"/>
        <w:rPr>
          <w:sz w:val="20"/>
          <w:szCs w:val="20"/>
          <w:color w:val="auto"/>
        </w:rPr>
      </w:pPr>
    </w:p>
    <w:p>
      <w:pPr>
        <w:jc w:val="both"/>
        <w:ind w:left="680" w:right="280" w:firstLine="599"/>
        <w:spacing w:after="0" w:line="249" w:lineRule="auto"/>
        <w:rPr>
          <w:sz w:val="20"/>
          <w:szCs w:val="20"/>
          <w:color w:val="auto"/>
        </w:rPr>
      </w:pPr>
      <w:r>
        <w:rPr>
          <w:rFonts w:ascii="Arial" w:cs="Arial" w:eastAsia="Arial" w:hAnsi="Arial"/>
          <w:sz w:val="14"/>
          <w:szCs w:val="14"/>
          <w:color w:val="auto"/>
        </w:rPr>
        <w:t>The only activity that, as a class, contributed 10% or more of the sum of consolidated interest income and other income in any of the last three years was lending transactions. The amount of income from such sources during those years is set forth on the Company’s Consolidated Statement of Income filed herewith in Part II, Item 8, “Financial Statements and Supplementary Data.”</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the Company</w:t>
      </w:r>
    </w:p>
    <w:p>
      <w:pPr>
        <w:spacing w:after="0" w:line="19" w:lineRule="exact"/>
        <w:rPr>
          <w:sz w:val="20"/>
          <w:szCs w:val="20"/>
          <w:color w:val="auto"/>
        </w:rPr>
      </w:pPr>
    </w:p>
    <w:p>
      <w:pPr>
        <w:ind w:left="680"/>
        <w:spacing w:after="0" w:line="269" w:lineRule="auto"/>
        <w:rPr>
          <w:sz w:val="20"/>
          <w:szCs w:val="20"/>
          <w:color w:val="auto"/>
        </w:rPr>
      </w:pPr>
      <w:r>
        <w:rPr>
          <w:rFonts w:ascii="Arial" w:cs="Arial" w:eastAsia="Arial" w:hAnsi="Arial"/>
          <w:sz w:val="13"/>
          <w:szCs w:val="13"/>
          <w:color w:val="auto"/>
        </w:rPr>
        <w:t>The banking industry is subject to extensive state and federal regulation and continues to undergo significant change. The following discussion summarizes certain aspects of the banking laws and regulations that affect the Company. Proposals to change the laws and regulations governing the banking industry are frequently raised in Congress, in state legislatures, and before the various bank regulatory agencies. The likelihood and timing of any changes and the impact such changes might have on the Company are impossible to determine with any certainty. A change in applicable laws or regulations, or a change in the way such laws or regulations are interpreted by regulatory agencies or courts, may have a material impact on the business, operations and earnings of the Company. To the extent that the following information describes statutory or regulatory provisions, it is qualified entirely by reference to the particular statutory or regulatory provision.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Financial Services Modernization</w:t>
      </w:r>
    </w:p>
    <w:p>
      <w:pPr>
        <w:spacing w:after="0" w:line="19"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Under the BHCA, bank holding companies are permitted to offer their customers virtually any type of financial service that is financial in nature or incidental thereto, including banking, securities underwriting, insurance (both underwriting and agency), and merchant banking.</w:t>
      </w:r>
    </w:p>
    <w:p>
      <w:pPr>
        <w:spacing w:after="0" w:line="1" w:lineRule="exact"/>
        <w:rPr>
          <w:sz w:val="20"/>
          <w:szCs w:val="20"/>
          <w:color w:val="auto"/>
        </w:rPr>
      </w:pPr>
    </w:p>
    <w:p>
      <w:pPr>
        <w:ind w:left="680" w:right="140" w:firstLine="599"/>
        <w:spacing w:after="0" w:line="248" w:lineRule="auto"/>
        <w:rPr>
          <w:sz w:val="20"/>
          <w:szCs w:val="20"/>
          <w:color w:val="auto"/>
        </w:rPr>
      </w:pPr>
      <w:r>
        <w:rPr>
          <w:rFonts w:ascii="Arial" w:cs="Arial" w:eastAsia="Arial" w:hAnsi="Arial"/>
          <w:sz w:val="14"/>
          <w:szCs w:val="14"/>
          <w:color w:val="auto"/>
        </w:rPr>
        <w:t>In order to engage in these financial activities, a bank holding company must qualify and register with the Federal Reserve Board as a “financial holding company” by demonstrating that each of its bank subsidiaries is “well capitalized,” “well managed,” and has at least a “satisfactory” rating under the Community Reinvestment Act of 1977 (“CRA”). M&amp;T currently satisfies the qualifications for registering as a financial holding company, but has not elected to do so to date. For as long as AIB owns at least 15% of M&amp;T’s outstanding common stock, M&amp;T may not become a financial holding company without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560"/>
        <w:spacing w:after="0" w:line="253" w:lineRule="auto"/>
        <w:rPr>
          <w:sz w:val="20"/>
          <w:szCs w:val="20"/>
          <w:color w:val="auto"/>
        </w:rPr>
      </w:pPr>
      <w:r>
        <w:rPr>
          <w:rFonts w:ascii="Arial" w:cs="Arial" w:eastAsia="Arial" w:hAnsi="Arial"/>
          <w:sz w:val="14"/>
          <w:szCs w:val="14"/>
          <w:color w:val="auto"/>
        </w:rPr>
        <w:t>the approval of the Executive Committee of the M&amp;T board of directors, which must also include the affirmative approval of the AIB Designee on such committee, as described above under the caption “Amendments to M&amp;T’s Bylaws.”</w:t>
      </w:r>
    </w:p>
    <w:p>
      <w:pPr>
        <w:spacing w:after="0" w:line="1" w:lineRule="exact"/>
        <w:rPr>
          <w:sz w:val="20"/>
          <w:szCs w:val="20"/>
          <w:color w:val="auto"/>
        </w:rPr>
      </w:pPr>
    </w:p>
    <w:p>
      <w:pPr>
        <w:ind w:left="680" w:right="40" w:firstLine="599"/>
        <w:spacing w:after="0" w:line="291" w:lineRule="auto"/>
        <w:rPr>
          <w:sz w:val="20"/>
          <w:szCs w:val="20"/>
          <w:color w:val="auto"/>
        </w:rPr>
      </w:pPr>
      <w:r>
        <w:rPr>
          <w:rFonts w:ascii="Arial" w:cs="Arial" w:eastAsia="Arial" w:hAnsi="Arial"/>
          <w:sz w:val="12"/>
          <w:szCs w:val="12"/>
          <w:color w:val="auto"/>
        </w:rPr>
        <w:t>The financial activities authorized by the BHCA may also be engaged in by a “financial subsidiary” of a national or state bank, except for insurance or annuity underwriting, insurance company portfolio investments, real estate investment and development, and merchant banking, which must be conducted in a financial holding company. In order for these financial activities to be engaged in by a financial subsidiary of a national or state bank, federal law requires each of the parent bank (and its sister-bank affiliates) to be well capitalized and well managed; the aggregate consolidated assets of all of that bank’s financial subsidiaries may not exceed the lesser of 45% of its consolidated total assets or $50 billion; the bank must have at least a satisfactory CRA rating; and, if that bank is one of the 100 largest national banks, it must meet certain financial rating or other comparable requirements. M&amp;T Bank and M&amp;T Bank, N.A. currently satisfy the qualifications for engaging in financial activities through financial subsidiaries, but neither has elected to do so to date. Current federal law also establishes a system of functional regulation under which the federal banking agencies will regulate the banking activities of financial holding companies and banks’ financial subsidiaries, the U.S. Securities and Exchange Commission will regulate their securities activities, and state insurance regulators will regulate their insurance activities. Rules developed by the federal financial institutions regulators under these laws require disclosure of privacy policies to consumers and, in some circumstances, allow consumers to prevent the disclosure of certain personal information to nonaffiliated third parties.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Bank Holding Company Regulation</w:t>
      </w:r>
    </w:p>
    <w:p>
      <w:pPr>
        <w:spacing w:after="0" w:line="19" w:lineRule="exact"/>
        <w:rPr>
          <w:sz w:val="20"/>
          <w:szCs w:val="20"/>
          <w:color w:val="auto"/>
        </w:rPr>
      </w:pPr>
    </w:p>
    <w:p>
      <w:pPr>
        <w:jc w:val="both"/>
        <w:ind w:left="680"/>
        <w:spacing w:after="0" w:line="244" w:lineRule="auto"/>
        <w:rPr>
          <w:sz w:val="20"/>
          <w:szCs w:val="20"/>
          <w:color w:val="auto"/>
        </w:rPr>
      </w:pPr>
      <w:r>
        <w:rPr>
          <w:rFonts w:ascii="Arial" w:cs="Arial" w:eastAsia="Arial" w:hAnsi="Arial"/>
          <w:sz w:val="14"/>
          <w:szCs w:val="14"/>
          <w:color w:val="auto"/>
        </w:rPr>
        <w:t>As a registered bank holding company, the Registrant and its nonbank subsidiaries are subject to supervision and regulation under the BHCA by the Federal Reserve Board and under the Banking Law by the Banking Superintendent. The Federal Reserve Board requires regular reports from the Registrant and is authorized by the BHCA to make regular examinations of the Registrant and its subsidiaries.</w:t>
      </w:r>
    </w:p>
    <w:p>
      <w:pPr>
        <w:spacing w:after="0" w:line="1" w:lineRule="exact"/>
        <w:rPr>
          <w:sz w:val="20"/>
          <w:szCs w:val="20"/>
          <w:color w:val="auto"/>
        </w:rPr>
      </w:pPr>
    </w:p>
    <w:p>
      <w:pPr>
        <w:ind w:left="680" w:right="40" w:firstLine="599"/>
        <w:spacing w:after="0" w:line="285" w:lineRule="auto"/>
        <w:rPr>
          <w:sz w:val="20"/>
          <w:szCs w:val="20"/>
          <w:color w:val="auto"/>
        </w:rPr>
      </w:pPr>
      <w:r>
        <w:rPr>
          <w:rFonts w:ascii="Arial" w:cs="Arial" w:eastAsia="Arial" w:hAnsi="Arial"/>
          <w:sz w:val="12"/>
          <w:szCs w:val="12"/>
          <w:color w:val="auto"/>
        </w:rPr>
        <w:t>The Registrant may not acquire direct or indirect ownership or control of more than 5% of the voting shares of any company, including a bank, without the prior approval of the Federal Reserve Board, except as specifically authorized under the BHCA. The Registrant is also subject to regulation under the Banking Law with respect to certain acquisitions of domestic banks. Under the BHCA, the Registrant, subject to the approval of the Federal Reserve Board, may acquire shares of non-banking corporations the activities of which are deemed by the Federal Reserve Board to be so closely related to banking or managing or controlling banks as to be a proper incident thereto.</w:t>
      </w:r>
    </w:p>
    <w:p>
      <w:pPr>
        <w:spacing w:after="0" w:line="1" w:lineRule="exact"/>
        <w:rPr>
          <w:sz w:val="20"/>
          <w:szCs w:val="20"/>
          <w:color w:val="auto"/>
        </w:rPr>
      </w:pPr>
    </w:p>
    <w:p>
      <w:pPr>
        <w:jc w:val="both"/>
        <w:ind w:left="680" w:right="80" w:firstLine="599"/>
        <w:spacing w:after="0" w:line="244" w:lineRule="auto"/>
        <w:rPr>
          <w:sz w:val="20"/>
          <w:szCs w:val="20"/>
          <w:color w:val="auto"/>
        </w:rPr>
      </w:pPr>
      <w:r>
        <w:rPr>
          <w:rFonts w:ascii="Arial" w:cs="Arial" w:eastAsia="Arial" w:hAnsi="Arial"/>
          <w:sz w:val="14"/>
          <w:szCs w:val="14"/>
          <w:color w:val="auto"/>
        </w:rPr>
        <w:t>The Federal Reserve Board has enforcement powers over bank holding companies and their non-banking subsidiaries, among other things, to interdict activities that represent unsafe or unsound practices or constitute violations of law, rule, regulation, administrative orders or written agreements with a federal bank regulator. These powers may be exercised through the issuance of cease-and-desist orders, civil money penalties or other actions.</w:t>
      </w:r>
    </w:p>
    <w:p>
      <w:pPr>
        <w:spacing w:after="0" w:line="1" w:lineRule="exact"/>
        <w:rPr>
          <w:sz w:val="20"/>
          <w:szCs w:val="20"/>
          <w:color w:val="auto"/>
        </w:rPr>
      </w:pPr>
    </w:p>
    <w:p>
      <w:pPr>
        <w:ind w:left="680" w:right="20" w:firstLine="599"/>
        <w:spacing w:after="0" w:line="245" w:lineRule="auto"/>
        <w:rPr>
          <w:sz w:val="20"/>
          <w:szCs w:val="20"/>
          <w:color w:val="auto"/>
        </w:rPr>
      </w:pPr>
      <w:r>
        <w:rPr>
          <w:rFonts w:ascii="Arial" w:cs="Arial" w:eastAsia="Arial" w:hAnsi="Arial"/>
          <w:sz w:val="14"/>
          <w:szCs w:val="14"/>
          <w:color w:val="auto"/>
        </w:rPr>
        <w:t>Under the Federal Reserve Board’s statement of policy with respect to bank holding company operations, a bank holding company is required to serve as a source of financial strength to its subsidiary depository institutions and to commit all available resources to support such institutions in circumstances where it might not do so absent such policy. Although this “source of strength” policy has been challenged in litigation, the Federal Reserve Board continues to take the position that it has authority to enforce it. For a discussion of circumstances under which a bank holding company may be required to guarantee the capital levels or performance of its subsidiary banks, see “Capital Adequacy,” below. Consistent with this “source of strength” policy, the Federal Reserve Board takes the position that a bank holding company generally should not maintain a rate of cash dividends unless its net income available to common shareholders has been sufficient to fully fund the dividends and the prospective rate of earnings retention appears to be consistent with the company’s capital needs, asset quality and overall financial condition. The Federal Reserve also has the authority to terminate any activity of a bank holding company that constitutes a serious risk to the financial soundness or stability of any subsidiary depository institution or to terminate its control of any bank or nonbank subsidiaries.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firstLine="599"/>
        <w:spacing w:after="0" w:line="267" w:lineRule="auto"/>
        <w:rPr>
          <w:sz w:val="20"/>
          <w:szCs w:val="20"/>
          <w:color w:val="auto"/>
        </w:rPr>
      </w:pPr>
      <w:r>
        <w:rPr>
          <w:rFonts w:ascii="Arial" w:cs="Arial" w:eastAsia="Arial" w:hAnsi="Arial"/>
          <w:sz w:val="13"/>
          <w:szCs w:val="13"/>
          <w:color w:val="auto"/>
        </w:rPr>
        <w:t>The BHCA generally permits bank holding companies to acquire banks in any state, and preempts all state laws restricting the ownership by a bank holding company of banks in more than one state. The Federal Deposit Insurance Act (“FDI Act”) also permits a bank to merge with an out-of-state bank and convert any offices into branches of the resulting bank if both states have not opted out of interstate branching; permits a bank to acquire branches from an out-of-state bank if the law of the state where the branches are located permits the interstate branch acquisition; and permits banks to establish and operate de novo interstate branches whenever the host state opts-in to de novo branching. Bank holding companies and banks seeking to engage in transactions authorized by these laws must be adequately capitalized and managed.</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The Banking Law authorizes interstate branching by merger or acquisition on a reciprocal basis, and permits the acquisition of a single branch without restriction, but does not provide for de novo interstate branching.</w:t>
      </w:r>
    </w:p>
    <w:p>
      <w:pPr>
        <w:spacing w:after="0" w:line="1" w:lineRule="exact"/>
        <w:rPr>
          <w:sz w:val="20"/>
          <w:szCs w:val="20"/>
          <w:color w:val="auto"/>
        </w:rPr>
      </w:pPr>
    </w:p>
    <w:p>
      <w:pPr>
        <w:ind w:left="680" w:right="20" w:firstLine="599"/>
        <w:spacing w:after="0" w:line="245" w:lineRule="auto"/>
        <w:rPr>
          <w:sz w:val="20"/>
          <w:szCs w:val="20"/>
          <w:color w:val="auto"/>
        </w:rPr>
      </w:pPr>
      <w:r>
        <w:rPr>
          <w:rFonts w:ascii="Arial" w:cs="Arial" w:eastAsia="Arial" w:hAnsi="Arial"/>
          <w:sz w:val="14"/>
          <w:szCs w:val="14"/>
          <w:color w:val="auto"/>
        </w:rPr>
        <w:t>Bank holding companies and their subsidiary banks are also subject to the provisions of the CRA. Under the terms of the CRA, the Federal Reserve Board (or other appropriate bank regulatory agency) is required, in connection with its examination of a bank, to assess such bank’s record in meeting the credit needs of the communities served by that bank, including low- and moderate-income neighborhoods. During these examinations, the Federal Reserve Board (or other appropriate bank regulatory agency) rates such bank’s compliance with the CRA as “Outstanding,” “Satisfactory,” “Needs to Improve” or “Substantial Noncompliance.” The failure of a bank to receive at least a “Satisfactory” rating could inhibit such bank or its bank holding company from undertaking certain activities, including acquisitions of other financial institutions or opening or relocating a branch office, as further discussed below. M&amp;T Bank has a CRA rating of “Outstanding” and M&amp;T Bank, N.A. has a CRA rating of “Satisfactory.” Furthermore, such assessment is also required of any bank that has applied, among other things, to merge or consolidate with or acquire the assets or assume the liabilities of a federally-regulated financial institution, or to open or relocate a branch office. In the case of a bank holding company applying for approval to acquire a bank or bank holding company, the Federal Reserve Board will assess the record of each subsidiary bank of the applicant bank holding company in considering the application. The Banking Law contains provisions similar to the CRA which are applicable to New York-chartered banks. M&amp;T Bank has a CRA rating of “Outstanding” as determined by the New York State Banking Department.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Bank Subsidiaries</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The Registrant’s bank subsidiaries are subject to supervision and regulation, and are examined regularly, by various bank regulatory agencies: M&amp;T Bank by the Federal Reserve Board and the Banking Superintendent; and M&amp;T Bank, N.A. by the Comptroller of the Currency (“OCC”). The Registrant and its direct non-banking subsidiaries are affiliates, within the meaning of the Federal Reserve Act, of the Registrant’s subsidiary banks and their subsidiaries. As a result, the Registrant’s subsidiary banks and their subsidiaries are subject to restrictions on loans or extensions of credit to, purchases of assets from, investments in, and transactions with the Registrant and its direct non-banking subsidiaries and on certain other transactions with them or involving their securities. Similar restrictions are imposed on the Registrant’s subsidiary banks making loans or extending credit to, purchasing assets from, investing in, or entering into transactions with, their financial subsidiaries.</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Under the “cross-guarantee” provisions of the FDI Act, insured depository institutions under common control are required to reimburse the FDIC for any loss suffered by the FDIC as a result of the default of a commonly controlled insured depository institution or for any assistance provided by the FDIC to a commonly controlled insured depository institution in danger of default. Thus, any insured depository institution subsidiary of M&amp;T could incur liability to the FDIC in the event of a default of another insured depository institution owned or controlled by M&amp;T. The FDIC’s claim under the cross-guarantee provisions is superior to claims of stockholders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Dividends from Bank Subsidiaries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The Registrant is a legal entity separate and distinct from its banking and other subsidiaries. The majority of the Registrant’s revenue is from dividends paid to the Registrant by its subsidiary banks. M&amp;T Bank and M&amp;T Bank, N.A. are subject, under one or more of the banking laws, to restrictions on the amount of dividend declarations. Future dividend payments to the Registrant by its subsidiary banks will be dependent on a number of factors, including the earnings and financial condition of each such bank, and are subject to the limitations referred to in note 22 of Notes to Financial Statements filed herewith in Part II, Item 8, “Financial Statements and Supplementary Data,” and to other statutory powers of bank regulatory agencies.</w:t>
      </w:r>
    </w:p>
    <w:p>
      <w:pPr>
        <w:spacing w:after="0" w:line="2" w:lineRule="exact"/>
        <w:rPr>
          <w:sz w:val="20"/>
          <w:szCs w:val="20"/>
          <w:color w:val="auto"/>
        </w:rPr>
      </w:pPr>
    </w:p>
    <w:p>
      <w:pPr>
        <w:ind w:left="680" w:right="260" w:firstLine="599"/>
        <w:spacing w:after="0" w:line="249" w:lineRule="auto"/>
        <w:rPr>
          <w:sz w:val="20"/>
          <w:szCs w:val="20"/>
          <w:color w:val="auto"/>
        </w:rPr>
      </w:pPr>
      <w:r>
        <w:rPr>
          <w:rFonts w:ascii="Arial" w:cs="Arial" w:eastAsia="Arial" w:hAnsi="Arial"/>
          <w:sz w:val="14"/>
          <w:szCs w:val="14"/>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M&amp;T Bank’s Subsidiaries</w:t>
      </w:r>
    </w:p>
    <w:p>
      <w:pPr>
        <w:spacing w:after="0" w:line="19" w:lineRule="exact"/>
        <w:rPr>
          <w:sz w:val="20"/>
          <w:szCs w:val="20"/>
          <w:color w:val="auto"/>
        </w:rPr>
      </w:pPr>
    </w:p>
    <w:p>
      <w:pPr>
        <w:jc w:val="both"/>
        <w:ind w:left="680" w:right="40"/>
        <w:spacing w:after="0" w:line="337" w:lineRule="auto"/>
        <w:rPr>
          <w:sz w:val="20"/>
          <w:szCs w:val="20"/>
          <w:color w:val="auto"/>
        </w:rPr>
      </w:pPr>
      <w:r>
        <w:rPr>
          <w:rFonts w:ascii="Arial" w:cs="Arial" w:eastAsia="Arial" w:hAnsi="Arial"/>
          <w:sz w:val="12"/>
          <w:szCs w:val="12"/>
          <w:color w:val="auto"/>
        </w:rPr>
        <w:t>M&amp;T Bank has a number of subsidiaries. These subsidiaries are subject to the laws and regulations of both the federal government and the various states in which they conduct business. For example, M&amp;T Securities is regulated by the Securities and Exchange Commission, the Financial Industry Regulatory Authority and state securities regulators.</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 Adequacy</w:t>
      </w:r>
    </w:p>
    <w:p>
      <w:pPr>
        <w:spacing w:after="0" w:line="19" w:lineRule="exact"/>
        <w:rPr>
          <w:sz w:val="20"/>
          <w:szCs w:val="20"/>
          <w:color w:val="auto"/>
        </w:rPr>
      </w:pPr>
    </w:p>
    <w:p>
      <w:pPr>
        <w:jc w:val="both"/>
        <w:ind w:left="680" w:right="40"/>
        <w:spacing w:after="0" w:line="244" w:lineRule="auto"/>
        <w:rPr>
          <w:sz w:val="20"/>
          <w:szCs w:val="20"/>
          <w:color w:val="auto"/>
        </w:rPr>
      </w:pPr>
      <w:r>
        <w:rPr>
          <w:rFonts w:ascii="Arial" w:cs="Arial" w:eastAsia="Arial" w:hAnsi="Arial"/>
          <w:sz w:val="14"/>
          <w:szCs w:val="14"/>
          <w:color w:val="auto"/>
        </w:rPr>
        <w:t>The Federal Reserve Board, the FDIC and the OCC have adopted risk-based capital adequacy guidelines for bank holding companies and banks under their supervision. Under these guidelines, the so-called “Tier 1 capital” and “Total capital” as a percentage of risk-weighted assets and certain off-balance sheet instruments must be at least 4% and 8%, respectively.</w:t>
      </w:r>
    </w:p>
    <w:p>
      <w:pPr>
        <w:spacing w:after="0" w:line="1"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The Federal Reserve Board, the FDIC and the OCC have also imposed a leverage standard to supplement their risk-based ratios. This leverage standard focuses on a banking institution’s ratio of Tier 1 capital to average total assets, adjusted for goodwill and certain other items. Under these guidelines, banking institutions that meet certain criteria, including excellent asset quality, high liquidity, low interest rate exposure and good earnings, and that have received the highest regulatory rating must maintain a ratio of Tier 1 capital to total adjusted average assets of at least 3%. Institutions not meeting these criteria, as well as institutions with supervisory, financial or operational weaknesses, along with those experiencing or anticipating significant growth are expected to maintain a Tier 1 capital to total adjusted average assets ratio equal to at least 4% to 5%. As reflected in the table in note 22 of Notes to Financial Statements filed herewith in Part II, Item 8, “Financial Statements and Supplementary Data,” the risk-based capital ratios and leverage ratios of the Registrant, M&amp;T Bank and M&amp;T Bank, N.A. as of December 31, 2007 exceeded the required capital ratios for classification as “well capitalized,” the highest classification under the regulatory capital guidelines.</w:t>
      </w:r>
    </w:p>
    <w:p>
      <w:pPr>
        <w:spacing w:after="0" w:line="2"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3"/>
          <w:szCs w:val="13"/>
          <w:color w:val="auto"/>
        </w:rPr>
        <w:t>The federal banking agencies, including the Federal Reserve Board and the OCC, maintain risk-based capital standards in order to ensure that those standards take adequate account of interest rate risk, concentration of credit risk, the risk of nontraditional activities and equity investments in nonfinancial companies, as well as reflect the actual performance and expected risk of loss on certain multifamily housing loans. Bank regulators periodically propose amendments to the risk-based capital guidelines and related regulatory framework, and consider changes to the risk-based capital standards that could significantly increase the amount of capital needed to meet the requirements for the capital tiers described below. While the Company’s management studies such proposals, the timing of adoption, ultimate form and effect of any such proposed amendments on M&amp;T’s capital requirements and operations cannot be predicted.</w:t>
      </w:r>
    </w:p>
    <w:p>
      <w:pPr>
        <w:spacing w:after="0" w:line="1" w:lineRule="exact"/>
        <w:rPr>
          <w:sz w:val="20"/>
          <w:szCs w:val="20"/>
          <w:color w:val="auto"/>
        </w:rPr>
      </w:pPr>
    </w:p>
    <w:p>
      <w:pPr>
        <w:jc w:val="both"/>
        <w:ind w:left="680" w:right="60" w:firstLine="599"/>
        <w:spacing w:after="0" w:line="278" w:lineRule="auto"/>
        <w:rPr>
          <w:sz w:val="20"/>
          <w:szCs w:val="20"/>
          <w:color w:val="auto"/>
        </w:rPr>
      </w:pPr>
      <w:r>
        <w:rPr>
          <w:rFonts w:ascii="Arial" w:cs="Arial" w:eastAsia="Arial" w:hAnsi="Arial"/>
          <w:sz w:val="13"/>
          <w:szCs w:val="13"/>
          <w:color w:val="auto"/>
        </w:rPr>
        <w:t>The federal banking agencies are required to take “prompt corrective action” in respect of depository institutions and their bank holding companies that do not meet minimum capital requirements. The FDI Act establishes five capital tiers: “well capitalized,” “adequately capitalized,” “undercapitalized,” “significantly undercapitalized” and “critically undercapitalized.” A depository institution’s capital tier, or that of its bank holding company, depends upon where its capital levels are in relation to various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relevant capital measures, including a risk-based capital measure and a leverage ratio capital measure, and certain other factors.</w:t>
      </w:r>
    </w:p>
    <w:p>
      <w:pPr>
        <w:spacing w:after="0" w:line="15" w:lineRule="exact"/>
        <w:rPr>
          <w:sz w:val="20"/>
          <w:szCs w:val="20"/>
          <w:color w:val="auto"/>
        </w:rPr>
      </w:pPr>
    </w:p>
    <w:p>
      <w:pPr>
        <w:ind w:left="680" w:right="240" w:firstLine="599"/>
        <w:spacing w:after="0" w:line="285" w:lineRule="auto"/>
        <w:rPr>
          <w:sz w:val="20"/>
          <w:szCs w:val="20"/>
          <w:color w:val="auto"/>
        </w:rPr>
      </w:pPr>
      <w:r>
        <w:rPr>
          <w:rFonts w:ascii="Arial" w:cs="Arial" w:eastAsia="Arial" w:hAnsi="Arial"/>
          <w:sz w:val="12"/>
          <w:szCs w:val="12"/>
          <w:color w:val="auto"/>
        </w:rPr>
        <w:t>Under the implementing regulations adopted by the federal banking agencies, a bank holding company or bank is considered “well capitalized” if it has (i) a total risk-based capital ratio of 10% or greater, (ii) a Tier 1 risk-based capital ratio of 6% or greater, (iii) a leverage ratio of 5% or greater and (iv) is not subject to any order or written directive to meet and maintain a specific capital level for any capital measure. An “adequately capitalized” bank holding company or bank is defined as one that has</w:t>
      </w:r>
    </w:p>
    <w:p>
      <w:pPr>
        <w:spacing w:after="0" w:line="1" w:lineRule="exact"/>
        <w:rPr>
          <w:sz w:val="20"/>
          <w:szCs w:val="20"/>
          <w:color w:val="auto"/>
        </w:rPr>
      </w:pPr>
    </w:p>
    <w:p>
      <w:pPr>
        <w:ind w:left="680" w:right="40" w:firstLine="5"/>
        <w:spacing w:after="0" w:line="263" w:lineRule="auto"/>
        <w:tabs>
          <w:tab w:leader="none" w:pos="849" w:val="left"/>
        </w:tabs>
        <w:numPr>
          <w:ilvl w:val="0"/>
          <w:numId w:val="9"/>
        </w:numPr>
        <w:rPr>
          <w:rFonts w:ascii="Arial" w:cs="Arial" w:eastAsia="Arial" w:hAnsi="Arial"/>
          <w:sz w:val="13"/>
          <w:szCs w:val="13"/>
          <w:color w:val="auto"/>
        </w:rPr>
      </w:pPr>
      <w:r>
        <w:rPr>
          <w:rFonts w:ascii="Arial" w:cs="Arial" w:eastAsia="Arial" w:hAnsi="Arial"/>
          <w:sz w:val="13"/>
          <w:szCs w:val="13"/>
          <w:color w:val="auto"/>
        </w:rPr>
        <w:t>a total risk-based capital ratio of 8% or greater, (ii) a Tier 1 risk-based capital ratio of 4% or greater and (iii) a leverage ratio of 4% or greater (or 3% or greater in the case of a bank with a composite CAMELS rating of 1). A bank holding company or bank is considered (A) “undercapitalized” if it has (i) a total risk-based capital ratio of less than 8%, (ii) a Tier 1 risk-based capital ratio of less than 4% or (iii) a leverage ratio of less than 4% (or 3% in the case of a bank with a composite CAMELS rating of 1);</w:t>
      </w:r>
    </w:p>
    <w:p>
      <w:pPr>
        <w:ind w:left="680" w:right="40"/>
        <w:spacing w:after="0" w:line="244" w:lineRule="auto"/>
        <w:rPr>
          <w:rFonts w:ascii="Arial" w:cs="Arial" w:eastAsia="Arial" w:hAnsi="Arial"/>
          <w:sz w:val="13"/>
          <w:szCs w:val="13"/>
          <w:color w:val="auto"/>
        </w:rPr>
      </w:pPr>
      <w:r>
        <w:rPr>
          <w:rFonts w:ascii="Arial" w:cs="Arial" w:eastAsia="Arial" w:hAnsi="Arial"/>
          <w:sz w:val="14"/>
          <w:szCs w:val="14"/>
          <w:color w:val="auto"/>
        </w:rPr>
        <w:t>(B) “significantly undercapitalized” if the bank has (i) a total risk-based capital ratio of less than 6%, or (ii) a Tier 1 risk-based capital ratio of less than 3% or (iii) a leverage ratio of less than 3% and (C) “critically undercapitalized” if the bank has a ratio of tangible equity to total assets equal to or less than 2%. The Federal Reserve Board may reclassify a “well capitalized” bank holding company or bank as “adequately capitalized” or subject an “adequately capitalized” or “undercapitalized” institution to the supervisory actions applicable to the next lower capital category if it determines that the bank holding company or bank is in an unsafe or unsound condition or deems the bank holding company or bank to be engaged in an unsafe or unsound practice and not to have corrected the deficiency. M&amp;T, M&amp;T Bank and M&amp;T Bank, N.A. currently meet the definition of “well capitalized” institutions.</w:t>
      </w:r>
    </w:p>
    <w:p>
      <w:pPr>
        <w:spacing w:after="0" w:line="2" w:lineRule="exact"/>
        <w:rPr>
          <w:rFonts w:ascii="Arial" w:cs="Arial" w:eastAsia="Arial" w:hAnsi="Arial"/>
          <w:sz w:val="13"/>
          <w:szCs w:val="13"/>
          <w:color w:val="auto"/>
        </w:rPr>
      </w:pPr>
    </w:p>
    <w:p>
      <w:pPr>
        <w:ind w:left="680" w:firstLine="599"/>
        <w:spacing w:after="0" w:line="263" w:lineRule="auto"/>
        <w:rPr>
          <w:rFonts w:ascii="Arial" w:cs="Arial" w:eastAsia="Arial" w:hAnsi="Arial"/>
          <w:sz w:val="13"/>
          <w:szCs w:val="13"/>
          <w:color w:val="auto"/>
        </w:rPr>
      </w:pPr>
      <w:r>
        <w:rPr>
          <w:rFonts w:ascii="Arial" w:cs="Arial" w:eastAsia="Arial" w:hAnsi="Arial"/>
          <w:sz w:val="13"/>
          <w:szCs w:val="13"/>
          <w:color w:val="auto"/>
        </w:rPr>
        <w:t>“Undercapitalized” depository institutions, among other things, are subject to growth limitations, are prohibited, with certain exceptions, from making capital distributions, are limited in their ability to obtain funding from a Federal Reserve Bank and are required to submit a capital restoration plan. The federal banking agencies may not accept a capital plan without determining, among other things, that the plan is based on realistic assumptions and is likely to succeed in restoring the depository institution’s capital. In addition, for a capital restoration plan to be acceptable, the depository institution’s parent holding company must guarantee that the institution will comply with such capital restoration plan and provide appropriate assurances of performance. If a depository institution fails to submit an acceptable plan, including if the holding company refuses or is unable to make the guarantee described in the previous sentence, it is treated as if it is “significantly undercapitalized.” Failure to submit or implement an acceptable capital plan also is grounds for the appointment of a conservator or a receiver. “Significantly undercapitalized” depository institutions may be subject to a number of additional requirements and restrictions, including orders to sell sufficient voting stock to become “adequately capitalized,” requirements to reduce total assets and cessation of receipt of deposits from correspondent banks. Moreover, the parent holding company of a “significantly undercapitalized” depository institution may be ordered to divest itself of the institution or of nonbank subsidiaries of the holding company. “Critically undercapitalized” institutions, among other things, are prohibited from making any payments of principal and interest on subordinated debt, and are subject to the appointment of a receiver or conservator.</w:t>
      </w:r>
    </w:p>
    <w:p>
      <w:pPr>
        <w:spacing w:after="0" w:line="2" w:lineRule="exact"/>
        <w:rPr>
          <w:rFonts w:ascii="Arial" w:cs="Arial" w:eastAsia="Arial" w:hAnsi="Arial"/>
          <w:sz w:val="13"/>
          <w:szCs w:val="13"/>
          <w:color w:val="auto"/>
        </w:rPr>
      </w:pPr>
    </w:p>
    <w:p>
      <w:pPr>
        <w:ind w:left="680" w:right="160" w:firstLine="599"/>
        <w:spacing w:after="0" w:line="244" w:lineRule="auto"/>
        <w:rPr>
          <w:rFonts w:ascii="Arial" w:cs="Arial" w:eastAsia="Arial" w:hAnsi="Arial"/>
          <w:sz w:val="13"/>
          <w:szCs w:val="13"/>
          <w:color w:val="auto"/>
        </w:rPr>
      </w:pPr>
      <w:r>
        <w:rPr>
          <w:rFonts w:ascii="Arial" w:cs="Arial" w:eastAsia="Arial" w:hAnsi="Arial"/>
          <w:sz w:val="14"/>
          <w:szCs w:val="14"/>
          <w:color w:val="auto"/>
        </w:rPr>
        <w:t>Each federal banking agency prescribes standards for depository institutions and depository institution holding companies relating to internal controls, information systems, internal audit systems, loan documentation, credit underwriting, interest rate exposure, asset growth, compensation, a maximum ratio of classified assets to capital, minimum earnings sufficient to absorb losses, a minimum ratio of market value to book value for publicly traded shares and other standards as they deem appropriate. The Federal Reserve Board and OCC have adopted such standards.</w:t>
      </w:r>
    </w:p>
    <w:p>
      <w:pPr>
        <w:spacing w:after="0" w:line="1" w:lineRule="exact"/>
        <w:rPr>
          <w:rFonts w:ascii="Arial" w:cs="Arial" w:eastAsia="Arial" w:hAnsi="Arial"/>
          <w:sz w:val="13"/>
          <w:szCs w:val="13"/>
          <w:color w:val="auto"/>
        </w:rPr>
      </w:pPr>
    </w:p>
    <w:p>
      <w:pPr>
        <w:jc w:val="both"/>
        <w:ind w:left="680" w:right="260" w:firstLine="599"/>
        <w:spacing w:after="0" w:line="244" w:lineRule="auto"/>
        <w:rPr>
          <w:rFonts w:ascii="Arial" w:cs="Arial" w:eastAsia="Arial" w:hAnsi="Arial"/>
          <w:sz w:val="13"/>
          <w:szCs w:val="13"/>
          <w:color w:val="auto"/>
        </w:rPr>
      </w:pPr>
      <w:r>
        <w:rPr>
          <w:rFonts w:ascii="Arial" w:cs="Arial" w:eastAsia="Arial" w:hAnsi="Arial"/>
          <w:sz w:val="14"/>
          <w:szCs w:val="14"/>
          <w:color w:val="auto"/>
        </w:rPr>
        <w:t>Depository institutions that are not “well capitalized” or “adequately capitalized” and have not received a waiver from the FDIC are prohibited from accepting or renewing brokered deposits. As of December 31, 2007, M&amp;T Bank had approximately $1.9 billion of brokered deposits, while M&amp;T Bank, N.A. did not have any brokered deposits at that date.</w:t>
      </w:r>
    </w:p>
    <w:p>
      <w:pPr>
        <w:spacing w:after="0" w:line="1" w:lineRule="exact"/>
        <w:rPr>
          <w:rFonts w:ascii="Arial" w:cs="Arial" w:eastAsia="Arial" w:hAnsi="Arial"/>
          <w:sz w:val="13"/>
          <w:szCs w:val="13"/>
          <w:color w:val="auto"/>
        </w:rPr>
      </w:pPr>
    </w:p>
    <w:p>
      <w:pPr>
        <w:ind w:left="680" w:right="120" w:firstLine="599"/>
        <w:spacing w:after="0" w:line="255" w:lineRule="auto"/>
        <w:rPr>
          <w:rFonts w:ascii="Arial" w:cs="Arial" w:eastAsia="Arial" w:hAnsi="Arial"/>
          <w:sz w:val="13"/>
          <w:szCs w:val="13"/>
          <w:color w:val="auto"/>
        </w:rPr>
      </w:pPr>
      <w:r>
        <w:rPr>
          <w:rFonts w:ascii="Arial" w:cs="Arial" w:eastAsia="Arial" w:hAnsi="Arial"/>
          <w:sz w:val="14"/>
          <w:szCs w:val="14"/>
          <w:color w:val="auto"/>
        </w:rPr>
        <w:t>Although M&amp;T has issued shares of common stock in connection with acquisitions or at other times, the Company has generally maintained capital ratios in excess of minimum regulatory guidelines largely through internal capital generation (i.e. net income less dividends paid). Historically, M&amp;T’s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54" w:lineRule="auto"/>
        <w:rPr>
          <w:sz w:val="20"/>
          <w:szCs w:val="20"/>
          <w:color w:val="auto"/>
        </w:rPr>
      </w:pPr>
      <w:r>
        <w:rPr>
          <w:rFonts w:ascii="Arial" w:cs="Arial" w:eastAsia="Arial" w:hAnsi="Arial"/>
          <w:sz w:val="14"/>
          <w:szCs w:val="14"/>
          <w:color w:val="auto"/>
        </w:rPr>
        <w:t>dividend payout ratio and dividend yield, when compared with other bank holding companies, has been relatively low, thereby allowing for capital retention to support growth or to facilitate purchases of M&amp;T’s common stock to be held as treasury stock. Management’s policy of reinvestment of earnings and repurchase of shares of common stock is intended to enhance M&amp;T’s earnings per share prospects and thereby reward stockholders over time with capital gains in the form of increased stock price rather than high dividend income.</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FDIC Deposit Insurance Assessments</w:t>
      </w:r>
    </w:p>
    <w:p>
      <w:pPr>
        <w:spacing w:after="0" w:line="19" w:lineRule="exact"/>
        <w:rPr>
          <w:sz w:val="20"/>
          <w:szCs w:val="20"/>
          <w:color w:val="auto"/>
        </w:rPr>
      </w:pPr>
    </w:p>
    <w:p>
      <w:pPr>
        <w:ind w:left="680" w:right="80"/>
        <w:spacing w:after="0" w:line="244" w:lineRule="auto"/>
        <w:rPr>
          <w:sz w:val="20"/>
          <w:szCs w:val="20"/>
          <w:color w:val="auto"/>
        </w:rPr>
      </w:pPr>
      <w:r>
        <w:rPr>
          <w:rFonts w:ascii="Arial" w:cs="Arial" w:eastAsia="Arial" w:hAnsi="Arial"/>
          <w:sz w:val="14"/>
          <w:szCs w:val="14"/>
          <w:color w:val="auto"/>
        </w:rPr>
        <w:t>As institutions with deposits insured by the FDIC, M&amp;T Bank and M&amp;T Bank, N.A. are subject to FDIC deposit insurance assessments. Under the provisions of the FDI Act, the regular insurance assessments to be paid by insured institutions are specified in schedules issued by the FDIC that specify a target reserve ratio designed to maintain that ratio between 1.15% and 1.50% of estimated insured deposits.</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Under the FDI Act, the FDIC imposed deposit insurance assessments based on one of four assessment categories depending on the institution’s capital classification under the prompt corrective action provisions described above, and an institution’s long-term debt issuer ratings. Effective January 1, 2007, the adjusted assessment rates for insured institutions under the modified system range from .05% to .43% depending upon the assessment category into which the insured institution is placed. The annual assessment rates for M&amp;T Bank and M&amp;T Bank N.A. during 2007 were approximately .05%.</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The FDI Act also allows for a one-time assessment credit for eligible insured depository institutions (those institutions that were in existence on December 31, 1996 and paid a deposit insurance assessment prior to that date, or are a successor to any such institution). The credit is determined based on the assessment base of the institution as of December 31, 1996 as compared with the combined aggregate assessment base of all eligible institutions as of that date. The credit may be used to offset up to 100% of the 2007 DIF assessment, and if not completely used in 2007, may be applied to not more than 90% of each of the aggregate 2008, 2009 and 2010 DIF assessments. M&amp;T Bank and M&amp;T Bank, N.A. offset 100% of their DIF assessments with available one-time assessment credits during 2007. For the first nine months of 2007, credits utilized to offset amounts assessed for M&amp;T Bank and M&amp;T Bank, N.A. totaled $14 million and $108 thousand, respectively. Fourth quarter 2007 assessments for M&amp;T Bank and M&amp;T Bank, N.A., which will be assessed in March 2008 and will also be completely offset by available credits, are estimated to be approximately $5 million and $30 thousand, respectively.</w:t>
      </w:r>
    </w:p>
    <w:p>
      <w:pPr>
        <w:spacing w:after="0" w:line="3" w:lineRule="exact"/>
        <w:rPr>
          <w:sz w:val="20"/>
          <w:szCs w:val="20"/>
          <w:color w:val="auto"/>
        </w:rPr>
      </w:pPr>
    </w:p>
    <w:p>
      <w:pPr>
        <w:ind w:left="680" w:right="120" w:firstLine="599"/>
        <w:spacing w:after="0" w:line="244" w:lineRule="auto"/>
        <w:rPr>
          <w:sz w:val="20"/>
          <w:szCs w:val="20"/>
          <w:color w:val="auto"/>
        </w:rPr>
      </w:pPr>
      <w:r>
        <w:rPr>
          <w:rFonts w:ascii="Arial" w:cs="Arial" w:eastAsia="Arial" w:hAnsi="Arial"/>
          <w:sz w:val="14"/>
          <w:szCs w:val="14"/>
          <w:color w:val="auto"/>
        </w:rPr>
        <w:t>The current insurance assessment system is not expected to have a significant adverse impact on the results of operations and capital of M&amp;T Bank or M&amp;T Bank, N.A. in 2008, as available credits will offset 90% of such assessments. However, any significant increases in assessment rates or additional special assessments by the FDIC could have an adverse impact on the results of operations and capital of M&amp;T Bank or M&amp;T Bank, N.A. As of December 31, 2007, available credits for M&amp;T Bank are expected to be fully utilized by mid-2009.</w:t>
      </w:r>
    </w:p>
    <w:p>
      <w:pPr>
        <w:spacing w:after="0" w:line="1" w:lineRule="exact"/>
        <w:rPr>
          <w:sz w:val="20"/>
          <w:szCs w:val="20"/>
          <w:color w:val="auto"/>
        </w:rPr>
      </w:pPr>
    </w:p>
    <w:p>
      <w:pPr>
        <w:ind w:left="680" w:right="120" w:firstLine="599"/>
        <w:spacing w:after="0" w:line="278" w:lineRule="auto"/>
        <w:rPr>
          <w:sz w:val="20"/>
          <w:szCs w:val="20"/>
          <w:color w:val="auto"/>
        </w:rPr>
      </w:pPr>
      <w:r>
        <w:rPr>
          <w:rFonts w:ascii="Arial" w:cs="Arial" w:eastAsia="Arial" w:hAnsi="Arial"/>
          <w:sz w:val="13"/>
          <w:szCs w:val="13"/>
          <w:color w:val="auto"/>
        </w:rPr>
        <w:t>In addition to insurance fund assessments, the FDIC assesses deposits to fund the repayment of debt obligations of the Financing Corporation (“FICO”). FICO is a government agency-sponsored entity that was formed to borrow the money necessary to carry out the closing and ultimate disposition of failed thrift institutions by the Resolution Trust Corporation. The current annualized rate established by the FDIC is 1.14 basis points (hundredths of one percent).</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Consumer Protection Laws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In connection with their respective lending and leasing activities, M&amp;T Bank, certain of its subsidiaries, and M&amp;T Bank, N.A. are each subject to a number of federal and state laws designed to protect borrowers and promote lending to various sectors of the economy population.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spacing w:after="0" w:line="1" w:lineRule="exact"/>
        <w:rPr>
          <w:sz w:val="20"/>
          <w:szCs w:val="20"/>
          <w:color w:val="auto"/>
        </w:rPr>
      </w:pPr>
    </w:p>
    <w:p>
      <w:pPr>
        <w:jc w:val="both"/>
        <w:ind w:left="680" w:right="400" w:firstLine="599"/>
        <w:spacing w:after="0" w:line="249" w:lineRule="auto"/>
        <w:rPr>
          <w:sz w:val="20"/>
          <w:szCs w:val="20"/>
          <w:color w:val="auto"/>
        </w:rPr>
      </w:pPr>
      <w:r>
        <w:rPr>
          <w:rFonts w:ascii="Arial" w:cs="Arial" w:eastAsia="Arial" w:hAnsi="Arial"/>
          <w:sz w:val="14"/>
          <w:szCs w:val="14"/>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20"/>
          </w:cols>
          <w:pgMar w:left="220" w:top="339"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58" w:lineRule="auto"/>
        <w:rPr>
          <w:sz w:val="20"/>
          <w:szCs w:val="20"/>
          <w:color w:val="auto"/>
        </w:rPr>
      </w:pPr>
      <w:r>
        <w:rPr>
          <w:rFonts w:ascii="Arial" w:cs="Arial" w:eastAsia="Arial" w:hAnsi="Arial"/>
          <w:sz w:val="14"/>
          <w:szCs w:val="14"/>
          <w:color w:val="auto"/>
        </w:rPr>
        <w:t>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Sarbanes-Oxley Act of 2002</w:t>
      </w:r>
    </w:p>
    <w:p>
      <w:pPr>
        <w:spacing w:after="0" w:line="19" w:lineRule="exact"/>
        <w:rPr>
          <w:sz w:val="20"/>
          <w:szCs w:val="20"/>
          <w:color w:val="auto"/>
        </w:rPr>
      </w:pPr>
    </w:p>
    <w:p>
      <w:pPr>
        <w:ind w:left="680" w:right="120"/>
        <w:spacing w:after="0" w:line="266" w:lineRule="auto"/>
        <w:rPr>
          <w:sz w:val="20"/>
          <w:szCs w:val="20"/>
          <w:color w:val="auto"/>
        </w:rPr>
      </w:pPr>
      <w:r>
        <w:rPr>
          <w:rFonts w:ascii="Arial" w:cs="Arial" w:eastAsia="Arial" w:hAnsi="Arial"/>
          <w:sz w:val="13"/>
          <w:szCs w:val="13"/>
          <w:color w:val="auto"/>
        </w:rPr>
        <w:t>The Sarbanes-Oxley Act of 2002 implemented a broad range of corporate governance, accounting and reporting measures for companies that have securities registered under the Exchange Act, including publicly-held bank holding companies such as M&amp;T. Specifically, the Sarbanes-Oxley Act of 2002 and the various regulations promulgated thereunder, established, among other things: (i) new requirements for audit committees, including independence, expertise, and responsibilities; (ii) additional responsibilities regarding 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 (v) new standards for auditors and regulation of audits, including independence provisions that restrict non-audit services that accountants may provide to their audit clients; (vi) increased disclosure and reporting obligations for the reporting company and their directors and executive officers, including accelerated reporting of stock transactions and a prohibition on trading during pension blackout periods; (vii) a prohibition on personal loans to directors and officers, except certain loans made by insured financial institutions on nonpreferential terms and in compliance with other bank regulatory requirements; and (viii) a range of new and increased civil and criminal penalties for fraud and other violations of the securities laws.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USA Patriot Act</w:t>
      </w:r>
    </w:p>
    <w:p>
      <w:pPr>
        <w:spacing w:after="0" w:line="19"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The Uniting and Strengthening America by Providing Appropriate Tools Required to Intercept and Obstruct Terrorism Act of 2001 (the “USA Patriot Act”) imposes additional obligations on U.S. financial institutions, including banks and broker dealer subsidiaries, to implement policies, procedures and controls which are reasonably designed to detect and report instances of money laundering and the financing of terrorism. In addition, provisions of the USA Patriot Act require the federal financial institution regulatory agencies to consider the effectiveness of a financial institution’s anti-money laundering activities when reviewing bank mergers and bank holding company acquisitions. The Registrant and its impacted subsidiaries have approved policies and procedures that are believed to be compliant with the USA Patriot Act.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Regulatory Impact of M&amp;T’s Relationship With AIB</w:t>
      </w:r>
    </w:p>
    <w:p>
      <w:pPr>
        <w:spacing w:after="0" w:line="19" w:lineRule="exact"/>
        <w:rPr>
          <w:sz w:val="20"/>
          <w:szCs w:val="20"/>
          <w:color w:val="auto"/>
        </w:rPr>
      </w:pPr>
    </w:p>
    <w:p>
      <w:pPr>
        <w:ind w:left="680" w:right="20"/>
        <w:spacing w:after="0" w:line="269" w:lineRule="auto"/>
        <w:rPr>
          <w:sz w:val="20"/>
          <w:szCs w:val="20"/>
          <w:color w:val="auto"/>
        </w:rPr>
      </w:pPr>
      <w:r>
        <w:rPr>
          <w:rFonts w:ascii="Arial" w:cs="Arial" w:eastAsia="Arial" w:hAnsi="Arial"/>
          <w:sz w:val="13"/>
          <w:szCs w:val="13"/>
          <w:color w:val="auto"/>
        </w:rPr>
        <w:t>As described above under the caption “Relationship With Allied Irish Banks, p.l.c.,” AIB owns approximately 24.3% of the issued and outstanding shares of M&amp;T common stock and has representation on the M&amp;T and M&amp;T Bank boards of directors. As a result, AIB has become M&amp;T’s bank holding company under the BHCA and the Banking Law and AIB’s relationship with M&amp;T is subject to the statutes and regulations governing bank holding companies described above. Among other things, AIB will have to join M&amp;T in applications by M&amp;T for acquisitions and new activities. The Reorganization Agreement requires AIB to join in such applications at M&amp;T’s request, subject to certain limitations. In addition, because AIB is regulated by the Central Bank of Ireland (“CBI”), the CBI may assert jurisdiction over M&amp;T as a company controlled by AIB. Additional discussion of the regulatory implications of the Allfirst acquisition for M&amp;T is set forth above under the caption “Certain Post-Closing Bank Regulatory Matters.”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Governmental Policies</w:t>
      </w:r>
    </w:p>
    <w:p>
      <w:pPr>
        <w:spacing w:after="0" w:line="19" w:lineRule="exact"/>
        <w:rPr>
          <w:sz w:val="20"/>
          <w:szCs w:val="20"/>
          <w:color w:val="auto"/>
        </w:rPr>
      </w:pPr>
    </w:p>
    <w:p>
      <w:pPr>
        <w:ind w:left="680" w:right="400"/>
        <w:spacing w:after="0" w:line="293" w:lineRule="auto"/>
        <w:rPr>
          <w:sz w:val="20"/>
          <w:szCs w:val="20"/>
          <w:color w:val="auto"/>
        </w:rPr>
      </w:pPr>
      <w:r>
        <w:rPr>
          <w:rFonts w:ascii="Arial" w:cs="Arial" w:eastAsia="Arial" w:hAnsi="Arial"/>
          <w:sz w:val="13"/>
          <w:szCs w:val="13"/>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color w:val="auto"/>
        </w:rPr>
        <w:t>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Competition</w:t>
      </w:r>
    </w:p>
    <w:p>
      <w:pPr>
        <w:spacing w:after="0" w:line="19" w:lineRule="exact"/>
        <w:rPr>
          <w:sz w:val="20"/>
          <w:szCs w:val="20"/>
          <w:color w:val="auto"/>
        </w:rPr>
      </w:pPr>
    </w:p>
    <w:p>
      <w:pPr>
        <w:ind w:left="680" w:right="20"/>
        <w:spacing w:after="0" w:line="269" w:lineRule="auto"/>
        <w:rPr>
          <w:sz w:val="20"/>
          <w:szCs w:val="20"/>
          <w:color w:val="auto"/>
        </w:rPr>
      </w:pPr>
      <w:r>
        <w:rPr>
          <w:rFonts w:ascii="Arial" w:cs="Arial" w:eastAsia="Arial" w:hAnsi="Arial"/>
          <w:sz w:val="13"/>
          <w:szCs w:val="13"/>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Gramm-Leach have allowed for increased competition among diversified financial services providers, and the Interstate Banking Act and the Banking Law may be considered to have eased entry into New York State by out-of-state banking institutions. As a result, the number of financial services providers and banking institutions with which the Company competes may grow in the future.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Legislative Initiatives</w:t>
      </w:r>
    </w:p>
    <w:p>
      <w:pPr>
        <w:spacing w:after="0" w:line="19" w:lineRule="exact"/>
        <w:rPr>
          <w:sz w:val="20"/>
          <w:szCs w:val="20"/>
          <w:color w:val="auto"/>
        </w:rPr>
      </w:pPr>
    </w:p>
    <w:p>
      <w:pPr>
        <w:ind w:left="680" w:right="40"/>
        <w:spacing w:after="0" w:line="247" w:lineRule="auto"/>
        <w:rPr>
          <w:sz w:val="20"/>
          <w:szCs w:val="20"/>
          <w:color w:val="auto"/>
        </w:rPr>
      </w:pPr>
      <w:r>
        <w:rPr>
          <w:rFonts w:ascii="Arial" w:cs="Arial" w:eastAsia="Arial" w:hAnsi="Arial"/>
          <w:sz w:val="14"/>
          <w:szCs w:val="14"/>
          <w:color w:val="auto"/>
        </w:rPr>
        <w:t>Proposals may be introduced in the United States Congress and in the New York State Legislature and before various bank regulatory authorities which would alter the powers of, and restrictions on, different types of banking organizations and which would restructure part or all of the existing regulatory framework for banks, bank holding companies and other providers of financial services. Moreover, other bills may be introduced in Congress which would further regulate, deregulate or restructure the financial services industry. It is not possible to predict whether these or any other proposals will be enacted into law or, even if enacted, the effect which they may have on the Company’s business and earnings.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Information</w:t>
      </w:r>
    </w:p>
    <w:p>
      <w:pPr>
        <w:spacing w:after="0" w:line="19"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Securities and Exchange Commission. Copies of such reports and other information are also available at no charge to any person who requests them or at www.sec.gov. Such requests may be directed to M&amp;T Bank Corporation, Shareholder Relations Department, One M&amp;T Plaza, 13th Floor, Buffalo, NY 14203-2399 (Telephone: (716) 842-5445).</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Governance</w:t>
      </w:r>
    </w:p>
    <w:p>
      <w:pPr>
        <w:spacing w:after="0" w:line="1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M&amp;T’s Corporate Governance Standards and the following corporate governance documents are also available on M&amp;T’s website at the Investor Relations link: Disclosure Policy; Executive Committee Charter; Nomination, Compensation and Governance Committee Charter; Audit and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13th Floor, Buffalo, NY 14203-2399 (Telephone: (716) 842-5445).</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Statistical Disclosure Pursuant to Guide 3</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 Additional information is included in the following tables.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SELECTED CONSOLIDATED YEAR-END BALANCES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6"/>
              <w:spacing w:after="0"/>
              <w:rPr>
                <w:sz w:val="20"/>
                <w:szCs w:val="20"/>
                <w:color w:val="auto"/>
              </w:rPr>
            </w:pPr>
            <w:r>
              <w:rPr>
                <w:rFonts w:ascii="Arial" w:cs="Arial" w:eastAsia="Arial" w:hAnsi="Arial"/>
                <w:sz w:val="12"/>
                <w:szCs w:val="12"/>
                <w:b w:val="1"/>
                <w:bCs w:val="1"/>
                <w:color w:val="auto"/>
              </w:rPr>
              <w:t>2007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2"/>
                <w:szCs w:val="12"/>
                <w:b w:val="1"/>
                <w:bCs w:val="1"/>
                <w:color w:val="auto"/>
              </w:rPr>
              <w:t>2006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ind w:right="96"/>
              <w:spacing w:after="0"/>
              <w:rPr>
                <w:sz w:val="20"/>
                <w:szCs w:val="20"/>
                <w:color w:val="auto"/>
              </w:rPr>
            </w:pPr>
            <w:r>
              <w:rPr>
                <w:rFonts w:ascii="Arial" w:cs="Arial" w:eastAsia="Arial" w:hAnsi="Arial"/>
                <w:sz w:val="12"/>
                <w:szCs w:val="12"/>
                <w:b w:val="1"/>
                <w:bCs w:val="1"/>
                <w:color w:val="auto"/>
                <w:w w:val="97"/>
              </w:rPr>
              <w:t>2005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57"/>
              <w:spacing w:after="0"/>
              <w:rPr>
                <w:sz w:val="20"/>
                <w:szCs w:val="20"/>
                <w:color w:val="auto"/>
              </w:rPr>
            </w:pPr>
            <w:r>
              <w:rPr>
                <w:rFonts w:ascii="Arial" w:cs="Arial" w:eastAsia="Arial" w:hAnsi="Arial"/>
                <w:sz w:val="12"/>
                <w:szCs w:val="12"/>
                <w:b w:val="1"/>
                <w:bCs w:val="1"/>
                <w:color w:val="auto"/>
              </w:rPr>
              <w:t>2004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2003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00" w:type="dxa"/>
            <w:vAlign w:val="bottom"/>
            <w:vMerge w:val="continue"/>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deposits at banks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18,431</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6,639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8,408</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10,242</w:t>
            </w: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13,194</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Federal funds sold</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48,038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19,458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11,220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28,150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21,220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100,000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1,068</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Trading account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281,244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136,752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191,617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159,946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214,833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U.S. Treasury and federal agencies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3,540,641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2,381,584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3,016,374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w w:val="86"/>
              </w:rPr>
              <w:t>3,965,110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3,398,547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 subdivisions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153,231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130,207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181,938</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204,792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249,193</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Other</w:t>
            </w: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5,268,126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4,739,807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5,201,852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4,304,717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3,611,410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8,961,998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7,251,598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8,400,164</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8,474,619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7,259,150</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Loans and leases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financial, leasing, etc.</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13,387,026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11,896,556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11,105,827</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10,169,695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9,406,399</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Real estate — construction</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4,190,068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3,453,981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2,335,498</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1,797,106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1,537,880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Real estate — mortgage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19,468,449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17,940,083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16,636,557</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15,538,227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13,932,731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Consumer</w:t>
            </w: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11,306,719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9,916,334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2"/>
              </w:rPr>
              <w:t>10,475,809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11,139,594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11,160,588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loans and leases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48,352,262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43,206,954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40,553,691</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38,644,622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36,037,598</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Unearned discount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(330,700)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(259,657)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(223,046)</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w w:val="96"/>
              </w:rPr>
              <w:t>(246,145)</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(265,163)</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Allowance for credit losses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(759,439)</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(649,948)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(637,663)</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6"/>
              </w:rPr>
              <w:t>(626,864)</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(614,058)</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960" w:type="dxa"/>
            <w:vAlign w:val="bottom"/>
          </w:tcPr>
          <w:p>
            <w:pPr>
              <w:ind w:left="260"/>
              <w:spacing w:after="0"/>
              <w:rPr>
                <w:sz w:val="20"/>
                <w:szCs w:val="20"/>
                <w:color w:val="auto"/>
              </w:rPr>
            </w:pPr>
            <w:r>
              <w:rPr>
                <w:rFonts w:ascii="Arial" w:cs="Arial" w:eastAsia="Arial" w:hAnsi="Arial"/>
                <w:sz w:val="13"/>
                <w:szCs w:val="13"/>
                <w:color w:val="auto"/>
              </w:rPr>
              <w:t>Loans and leases, net</w:t>
            </w:r>
          </w:p>
        </w:tc>
        <w:tc>
          <w:tcPr>
            <w:tcW w:w="1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47,262,123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42,297,349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92"/>
              </w:rPr>
              <w:t>39,692,982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37,771,613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35,158,377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3,196,433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2,908,849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2,904,081</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2,904,081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2,904,081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248,556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250,233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108,260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165,507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240,830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Real estate and other assets owned</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12,141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9,486</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19,629</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Total assets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64,875,639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57,064,905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55,146,406</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52,938,721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49,826,081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Noninterest-bearing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8,131,662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7,879,977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8,141,928</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8,417,365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8,411,296</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NOW accounts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1,190,161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940,439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901,938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828,999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1,738,427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15,419,357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14,169,790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13,839,150</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14,721,663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14,118,521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Time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10,668,581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11,490,629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11,407,626</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7,228,514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6,637,249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1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5,856,427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5,429,668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2,809,532</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4,232,932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2,209,451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960" w:type="dxa"/>
            <w:vAlign w:val="bottom"/>
          </w:tcPr>
          <w:p>
            <w:pPr>
              <w:ind w:left="260"/>
              <w:spacing w:after="0"/>
              <w:rPr>
                <w:sz w:val="20"/>
                <w:szCs w:val="20"/>
                <w:color w:val="auto"/>
              </w:rPr>
            </w:pPr>
            <w:r>
              <w:rPr>
                <w:rFonts w:ascii="Arial" w:cs="Arial" w:eastAsia="Arial" w:hAnsi="Arial"/>
                <w:sz w:val="13"/>
                <w:szCs w:val="13"/>
                <w:color w:val="auto"/>
              </w:rPr>
              <w:t>Total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41,266,188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39,910,503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37,100,174</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35,429,473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33,114,944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5,821,897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3,094,214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5,152,872</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4,703,664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4,442,246</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Long-term borrowings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10,317,945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6,890,741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6,196,994</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6,348,559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5,535,425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58,390,383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50,783,810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49,270,020</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47,209,107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44,108,871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6,485,256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6,281,095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5,876,386</w:t>
            </w:r>
          </w:p>
        </w:tc>
        <w:tc>
          <w:tcPr>
            <w:tcW w:w="2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5,729,614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5,717,210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660" w:type="dxa"/>
            <w:vAlign w:val="bottom"/>
            <w:gridSpan w:val="2"/>
          </w:tcPr>
          <w:p>
            <w:pPr>
              <w:ind w:left="680"/>
              <w:spacing w:after="0"/>
              <w:rPr>
                <w:sz w:val="20"/>
                <w:szCs w:val="20"/>
                <w:color w:val="auto"/>
              </w:rPr>
            </w:pPr>
            <w:r>
              <w:rPr>
                <w:rFonts w:ascii="Arial" w:cs="Arial" w:eastAsia="Arial" w:hAnsi="Arial"/>
                <w:sz w:val="14"/>
                <w:szCs w:val="14"/>
                <w:b w:val="1"/>
                <w:bCs w:val="1"/>
                <w:color w:val="auto"/>
              </w:rPr>
              <w:t>Table 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20" w:type="dxa"/>
            <w:vAlign w:val="bottom"/>
            <w:gridSpan w:val="10"/>
          </w:tcPr>
          <w:p>
            <w:pPr>
              <w:ind w:left="460"/>
              <w:spacing w:after="0"/>
              <w:rPr>
                <w:sz w:val="20"/>
                <w:szCs w:val="20"/>
                <w:color w:val="auto"/>
              </w:rPr>
            </w:pPr>
            <w:r>
              <w:rPr>
                <w:rFonts w:ascii="Arial" w:cs="Arial" w:eastAsia="Arial" w:hAnsi="Arial"/>
                <w:sz w:val="14"/>
                <w:szCs w:val="14"/>
                <w:b w:val="1"/>
                <w:bCs w:val="1"/>
                <w:color w:val="auto"/>
              </w:rPr>
              <w:t>STOCKHOLDERS, EMPLOYEES AND OFFICES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60" w:type="dxa"/>
            <w:vAlign w:val="bottom"/>
            <w:gridSpan w:val="2"/>
          </w:tcPr>
          <w:p>
            <w:pPr>
              <w:ind w:left="6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umber at Year-End</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56"/>
              <w:spacing w:after="0"/>
              <w:rPr>
                <w:sz w:val="20"/>
                <w:szCs w:val="20"/>
                <w:color w:val="auto"/>
              </w:rPr>
            </w:pPr>
            <w:r>
              <w:rPr>
                <w:rFonts w:ascii="Arial" w:cs="Arial" w:eastAsia="Arial" w:hAnsi="Arial"/>
                <w:sz w:val="10"/>
                <w:szCs w:val="10"/>
                <w:b w:val="1"/>
                <w:bCs w:val="1"/>
                <w:color w:val="auto"/>
              </w:rPr>
              <w:t>2005</w:t>
            </w:r>
          </w:p>
        </w:tc>
        <w:tc>
          <w:tcPr>
            <w:tcW w:w="800" w:type="dxa"/>
            <w:vAlign w:val="bottom"/>
            <w:gridSpan w:val="4"/>
          </w:tcPr>
          <w:p>
            <w:pPr>
              <w:jc w:val="right"/>
              <w:ind w:right="16"/>
              <w:spacing w:after="0"/>
              <w:rPr>
                <w:sz w:val="20"/>
                <w:szCs w:val="20"/>
                <w:color w:val="auto"/>
              </w:rPr>
            </w:pPr>
            <w:r>
              <w:rPr>
                <w:rFonts w:ascii="Arial" w:cs="Arial" w:eastAsia="Arial" w:hAnsi="Arial"/>
                <w:sz w:val="10"/>
                <w:szCs w:val="10"/>
                <w:b w:val="1"/>
                <w:bCs w:val="1"/>
                <w:color w:val="auto"/>
              </w:rPr>
              <w:t>2004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2003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00" w:type="dxa"/>
            <w:vAlign w:val="bottom"/>
            <w:vMerge w:val="continue"/>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Stockholders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11,611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10,437</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10,857</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11,258</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Employees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13,869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13,352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13,525</w:t>
            </w:r>
          </w:p>
        </w:tc>
        <w:tc>
          <w:tcPr>
            <w:tcW w:w="840" w:type="dxa"/>
            <w:vAlign w:val="bottom"/>
            <w:gridSpan w:val="5"/>
          </w:tcPr>
          <w:p>
            <w:pPr>
              <w:jc w:val="right"/>
              <w:spacing w:after="0"/>
              <w:rPr>
                <w:sz w:val="20"/>
                <w:szCs w:val="20"/>
                <w:color w:val="auto"/>
              </w:rPr>
            </w:pPr>
            <w:r>
              <w:rPr>
                <w:rFonts w:ascii="Arial" w:cs="Arial" w:eastAsia="Arial" w:hAnsi="Arial"/>
                <w:sz w:val="13"/>
                <w:szCs w:val="13"/>
                <w:color w:val="auto"/>
              </w:rPr>
              <w:t>13,371</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14,000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Offices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735</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CONSOLIDATED EARNINGS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2007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2005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2004</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2003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w w:val="94"/>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00" w:type="dxa"/>
            <w:vAlign w:val="bottom"/>
            <w:vMerge w:val="continue"/>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income</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Loans and leases, including fees</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3,155,967</w:t>
            </w:r>
          </w:p>
        </w:tc>
        <w:tc>
          <w:tcPr>
            <w:tcW w:w="1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2,927,411</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2,420,660</w:t>
            </w:r>
          </w:p>
        </w:tc>
        <w:tc>
          <w:tcPr>
            <w:tcW w:w="16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1,974,469</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1,897,701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Federal funds sold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1,670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22,978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3,927</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Trading account</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2,446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Fully taxable</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352,628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363,401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351,423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309,141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210,968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Exempt from federal taxes</w:t>
            </w:r>
          </w:p>
        </w:tc>
        <w:tc>
          <w:tcPr>
            <w:tcW w:w="9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14,866</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14,090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14,548</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15,282</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Total interest income</w:t>
            </w: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3,544,813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3,314,093</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2,788,694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2,298,732</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2,126,565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expense</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NOW accounts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4,638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3,461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1,802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3,613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250,313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201,543</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139,445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92,064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102,190</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Time deposits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496,378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551,514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294,782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154,722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159,700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207,990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178,348</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120,122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43,034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Short-term borrowings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274,079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227,850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157,853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71,172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49,064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9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461,178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333,836</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279,967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201,366</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198,252</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Total interest expense</w:t>
            </w: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1,694,576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1,496,552</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994,351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564,160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527,810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interest income</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1,850,237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1,817,541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1,794,343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1,734,572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1,598,755</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192,000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80,000</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95,000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131,000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Net interest income after provision for credit losses</w:t>
            </w:r>
          </w:p>
        </w:tc>
        <w:tc>
          <w:tcPr>
            <w:tcW w:w="9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1,658,237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1,737,541</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1,706,343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1,639,572</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1,467,755</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680"/>
              <w:spacing w:after="0"/>
              <w:rPr>
                <w:sz w:val="20"/>
                <w:szCs w:val="20"/>
                <w:color w:val="auto"/>
              </w:rPr>
            </w:pPr>
            <w:r>
              <w:rPr>
                <w:rFonts w:ascii="Arial" w:cs="Arial" w:eastAsia="Arial" w:hAnsi="Arial"/>
                <w:sz w:val="13"/>
                <w:szCs w:val="13"/>
                <w:b w:val="1"/>
                <w:bCs w:val="1"/>
                <w:color w:val="auto"/>
              </w:rPr>
              <w:t>Other income</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Mortgage banking revenues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111,893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143,181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136,114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124,353</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149,105</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Service charges on deposit accounts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409,462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380,950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369,918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366,301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309,749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Trust income</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152,636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140,781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134,679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136,296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114,620</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Brokerage services income</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59,533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60,295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55,572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53,740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51,184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Trading account and foreign exchange gains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30,271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24,761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22,857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15,989</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Gain (loss) on bank investment securities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(126,096)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2,566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(28,133)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2,874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2,487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Equity in earnings of Bayview Lending Group LLC</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Other revenues from operations</w:t>
            </w: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286,355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293,318</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239,970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187,961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income</w:t>
            </w:r>
          </w:p>
        </w:tc>
        <w:tc>
          <w:tcPr>
            <w:tcW w:w="9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932,989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1,045,852</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949,718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942,969</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831,095</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680"/>
              <w:spacing w:after="0"/>
              <w:rPr>
                <w:sz w:val="20"/>
                <w:szCs w:val="20"/>
                <w:color w:val="auto"/>
              </w:rPr>
            </w:pPr>
            <w:r>
              <w:rPr>
                <w:rFonts w:ascii="Arial" w:cs="Arial" w:eastAsia="Arial" w:hAnsi="Arial"/>
                <w:sz w:val="13"/>
                <w:szCs w:val="13"/>
                <w:b w:val="1"/>
                <w:bCs w:val="1"/>
                <w:color w:val="auto"/>
              </w:rPr>
              <w:t>Other expense</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908,315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873,353</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822,239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806,552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740,324</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Equipment and net occupancy</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169,050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168,776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173,689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179,595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170,623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Printing, postage and supplies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35,765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33,956</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36,985</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66,486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63,008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56,805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75,410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78,152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Other costs of operations</w:t>
            </w:r>
          </w:p>
        </w:tc>
        <w:tc>
          <w:tcPr>
            <w:tcW w:w="9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448,073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412,658</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398,666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419,985</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422,096</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Total other expense</w:t>
            </w: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1,627,689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1,551,751</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1,485,142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1,516,018</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1,448,180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963,537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1,231,642</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1,170,919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1,066,523</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850,670</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Income taxes</w:t>
            </w: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309,278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392,453</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388,736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344,002</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276,728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654,259</w:t>
            </w:r>
          </w:p>
        </w:tc>
        <w:tc>
          <w:tcPr>
            <w:tcW w:w="1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839,189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782,183</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722,521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573,942</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48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Dividends declared — Common</w:t>
            </w: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gridSpan w:val="2"/>
            <w:vMerge w:val="continue"/>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281,900</w:t>
            </w:r>
          </w:p>
        </w:tc>
        <w:tc>
          <w:tcPr>
            <w:tcW w:w="18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249,817</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198,619</w:t>
            </w:r>
          </w:p>
        </w:tc>
        <w:tc>
          <w:tcPr>
            <w:tcW w:w="1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187,669</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135,423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4480" w:type="dxa"/>
            <w:vAlign w:val="bottom"/>
            <w:gridSpan w:val="2"/>
          </w:tcPr>
          <w:p>
            <w:pPr>
              <w:ind w:left="680"/>
              <w:spacing w:after="0"/>
              <w:rPr>
                <w:sz w:val="20"/>
                <w:szCs w:val="20"/>
                <w:color w:val="auto"/>
              </w:rPr>
            </w:pPr>
            <w:r>
              <w:rPr>
                <w:rFonts w:ascii="Arial" w:cs="Arial" w:eastAsia="Arial" w:hAnsi="Arial"/>
                <w:sz w:val="12"/>
                <w:szCs w:val="12"/>
                <w:color w:val="auto"/>
              </w:rPr>
              <w:t>20</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44"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COMMON SHAREHOLDER DATA</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2007</w:t>
            </w:r>
          </w:p>
        </w:tc>
        <w:tc>
          <w:tcPr>
            <w:tcW w:w="2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2005</w:t>
            </w:r>
          </w:p>
        </w:tc>
        <w:tc>
          <w:tcPr>
            <w:tcW w:w="2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2004</w:t>
            </w:r>
          </w:p>
        </w:tc>
        <w:tc>
          <w:tcPr>
            <w:tcW w:w="2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Per share</w:t>
            </w:r>
          </w:p>
        </w:tc>
        <w:tc>
          <w:tcPr>
            <w:tcW w:w="2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2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Basic</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6.05</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7.55</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6.88</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6.14</w:t>
            </w:r>
          </w:p>
        </w:tc>
        <w:tc>
          <w:tcPr>
            <w:tcW w:w="2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5.08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ind w:left="260"/>
              <w:spacing w:after="0"/>
              <w:rPr>
                <w:sz w:val="20"/>
                <w:szCs w:val="20"/>
                <w:color w:val="auto"/>
              </w:rPr>
            </w:pPr>
            <w:r>
              <w:rPr>
                <w:rFonts w:ascii="Arial" w:cs="Arial" w:eastAsia="Arial" w:hAnsi="Arial"/>
                <w:sz w:val="13"/>
                <w:szCs w:val="13"/>
                <w:color w:val="auto"/>
              </w:rPr>
              <w:t>Diluted</w:t>
            </w:r>
          </w:p>
        </w:tc>
        <w:tc>
          <w:tcPr>
            <w:tcW w:w="2600" w:type="dxa"/>
            <w:vAlign w:val="bottom"/>
            <w:gridSpan w:val="2"/>
          </w:tcPr>
          <w:p>
            <w:pPr>
              <w:jc w:val="right"/>
              <w:spacing w:after="0"/>
              <w:rPr>
                <w:sz w:val="20"/>
                <w:szCs w:val="20"/>
                <w:color w:val="auto"/>
              </w:rPr>
            </w:pPr>
            <w:r>
              <w:rPr>
                <w:rFonts w:ascii="Arial" w:cs="Arial" w:eastAsia="Arial" w:hAnsi="Arial"/>
                <w:sz w:val="13"/>
                <w:szCs w:val="13"/>
                <w:color w:val="auto"/>
              </w:rPr>
              <w:t>5.95</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6.73</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2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dividends declared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2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ind w:left="120"/>
              <w:spacing w:after="0"/>
              <w:rPr>
                <w:sz w:val="20"/>
                <w:szCs w:val="20"/>
                <w:color w:val="auto"/>
              </w:rPr>
            </w:pPr>
            <w:r>
              <w:rPr>
                <w:rFonts w:ascii="Arial" w:cs="Arial" w:eastAsia="Arial" w:hAnsi="Arial"/>
                <w:sz w:val="13"/>
                <w:szCs w:val="13"/>
                <w:color w:val="auto"/>
              </w:rPr>
              <w:t>Stockholders’ equity at year-end</w:t>
            </w:r>
          </w:p>
        </w:tc>
        <w:tc>
          <w:tcPr>
            <w:tcW w:w="2600" w:type="dxa"/>
            <w:vAlign w:val="bottom"/>
            <w:gridSpan w:val="2"/>
          </w:tcPr>
          <w:p>
            <w:pPr>
              <w:jc w:val="right"/>
              <w:spacing w:after="0"/>
              <w:rPr>
                <w:sz w:val="20"/>
                <w:szCs w:val="20"/>
                <w:color w:val="auto"/>
              </w:rPr>
            </w:pPr>
            <w:r>
              <w:rPr>
                <w:rFonts w:ascii="Arial" w:cs="Arial" w:eastAsia="Arial" w:hAnsi="Arial"/>
                <w:sz w:val="13"/>
                <w:szCs w:val="13"/>
                <w:color w:val="auto"/>
              </w:rPr>
              <w:t>58.99</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56.94</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52.39</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49.68</w:t>
            </w:r>
          </w:p>
        </w:tc>
        <w:tc>
          <w:tcPr>
            <w:tcW w:w="2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47.55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Tangible stockholders’ equity at year-end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28.57</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25.91</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2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21.97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tcPr>
          <w:p>
            <w:pPr>
              <w:ind w:left="120"/>
              <w:spacing w:after="0"/>
              <w:rPr>
                <w:sz w:val="20"/>
                <w:szCs w:val="20"/>
                <w:color w:val="auto"/>
              </w:rPr>
            </w:pPr>
            <w:r>
              <w:rPr>
                <w:rFonts w:ascii="Arial" w:cs="Arial" w:eastAsia="Arial" w:hAnsi="Arial"/>
                <w:sz w:val="13"/>
                <w:szCs w:val="13"/>
                <w:color w:val="auto"/>
              </w:rPr>
              <w:t>Dividend payout ratio</w:t>
            </w:r>
          </w:p>
        </w:tc>
        <w:tc>
          <w:tcPr>
            <w:tcW w:w="2800" w:type="dxa"/>
            <w:vAlign w:val="bottom"/>
            <w:gridSpan w:val="3"/>
          </w:tcPr>
          <w:p>
            <w:pPr>
              <w:jc w:val="right"/>
              <w:ind w:right="100"/>
              <w:spacing w:after="0"/>
              <w:rPr>
                <w:sz w:val="20"/>
                <w:szCs w:val="20"/>
                <w:color w:val="auto"/>
              </w:rPr>
            </w:pPr>
            <w:r>
              <w:rPr>
                <w:rFonts w:ascii="Arial" w:cs="Arial" w:eastAsia="Arial" w:hAnsi="Arial"/>
                <w:sz w:val="13"/>
                <w:szCs w:val="13"/>
                <w:color w:val="auto"/>
              </w:rPr>
              <w:t>43.12%</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29.79%</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25.42%</w:t>
            </w:r>
          </w:p>
        </w:tc>
        <w:tc>
          <w:tcPr>
            <w:tcW w:w="720" w:type="dxa"/>
            <w:vAlign w:val="bottom"/>
            <w:gridSpan w:val="3"/>
          </w:tcPr>
          <w:p>
            <w:pPr>
              <w:jc w:val="right"/>
              <w:ind w:right="100"/>
              <w:spacing w:after="0"/>
              <w:rPr>
                <w:sz w:val="20"/>
                <w:szCs w:val="20"/>
                <w:color w:val="auto"/>
              </w:rPr>
            </w:pPr>
            <w:r>
              <w:rPr>
                <w:rFonts w:ascii="Arial" w:cs="Arial" w:eastAsia="Arial" w:hAnsi="Arial"/>
                <w:sz w:val="13"/>
                <w:szCs w:val="13"/>
                <w:color w:val="auto"/>
              </w:rPr>
              <w:t>26.00%</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23.62%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167"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CHANGES IN INTEREST INCOME AND EXPENSE(a)</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400"/>
              <w:spacing w:after="0"/>
              <w:rPr>
                <w:sz w:val="20"/>
                <w:szCs w:val="20"/>
                <w:color w:val="auto"/>
              </w:rPr>
            </w:pPr>
            <w:r>
              <w:rPr>
                <w:rFonts w:ascii="Arial" w:cs="Arial" w:eastAsia="Arial" w:hAnsi="Arial"/>
                <w:sz w:val="12"/>
                <w:szCs w:val="12"/>
                <w:b w:val="1"/>
                <w:bCs w:val="1"/>
                <w:color w:val="auto"/>
                <w:w w:val="98"/>
              </w:rPr>
              <w:t>2007 Compared with 2006</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w w:val="96"/>
              </w:rPr>
              <w:t>2006 Compared with 2005</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87"/>
              </w:rPr>
              <w:t>Resulting from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87"/>
              </w:rPr>
              <w:t>Resulting from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9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2"/>
                <w:szCs w:val="12"/>
                <w:b w:val="1"/>
                <w:bCs w:val="1"/>
                <w:color w:val="auto"/>
                <w:w w:val="87"/>
              </w:rPr>
              <w:t>Changes in:</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104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2"/>
                <w:szCs w:val="12"/>
                <w:b w:val="1"/>
                <w:bCs w:val="1"/>
                <w:color w:val="auto"/>
                <w:w w:val="84"/>
              </w:rPr>
              <w:t>Changes in:</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30" w:lineRule="exact"/>
              <w:rPr>
                <w:sz w:val="20"/>
                <w:szCs w:val="20"/>
                <w:color w:val="auto"/>
              </w:rPr>
            </w:pPr>
            <w:r>
              <w:rPr>
                <w:rFonts w:ascii="Arial" w:cs="Arial" w:eastAsia="Arial" w:hAnsi="Arial"/>
                <w:sz w:val="12"/>
                <w:szCs w:val="12"/>
                <w:b w:val="1"/>
                <w:bCs w:val="1"/>
                <w:color w:val="auto"/>
                <w:w w:val="95"/>
              </w:rPr>
              <w:t>Change</w:t>
            </w:r>
          </w:p>
        </w:tc>
        <w:tc>
          <w:tcPr>
            <w:tcW w:w="300" w:type="dxa"/>
            <w:vAlign w:val="bottom"/>
          </w:tcPr>
          <w:p>
            <w:pPr>
              <w:spacing w:after="0"/>
              <w:rPr>
                <w:sz w:val="11"/>
                <w:szCs w:val="11"/>
                <w:color w:val="auto"/>
              </w:rPr>
            </w:pPr>
          </w:p>
        </w:tc>
        <w:tc>
          <w:tcPr>
            <w:tcW w:w="580" w:type="dxa"/>
            <w:vAlign w:val="bottom"/>
            <w:tcBorders>
              <w:bottom w:val="single" w:sz="8" w:color="auto"/>
            </w:tcBorders>
          </w:tcPr>
          <w:p>
            <w:pPr>
              <w:jc w:val="right"/>
              <w:ind w:right="37"/>
              <w:spacing w:after="0" w:line="134" w:lineRule="exact"/>
              <w:rPr>
                <w:sz w:val="20"/>
                <w:szCs w:val="20"/>
                <w:color w:val="auto"/>
              </w:rPr>
            </w:pPr>
            <w:r>
              <w:rPr>
                <w:rFonts w:ascii="Arial" w:cs="Arial" w:eastAsia="Arial" w:hAnsi="Arial"/>
                <w:sz w:val="12"/>
                <w:szCs w:val="12"/>
                <w:b w:val="1"/>
                <w:bCs w:val="1"/>
                <w:color w:val="auto"/>
              </w:rPr>
              <w:t>Volume</w:t>
            </w: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2"/>
                <w:szCs w:val="12"/>
                <w:b w:val="1"/>
                <w:bCs w:val="1"/>
                <w:color w:val="auto"/>
                <w:w w:val="92"/>
              </w:rPr>
              <w:t>Rate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30" w:lineRule="exact"/>
              <w:rPr>
                <w:sz w:val="20"/>
                <w:szCs w:val="20"/>
                <w:color w:val="auto"/>
              </w:rPr>
            </w:pPr>
            <w:r>
              <w:rPr>
                <w:rFonts w:ascii="Arial" w:cs="Arial" w:eastAsia="Arial" w:hAnsi="Arial"/>
                <w:sz w:val="12"/>
                <w:szCs w:val="12"/>
                <w:b w:val="1"/>
                <w:bCs w:val="1"/>
                <w:color w:val="auto"/>
                <w:w w:val="95"/>
              </w:rPr>
              <w:t>Change</w:t>
            </w:r>
          </w:p>
        </w:tc>
        <w:tc>
          <w:tcPr>
            <w:tcW w:w="280" w:type="dxa"/>
            <w:vAlign w:val="bottom"/>
          </w:tcPr>
          <w:p>
            <w:pPr>
              <w:spacing w:after="0"/>
              <w:rPr>
                <w:sz w:val="11"/>
                <w:szCs w:val="11"/>
                <w:color w:val="auto"/>
              </w:rPr>
            </w:pPr>
          </w:p>
        </w:tc>
        <w:tc>
          <w:tcPr>
            <w:tcW w:w="60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2"/>
                <w:szCs w:val="12"/>
                <w:b w:val="1"/>
                <w:bCs w:val="1"/>
                <w:color w:val="auto"/>
              </w:rPr>
              <w:t>Volume</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6"/>
              <w:spacing w:after="0" w:line="134" w:lineRule="exact"/>
              <w:rPr>
                <w:sz w:val="20"/>
                <w:szCs w:val="20"/>
                <w:color w:val="auto"/>
              </w:rPr>
            </w:pPr>
            <w:r>
              <w:rPr>
                <w:rFonts w:ascii="Arial" w:cs="Arial" w:eastAsia="Arial" w:hAnsi="Arial"/>
                <w:sz w:val="12"/>
                <w:szCs w:val="12"/>
                <w:b w:val="1"/>
                <w:bCs w:val="1"/>
                <w:color w:val="auto"/>
                <w:w w:val="92"/>
              </w:rPr>
              <w:t>Rate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20" w:type="dxa"/>
            <w:vAlign w:val="bottom"/>
            <w:gridSpan w:val="8"/>
          </w:tcPr>
          <w:p>
            <w:pPr>
              <w:jc w:val="right"/>
              <w:ind w:right="240"/>
              <w:spacing w:after="0"/>
              <w:rPr>
                <w:sz w:val="20"/>
                <w:szCs w:val="20"/>
                <w:color w:val="auto"/>
              </w:rPr>
            </w:pPr>
            <w:r>
              <w:rPr>
                <w:rFonts w:ascii="Arial" w:cs="Arial" w:eastAsia="Arial" w:hAnsi="Arial"/>
                <w:sz w:val="12"/>
                <w:szCs w:val="12"/>
                <w:b w:val="1"/>
                <w:bCs w:val="1"/>
                <w:color w:val="auto"/>
                <w:w w:val="88"/>
              </w:rPr>
              <w:t>(Increase (decrease)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Loans and leases, including fees</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231,565</w:t>
            </w: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190,322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41,243</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508,777</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121,931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386,846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(72)</w:t>
            </w:r>
          </w:p>
        </w:tc>
        <w:tc>
          <w:tcPr>
            <w:tcW w:w="88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Federal funds sold and agreements to resell securities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18,238</w:t>
            </w: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19,560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(1,322)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4,789</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3,495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account</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(1,702)</w:t>
            </w:r>
          </w:p>
        </w:tc>
        <w:tc>
          <w:tcPr>
            <w:tcW w:w="88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(612)</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(1,090)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Investment securities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U.S. Treasury and federal agencies</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(21,058)</w:t>
            </w:r>
          </w:p>
        </w:tc>
        <w:tc>
          <w:tcPr>
            <w:tcW w:w="88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(26,626)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(12,859)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(24,339)</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ind w:left="120"/>
              <w:spacing w:after="0"/>
              <w:rPr>
                <w:sz w:val="20"/>
                <w:szCs w:val="20"/>
                <w:color w:val="auto"/>
              </w:rPr>
            </w:pPr>
            <w:r>
              <w:rPr>
                <w:rFonts w:ascii="Arial" w:cs="Arial" w:eastAsia="Arial" w:hAnsi="Arial"/>
                <w:sz w:val="13"/>
                <w:szCs w:val="13"/>
                <w:color w:val="auto"/>
              </w:rPr>
              <w:t>Obligations of states and political subdivisions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(1,604)</w:t>
            </w:r>
          </w:p>
        </w:tc>
        <w:tc>
          <w:tcPr>
            <w:tcW w:w="880" w:type="dxa"/>
            <w:vAlign w:val="bottom"/>
            <w:gridSpan w:val="2"/>
          </w:tcPr>
          <w:p>
            <w:pPr>
              <w:jc w:val="right"/>
              <w:ind w:right="202"/>
              <w:spacing w:after="0"/>
              <w:rPr>
                <w:sz w:val="20"/>
                <w:szCs w:val="20"/>
                <w:color w:val="auto"/>
              </w:rPr>
            </w:pPr>
            <w:r>
              <w:rPr>
                <w:rFonts w:ascii="Arial" w:cs="Arial" w:eastAsia="Arial" w:hAnsi="Arial"/>
                <w:sz w:val="13"/>
                <w:szCs w:val="13"/>
                <w:color w:val="auto"/>
              </w:rPr>
              <w:t>(2,618)</w:t>
            </w: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(637)</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(1,479)</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0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6,519</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(3,559)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10,078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26,580</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gridSpan w:val="2"/>
          </w:tcPr>
          <w:p>
            <w:pPr>
              <w:ind w:left="120"/>
              <w:spacing w:after="0"/>
              <w:rPr>
                <w:sz w:val="20"/>
                <w:szCs w:val="20"/>
                <w:color w:val="auto"/>
              </w:rPr>
            </w:pPr>
            <w:r>
              <w:rPr>
                <w:rFonts w:ascii="Arial" w:cs="Arial" w:eastAsia="Arial" w:hAnsi="Arial"/>
                <w:sz w:val="13"/>
                <w:szCs w:val="13"/>
                <w:color w:val="auto"/>
              </w:rPr>
              <w:t>Total interest income</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231,886</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527,755</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Interest-bearing deposits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NOW accounts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ind w:left="120"/>
              <w:spacing w:after="0"/>
              <w:rPr>
                <w:sz w:val="20"/>
                <w:szCs w:val="20"/>
                <w:color w:val="auto"/>
              </w:rPr>
            </w:pPr>
            <w:r>
              <w:rPr>
                <w:rFonts w:ascii="Arial" w:cs="Arial" w:eastAsia="Arial" w:hAnsi="Arial"/>
                <w:sz w:val="13"/>
                <w:szCs w:val="13"/>
                <w:color w:val="auto"/>
              </w:rPr>
              <w:t>Savings deposits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48,770</w:t>
            </w: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8,463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40,307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62,098</w:t>
            </w:r>
          </w:p>
        </w:tc>
        <w:tc>
          <w:tcPr>
            <w:tcW w:w="2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(4,684)</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66,782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Time deposits</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(55,136)</w:t>
            </w:r>
          </w:p>
        </w:tc>
        <w:tc>
          <w:tcPr>
            <w:tcW w:w="880" w:type="dxa"/>
            <w:vAlign w:val="bottom"/>
            <w:gridSpan w:val="2"/>
            <w:shd w:val="clear" w:color="auto" w:fill="CCEEFF"/>
          </w:tcPr>
          <w:p>
            <w:pPr>
              <w:jc w:val="right"/>
              <w:ind w:right="202"/>
              <w:spacing w:after="0"/>
              <w:rPr>
                <w:sz w:val="20"/>
                <w:szCs w:val="20"/>
                <w:color w:val="auto"/>
              </w:rPr>
            </w:pPr>
            <w:r>
              <w:rPr>
                <w:rFonts w:ascii="Arial" w:cs="Arial" w:eastAsia="Arial" w:hAnsi="Arial"/>
                <w:sz w:val="13"/>
                <w:szCs w:val="13"/>
                <w:color w:val="auto"/>
              </w:rPr>
              <w:t>(83,855)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28,719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256,732</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124,211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132,521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ind w:left="120"/>
              <w:spacing w:after="0"/>
              <w:rPr>
                <w:sz w:val="20"/>
                <w:szCs w:val="20"/>
                <w:color w:val="auto"/>
              </w:rPr>
            </w:pPr>
            <w:r>
              <w:rPr>
                <w:rFonts w:ascii="Arial" w:cs="Arial" w:eastAsia="Arial" w:hAnsi="Arial"/>
                <w:sz w:val="13"/>
                <w:szCs w:val="13"/>
                <w:color w:val="auto"/>
              </w:rPr>
              <w:t>Deposits at foreign office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29,642</w:t>
            </w: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28,553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1,089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58,226</w:t>
            </w:r>
          </w:p>
        </w:tc>
        <w:tc>
          <w:tcPr>
            <w:tcW w:w="2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(6,908)</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65,134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46,229</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43,484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69,997</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(12,406)</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Long-term borrowings</w:t>
            </w:r>
          </w:p>
        </w:tc>
        <w:tc>
          <w:tcPr>
            <w:tcW w:w="1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127,342</w:t>
            </w: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132,210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(4,868)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53,869</w:t>
            </w:r>
          </w:p>
        </w:tc>
        <w:tc>
          <w:tcPr>
            <w:tcW w:w="2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(18,229)</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72,098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interest expense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198,024</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502,201</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80" w:right="520" w:hanging="239"/>
        <w:spacing w:after="0" w:line="268" w:lineRule="auto"/>
        <w:tabs>
          <w:tab w:leader="none" w:pos="118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3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4" w:lineRule="exact"/>
        <w:rPr>
          <w:sz w:val="20"/>
          <w:szCs w:val="20"/>
          <w:color w:val="auto"/>
        </w:rPr>
      </w:pPr>
    </w:p>
    <w:p>
      <w:pPr>
        <w:ind w:left="680" w:right="20"/>
        <w:spacing w:after="0" w:line="321" w:lineRule="auto"/>
        <w:rPr>
          <w:sz w:val="20"/>
          <w:szCs w:val="20"/>
          <w:color w:val="auto"/>
        </w:rPr>
      </w:pPr>
      <w:r>
        <w:rPr>
          <w:rFonts w:ascii="Arial" w:cs="Arial" w:eastAsia="Arial" w:hAnsi="Arial"/>
          <w:sz w:val="12"/>
          <w:szCs w:val="12"/>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98" w:lineRule="exact"/>
        <w:rPr>
          <w:sz w:val="20"/>
          <w:szCs w:val="20"/>
          <w:color w:val="auto"/>
        </w:rPr>
      </w:pPr>
    </w:p>
    <w:p>
      <w:pPr>
        <w:ind w:left="10560"/>
        <w:spacing w:after="0"/>
        <w:rPr>
          <w:sz w:val="20"/>
          <w:szCs w:val="20"/>
          <w:color w:val="auto"/>
        </w:rPr>
      </w:pPr>
      <w:r>
        <w:rPr>
          <w:rFonts w:ascii="Arial" w:cs="Arial" w:eastAsia="Arial" w:hAnsi="Arial"/>
          <w:sz w:val="8"/>
          <w:szCs w:val="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firstLine="599"/>
        <w:spacing w:after="0" w:line="288" w:lineRule="auto"/>
        <w:rPr>
          <w:sz w:val="20"/>
          <w:szCs w:val="20"/>
          <w:color w:val="auto"/>
        </w:rPr>
      </w:pPr>
      <w:r>
        <w:rPr>
          <w:rFonts w:ascii="Arial" w:cs="Arial" w:eastAsia="Arial" w:hAnsi="Arial"/>
          <w:sz w:val="12"/>
          <w:szCs w:val="12"/>
          <w:color w:val="auto"/>
        </w:rPr>
        <w:t>Interest Rate Risk — The Company is exposed to interest rate risk in its core banking activities of lending and deposit-taking since assets and liabilities reprice at different times and by different amounts as interest rates change. As a result, net interest income, which represents the largest revenue source for the Company, is subject to the effects of changing interest rates. The Company closely monitors the sensitivity of net interest income to changes in interest rates and attempts to limit the variability of net interest income as interest rates change. The Company makes use of both on- and off-balance sheet financial instruments to mitigate exposure to interest rate risk. Possible actions to mitigate such risk include, but are not limited to, changes in the pricing of loan and deposit products, modifying the composition of earning assets and interest-bearing liabilities, and adding to, modifying or terminating interest rate swap agreements or other financial instruments used for interest rate risk management purposes.</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Liquidity Risk —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 The Company obtains funding through deposits and various short-term and long-term wholesale borrowings, including federal funds purchased and securities sold under agreements to repurchase, brokered certificates of deposit, offshore branch deposits and borrowings from the Federal Home Loan Bank of New York and others. Should the Company experience a substantial deterioration in its financial condition or its debt ratings, or should the availability of funding become restricted due to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To mitigate such risk, the Company maintains available lines of credit with the Federal Reserve Bank of New York and the Federal Home Loan Bank of New York that are secured by loans and investment securities. On an ongoing basis, management closely monitors the Company’s liquidity position for compliance with internal policies and believes that available sources of liquidity are adequate to meet funding needs in the normal course of business.</w:t>
      </w:r>
    </w:p>
    <w:p>
      <w:pPr>
        <w:spacing w:after="0" w:line="2" w:lineRule="exact"/>
        <w:rPr>
          <w:sz w:val="20"/>
          <w:szCs w:val="20"/>
          <w:color w:val="auto"/>
        </w:rPr>
      </w:pPr>
    </w:p>
    <w:p>
      <w:pPr>
        <w:ind w:left="680" w:firstLine="599"/>
        <w:spacing w:after="0" w:line="289" w:lineRule="auto"/>
        <w:rPr>
          <w:sz w:val="20"/>
          <w:szCs w:val="20"/>
          <w:color w:val="auto"/>
        </w:rPr>
      </w:pPr>
      <w:r>
        <w:rPr>
          <w:rFonts w:ascii="Arial" w:cs="Arial" w:eastAsia="Arial" w:hAnsi="Arial"/>
          <w:sz w:val="12"/>
          <w:szCs w:val="12"/>
          <w:color w:val="auto"/>
        </w:rPr>
        <w:t>Credit Risk — Factors that influence the Company’s credit loss experience include overall economic conditions affecting businesses and consumers, in general, and, due to the size of the Company’s real estate loan portfolio and mortgage-related investment securities portfolio, real estate valuations, in particular. Other factors that can influence the Company’s credit loss experience, in addition to general economic conditions and borrowers’ specific abilities to repay loans, include: (i) the impact of declining real estate values on the Company’s portfolio of loans to residential real estate builders and developers; (ii) the repayment performance associated with the Company’s portfolio of alternative residential mortgage loans and residential and other mortgage loans supporting mortgage-related securities;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many other loan types. Although the national economy experienced moderate growth in 2007 with inflation being reasonably well contained, concerns exist about the level and volatility of energy prices; a weakening housing market; the troubled state of financial and credit markets; Federal Reserve positioning of monetary policy; sluggish job creation and rising unemployment, which could cause consumer spending to slow; the underlying impact on businesses’ operations and abilities to repay loans should consumer spending slow; continued stagnant population growth in the upstate New York and central Pennsylvania regions; and continued slowing of domestic automobile sales. All of these factors can affect the Company’s credit loss experience. To help manage credit risk, the Company maintains a detailed credit policy and utilizes various committees that include members of senior management to approve significant extensions of credit. The Company also maintains a credit review department that regularly reviews the</w:t>
      </w:r>
    </w:p>
    <w:p>
      <w:pPr>
        <w:spacing w:after="0" w:line="28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92" w:lineRule="auto"/>
        <w:rPr>
          <w:sz w:val="20"/>
          <w:szCs w:val="20"/>
          <w:color w:val="auto"/>
        </w:rPr>
      </w:pPr>
      <w:r>
        <w:rPr>
          <w:rFonts w:ascii="Arial" w:cs="Arial" w:eastAsia="Arial" w:hAnsi="Arial"/>
          <w:sz w:val="12"/>
          <w:szCs w:val="12"/>
          <w:color w:val="auto"/>
        </w:rPr>
        <w:t>Company’s loan and lease portfolios to ensure compliance with established credit policy. The Company maintains an allowance for credit losses that in management’s judgment is adequate to absorb losses inherent in the loan and lease portfolio. In addition, the Company regularly reviews its investment securities for declines in value below amortized cost that might be characterized as “other than temporary.” Any declines in value below amortized cost that are deemed to be “other than temporary” are charged to earnings.</w:t>
      </w:r>
    </w:p>
    <w:p>
      <w:pPr>
        <w:ind w:left="680" w:right="80" w:firstLine="599"/>
        <w:spacing w:after="0" w:line="244" w:lineRule="auto"/>
        <w:rPr>
          <w:sz w:val="20"/>
          <w:szCs w:val="20"/>
          <w:color w:val="auto"/>
        </w:rPr>
      </w:pPr>
      <w:r>
        <w:rPr>
          <w:rFonts w:ascii="Arial" w:cs="Arial" w:eastAsia="Arial" w:hAnsi="Arial"/>
          <w:sz w:val="14"/>
          <w:szCs w:val="14"/>
          <w:color w:val="auto"/>
        </w:rPr>
        <w:t>Supervision and Regulation — The Company is subject to extensive state and federal laws and regulations governing the banking industry, in particular, and public companies, in general, including laws related to corporate taxation. Many of those laws and regulations are described in Part I, Item 1 “Business.” Changes in those or other laws and regulations, or the degree of the Company’s compliance with those laws and regulations as judged by any of several regulators, including tax authorities, that oversee the Company, could have a significant effect on the Company’s operations and its financial results.</w:t>
      </w:r>
    </w:p>
    <w:p>
      <w:pPr>
        <w:spacing w:after="0" w:line="1"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2" w:lineRule="exact"/>
        <w:rPr>
          <w:sz w:val="20"/>
          <w:szCs w:val="20"/>
          <w:color w:val="auto"/>
        </w:rPr>
      </w:pPr>
    </w:p>
    <w:p>
      <w:pPr>
        <w:ind w:left="680" w:right="200" w:firstLine="599"/>
        <w:spacing w:after="0" w:line="278" w:lineRule="auto"/>
        <w:rPr>
          <w:sz w:val="20"/>
          <w:szCs w:val="20"/>
          <w:color w:val="auto"/>
        </w:rPr>
      </w:pPr>
      <w:r>
        <w:rPr>
          <w:rFonts w:ascii="Arial" w:cs="Arial" w:eastAsia="Arial" w:hAnsi="Arial"/>
          <w:sz w:val="13"/>
          <w:szCs w:val="13"/>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Financial Accounting Standards Board or other regulatory agencies.</w:t>
      </w:r>
    </w:p>
    <w:p>
      <w:pPr>
        <w:spacing w:after="0" w:line="12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94"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Both M&amp;T and M&amp;T Bank maintain their executive offices at One M&amp;T Plaza in Buffalo, New York. This twenty-one story headquarters building, containing approximately 278,000 rentable square feet of space, is owned in fee by M&amp;T Bank and was completed in 1967. M&amp;T, M&amp;T Bank and their subsidiaries occupy approximately 88% of the building and the remainder is leased to non-affiliated tenants. At December 31, 2007, the cost of this property (including improvements subsequent to the initial construction), net of accumulated depreciation, was $6.2 million.</w:t>
      </w:r>
    </w:p>
    <w:p>
      <w:pPr>
        <w:ind w:left="680" w:right="80" w:firstLine="599"/>
        <w:spacing w:after="0" w:line="244" w:lineRule="auto"/>
        <w:rPr>
          <w:sz w:val="20"/>
          <w:szCs w:val="20"/>
          <w:color w:val="auto"/>
        </w:rPr>
      </w:pPr>
      <w:r>
        <w:rPr>
          <w:rFonts w:ascii="Arial" w:cs="Arial" w:eastAsia="Arial" w:hAnsi="Arial"/>
          <w:sz w:val="14"/>
          <w:szCs w:val="14"/>
          <w:color w:val="auto"/>
        </w:rPr>
        <w:t>In September 1992, M&amp;T Bank acquired an additional facility in Buffalo, New York with approximately 365,000 rentable square feet of space. Approximately 89% of this facility, known as M&amp;T Center, is occupied by M&amp;T Bank and its subsidiaries, with the remainder leased to non-affiliated tenants. At December 31, 2007, the cost of this building (including improvements subsequent to acquisition), net of accumulated depreciation, was $12.1 million.</w:t>
      </w:r>
    </w:p>
    <w:p>
      <w:pPr>
        <w:spacing w:after="0" w:line="1" w:lineRule="exact"/>
        <w:rPr>
          <w:sz w:val="20"/>
          <w:szCs w:val="20"/>
          <w:color w:val="auto"/>
        </w:rPr>
      </w:pPr>
    </w:p>
    <w:p>
      <w:pPr>
        <w:ind w:left="680" w:right="120" w:firstLine="599"/>
        <w:spacing w:after="0" w:line="244" w:lineRule="auto"/>
        <w:rPr>
          <w:sz w:val="20"/>
          <w:szCs w:val="20"/>
          <w:color w:val="auto"/>
        </w:rPr>
      </w:pPr>
      <w:r>
        <w:rPr>
          <w:rFonts w:ascii="Arial" w:cs="Arial" w:eastAsia="Arial" w:hAnsi="Arial"/>
          <w:sz w:val="14"/>
          <w:szCs w:val="14"/>
          <w:color w:val="auto"/>
        </w:rPr>
        <w:t>M&amp;T Bank also owns and occupies two separate facilities in the Buffalo area which support certain back-office and operations functions of the Company. The total square footage of these facilities approximates 215,000 square feet and their combined cost (including improvements subsequent to acquisition), net of accumulated depreciation, was $17.3 million at December 31, 2007.</w:t>
      </w:r>
    </w:p>
    <w:p>
      <w:pPr>
        <w:spacing w:after="0" w:line="1"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M&amp;T Bank also owns a facility in Syracuse, New York with approximately 150,000 rentable square feet of space. Approximately 43% of this facility is occupied by M&amp;T Bank. At December 31, 2007, the cost of this building (including improvements subsequent to acquisition), net of accumulated depreciation, was $7.9 million.</w:t>
      </w:r>
    </w:p>
    <w:p>
      <w:pPr>
        <w:ind w:left="680" w:right="500" w:firstLine="599"/>
        <w:spacing w:after="0" w:line="293" w:lineRule="auto"/>
        <w:rPr>
          <w:sz w:val="20"/>
          <w:szCs w:val="20"/>
          <w:color w:val="auto"/>
        </w:rPr>
      </w:pPr>
      <w:r>
        <w:rPr>
          <w:rFonts w:ascii="Arial" w:cs="Arial" w:eastAsia="Arial" w:hAnsi="Arial"/>
          <w:sz w:val="13"/>
          <w:szCs w:val="13"/>
          <w:color w:val="auto"/>
        </w:rPr>
        <w:t>M&amp;T Bank also owns facilities in Harrisburg, Pennsylvania and Millsboro, Delaware with approximately 206,000 and 322,000 rentable square feet of space, respectively. M&amp;T Bank occupies approximately 38% and 84% of these respective facilities. At December 31, 2007, the cost of these buildings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(including improvements subsequent to acquisition), net of accumulated depreciation, was $12.8 million and $7.7 million, respectively.</w:t>
      </w:r>
    </w:p>
    <w:p>
      <w:pPr>
        <w:spacing w:after="0" w:line="15" w:lineRule="exact"/>
        <w:rPr>
          <w:sz w:val="20"/>
          <w:szCs w:val="20"/>
          <w:color w:val="auto"/>
        </w:rPr>
      </w:pPr>
    </w:p>
    <w:p>
      <w:pPr>
        <w:ind w:left="680" w:right="60" w:firstLine="599"/>
        <w:spacing w:after="0" w:line="278" w:lineRule="auto"/>
        <w:rPr>
          <w:sz w:val="20"/>
          <w:szCs w:val="20"/>
          <w:color w:val="auto"/>
        </w:rPr>
      </w:pPr>
      <w:r>
        <w:rPr>
          <w:rFonts w:ascii="Arial" w:cs="Arial" w:eastAsia="Arial" w:hAnsi="Arial"/>
          <w:sz w:val="13"/>
          <w:szCs w:val="13"/>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705 domestic banking offices of the Registrant’s subsidiary banks at December 31, 2007, 293 are owned in fee and 412 are leased.</w:t>
      </w:r>
    </w:p>
    <w:p>
      <w:pPr>
        <w:spacing w:after="0" w:line="12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94" w:lineRule="exact"/>
        <w:rPr>
          <w:sz w:val="20"/>
          <w:szCs w:val="20"/>
          <w:color w:val="auto"/>
        </w:rPr>
      </w:pPr>
    </w:p>
    <w:p>
      <w:pPr>
        <w:ind w:left="680" w:right="60"/>
        <w:spacing w:after="0" w:line="265" w:lineRule="auto"/>
        <w:rPr>
          <w:sz w:val="20"/>
          <w:szCs w:val="20"/>
          <w:color w:val="auto"/>
        </w:rPr>
      </w:pPr>
      <w:r>
        <w:rPr>
          <w:rFonts w:ascii="Arial" w:cs="Arial" w:eastAsia="Arial" w:hAnsi="Arial"/>
          <w:sz w:val="13"/>
          <w:szCs w:val="13"/>
          <w:color w:val="auto"/>
        </w:rPr>
        <w:t>In October 2007, Visa completed a reorganization in contemplation of its initial public offering (“IPO”) expected to occur in 2008. As part of that reorganization, M&amp;T Bank and other member banks of Visa received shares of common stock of Visa, Inc. Those banks are also obligated under various agreements with Visa to share in losses stemming from certain litigation (“Covered Litigation”). M&amp;T Bank is not a named defendant in any of the Covered Litigation. Although Visa is expected to set aside a portion of the proceeds from its IPO in an escrow account to fund any judgments or settlements that may arise out of the Covered Litigation, recent guidance from the Securities and Exchange Commission (“SEC”) indicates that Visa member banks should record a liability for the fair value of the contingent obligation to Visa. The estimation of the Company’s proportionate share of any potential losses related to the Covered Litigation is extremely difficult and involves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Inc.</w:t>
      </w:r>
    </w:p>
    <w:p>
      <w:pPr>
        <w:spacing w:after="0" w:line="4" w:lineRule="exact"/>
        <w:rPr>
          <w:sz w:val="20"/>
          <w:szCs w:val="20"/>
          <w:color w:val="auto"/>
        </w:rPr>
      </w:pPr>
    </w:p>
    <w:p>
      <w:pPr>
        <w:ind w:left="680" w:right="20" w:firstLine="599"/>
        <w:spacing w:after="0" w:line="248"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3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 matters were submitted to a vote of M&amp;T’s security holders during the fourth quarter of 2007.</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19" w:lineRule="exact"/>
        <w:rPr>
          <w:sz w:val="20"/>
          <w:szCs w:val="20"/>
          <w:color w:val="auto"/>
        </w:rPr>
      </w:pPr>
    </w:p>
    <w:p>
      <w:pPr>
        <w:jc w:val="both"/>
        <w:ind w:left="680" w:right="20"/>
        <w:spacing w:after="0" w:line="244" w:lineRule="auto"/>
        <w:rPr>
          <w:sz w:val="20"/>
          <w:szCs w:val="20"/>
          <w:color w:val="auto"/>
        </w:rPr>
      </w:pPr>
      <w:r>
        <w:rPr>
          <w:rFonts w:ascii="Arial" w:cs="Arial" w:eastAsia="Arial" w:hAnsi="Arial"/>
          <w:sz w:val="14"/>
          <w:szCs w:val="14"/>
          <w:color w:val="auto"/>
        </w:rPr>
        <w:t>Information concerning the Registrant’s executive officers is presented below as of February 20, 2008. The year the officer was first appointed to the indicated position with the Registrant or its subsidiaries is shown parenthetically. In the case of each corporation noted below, officers’ terms run until the first meeting of the board of directors after such corporation’s annual meeting, which in the case of the Registrant takes place immediately following the Annual Meeting of Stockholders, and until their successors are elected and qualified.</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Robert G. Wilmers, age 73, is chief executive officer (2007), chairman of the board (2000) and a director (1982) of the Registrant. From April 1998 until July 2000, he served as president and chief executive officer of the Registrant, and from July 2000 until June 2005, he served as chairman, president (1988)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left="680" w:firstLine="599"/>
        <w:spacing w:after="0" w:line="248" w:lineRule="auto"/>
        <w:rPr>
          <w:sz w:val="20"/>
          <w:szCs w:val="20"/>
          <w:color w:val="auto"/>
        </w:rPr>
      </w:pPr>
      <w:r>
        <w:rPr>
          <w:rFonts w:ascii="Arial" w:cs="Arial" w:eastAsia="Arial" w:hAnsi="Arial"/>
          <w:sz w:val="14"/>
          <w:szCs w:val="14"/>
          <w:color w:val="auto"/>
        </w:rPr>
        <w:t>Michael P. Pinto, age 52, is a vice chairman (2007) and a director (2003) of the Registrant. Previously, he was an executive vice president of the Registrant (1997). He is a vice chairman and a director (2003) of M&amp;T Bank and is the chairman and chief executive officer of M&amp;T Bank’s Mid-Atlantic Division (2005). Prior to April 2005, Mr. Pinto was the chief financial officer of the Registrant (1997) and M&amp;T Bank (1996), and he oversaw the Company’s Finance Division, Technology and Banking Operations Division, Corporate Services Group, Treasury Division and General Counsel’s Office. Mr. Pinto</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53" w:lineRule="auto"/>
        <w:rPr>
          <w:sz w:val="20"/>
          <w:szCs w:val="20"/>
          <w:color w:val="auto"/>
        </w:rPr>
      </w:pPr>
      <w:r>
        <w:rPr>
          <w:rFonts w:ascii="Arial" w:cs="Arial" w:eastAsia="Arial" w:hAnsi="Arial"/>
          <w:sz w:val="14"/>
          <w:szCs w:val="14"/>
          <w:color w:val="auto"/>
        </w:rPr>
        <w:t>is a director of M&amp;T Investment (2004). He is an executive vice president (1996) and a director (1998) of M&amp;T Bank, N.A. Mr. Pinto is chairman of the board and a director of MTB Investment Advisors (2006).</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Mark J. Czarnecki, age 52, is president and a director (2007) of the Registrant and president and a director (2007) of M&amp;T Bank. Previously, he was an executive vice president of the Registrant (1999) and M&amp;T Bank (1997) and was responsible for the M&amp;T Investment Group and the Company’s Retail Banking network. Mr. Czarnecki is chairman of the board (2007) and a director (1999) of M&amp;T Securities and chairman of the board, president and chief executive officer (2007) and a director (2005) of M&amp;T Bank, N.A.</w:t>
      </w:r>
    </w:p>
    <w:p>
      <w:pPr>
        <w:spacing w:after="0" w:line="1"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James J. Beardi, age 61, is an executive vice president (2003) of the Registrant and M&amp;T Bank, and is responsible for managing the Company’s Corporate Services, Central Operations, Automobile Floor Plan and Lending Services Groups. Previously, Mr. Beardi was in charge of the Company’s Residential Mortgage business and the General Counsel’s Office. He was president and a director of M&amp;T Mortgage (1991) until its merger into M&amp;T Bank on January 1, 2007. Mr. Beardi served as senior vice president of M&amp;T Bank from 1989 to 2003.</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Robert J. Bojdak, age 52, is an executive vice president and chief credit officer (2004) of the Registrant and M&amp;T Bank. From April 2002 to April 2004, Mr. Bojdak served as senior vice president and credit deputy for M&amp;T Bank. Previous to joining M&amp;T Bank in 2002, Mr. Bojdak served in several senior management positions at KeyCorp., most recently as executive vice president and regional credit executive. He is an executive vice president and a director of M&amp;T Bank, N.A. (2004) and M&amp;T Credit (2004).</w:t>
      </w:r>
    </w:p>
    <w:p>
      <w:pPr>
        <w:spacing w:after="0" w:line="1" w:lineRule="exact"/>
        <w:rPr>
          <w:sz w:val="20"/>
          <w:szCs w:val="20"/>
          <w:color w:val="auto"/>
        </w:rPr>
      </w:pPr>
    </w:p>
    <w:p>
      <w:pPr>
        <w:ind w:left="680" w:right="380" w:firstLine="599"/>
        <w:spacing w:after="0" w:line="244" w:lineRule="auto"/>
        <w:rPr>
          <w:sz w:val="20"/>
          <w:szCs w:val="20"/>
          <w:color w:val="auto"/>
        </w:rPr>
      </w:pPr>
      <w:r>
        <w:rPr>
          <w:rFonts w:ascii="Arial" w:cs="Arial" w:eastAsia="Arial" w:hAnsi="Arial"/>
          <w:sz w:val="14"/>
          <w:szCs w:val="14"/>
          <w:color w:val="auto"/>
        </w:rPr>
        <w:t>Stephen J. Braunscheidel, age 51,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spacing w:after="0" w:line="1"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Atwood Collins, III, age 61, is an executive vice president of the Registrant (1997) and M&amp;T Bank (1996), and is the president and chief operating officer of M&amp;T Bank’s Mid-Atlantic Division. Mr. Collins is a trustee of M&amp;T Real Estate (1995).</w:t>
      </w:r>
    </w:p>
    <w:p>
      <w:pPr>
        <w:spacing w:after="0" w:line="1"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3"/>
          <w:szCs w:val="13"/>
          <w:color w:val="auto"/>
        </w:rPr>
        <w:t>Richard S. Gold, age 47, is an executive vice president of the Registrant (2007) and M&amp;T Bank (2006) and is responsible for managing the Company’s Residential Mortgage and Consumer Lending Divisions. Mr. Gold served as senior vice president of M&amp;T Bank from 2000 to 2006, most recently responsible for the Retail Banking Division, including M&amp;T Securities. Mr. Gold is an executive vice president of M&amp;T Bank, N.A. (2006) and a director of M&amp;T Securities (2002).</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Brian E. Hickey, age 55, is an executive vice president of the Registrant (1997) and M&amp;T Bank (1996). He is a member of the Directors Advisory Council (1994) of the Rochester Division of M&amp;T Bank. Mr. Hickey is responsible for managing all of the non-retail segments in the Western New York and the Northern and Central Pennsylvania regions.</w:t>
      </w:r>
    </w:p>
    <w:p>
      <w:pPr>
        <w:spacing w:after="0" w:line="1" w:lineRule="exact"/>
        <w:rPr>
          <w:sz w:val="20"/>
          <w:szCs w:val="20"/>
          <w:color w:val="auto"/>
        </w:rPr>
      </w:pPr>
    </w:p>
    <w:p>
      <w:pPr>
        <w:jc w:val="both"/>
        <w:ind w:left="680" w:right="80" w:firstLine="599"/>
        <w:spacing w:after="0" w:line="263" w:lineRule="auto"/>
        <w:rPr>
          <w:sz w:val="20"/>
          <w:szCs w:val="20"/>
          <w:color w:val="auto"/>
        </w:rPr>
      </w:pPr>
      <w:r>
        <w:rPr>
          <w:rFonts w:ascii="Arial" w:cs="Arial" w:eastAsia="Arial" w:hAnsi="Arial"/>
          <w:sz w:val="13"/>
          <w:szCs w:val="13"/>
          <w:color w:val="auto"/>
        </w:rPr>
        <w:t>René F. Jones, age 43, is an executive vice president (2006) and chief financial officer (2005) of the Registrant and M&amp;T Bank.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M&amp;T Bank, N.A., and he is a trustee of M&amp;T Real Estate (2005). He is a director of M&amp;T Investment (2005), M&amp;T Insurance Agency (2007) and M&amp;T Securities (2007).</w:t>
      </w:r>
    </w:p>
    <w:p>
      <w:pPr>
        <w:spacing w:after="0" w:line="1"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Adam C. Kugler, age 50, is an executive vice president and treasurer (1997) of the Registrant and M&amp;T Bank, and is in charge of the Company’s Treasury Division. Mr. Kugler is chairman of the board and a director of M&amp;T Investment (2004), chairman of the board, president and a trustee of M&amp;T Real Estate (2007), a director of M&amp;T Securities (1997) and is an executive vice president, treasurer and a director of M&amp;T Bank, N.A. (1997).</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Kevin J. Pearson, age 46, is an executive vice president (2002) of the Registrant and M&amp;T Bank. He is responsible for managing all of the non-retail segments in the New York City, Philadelphia, Connecticut, New Jersey and Tarrytown markets of M&amp;T Bank, as well as the Company’s commercial real estate business, Commercial Marketing and Treasury Management. Mr. Pearson is an executive vice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of M&amp;T Real Estate (2003) and a director of M&amp;T Realty Capital (2003). He served as senior vice president of M&amp;T Bank from 2000 to 2002.</w:t>
      </w:r>
    </w:p>
    <w:p>
      <w:pPr>
        <w:spacing w:after="0" w:line="15" w:lineRule="exact"/>
        <w:rPr>
          <w:sz w:val="20"/>
          <w:szCs w:val="20"/>
          <w:color w:val="auto"/>
        </w:rPr>
      </w:pPr>
    </w:p>
    <w:p>
      <w:pPr>
        <w:ind w:left="680" w:right="80" w:firstLine="599"/>
        <w:spacing w:after="0" w:line="248" w:lineRule="auto"/>
        <w:rPr>
          <w:sz w:val="20"/>
          <w:szCs w:val="20"/>
          <w:color w:val="auto"/>
        </w:rPr>
      </w:pPr>
      <w:r>
        <w:rPr>
          <w:rFonts w:ascii="Arial" w:cs="Arial" w:eastAsia="Arial" w:hAnsi="Arial"/>
          <w:sz w:val="14"/>
          <w:szCs w:val="14"/>
          <w:color w:val="auto"/>
        </w:rPr>
        <w:t>Michele D. Trolli, age 46, is an executive vice president (2005) of the Registrant and M&amp;T Bank. She is chief information officer and is in charge of the Company’s Retail Banking Division as well as the Company’s Technology and Global Sourcing groups. Previously, Ms. Trolli was in charge of the Technology and Banking Operations Division and the Corporate Services Group of M&amp;T Bank. Ms. Trolli served as senior director, global systems support, with Franklin Resources, Inc., a worldwide investment management company, from May 2000 through December 2004.</w:t>
      </w:r>
    </w:p>
    <w:p>
      <w:pPr>
        <w:spacing w:after="0" w:line="177"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PART II</w:t>
      </w:r>
    </w:p>
    <w:p>
      <w:pPr>
        <w:spacing w:after="0" w:line="16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ind w:left="680" w:right="260"/>
        <w:spacing w:after="0" w:line="250" w:lineRule="auto"/>
        <w:rPr>
          <w:sz w:val="20"/>
          <w:szCs w:val="20"/>
          <w:color w:val="auto"/>
        </w:rPr>
      </w:pPr>
      <w:r>
        <w:rPr>
          <w:rFonts w:ascii="Arial" w:cs="Arial" w:eastAsia="Arial" w:hAnsi="Arial"/>
          <w:sz w:val="14"/>
          <w:szCs w:val="14"/>
          <w:color w:val="auto"/>
        </w:rPr>
        <w:t>The Registrant’s common stock is traded under the symbol MTB on the New York Stock Exchange. See cross-reference sheet for disclosures incorporated elsewhere in this Annual Report on Form 10-K for market prices of the Registrant’s common stock, approximate number of common stockholders at year-end, frequency and amounts of dividends on common stock and restrictions on the payment of dividends.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2007, M&amp;T did not issue any shares of its common stock that were not registered under the Securities Act of 1933.</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9" w:lineRule="exact"/>
        <w:rPr>
          <w:sz w:val="20"/>
          <w:szCs w:val="20"/>
          <w:color w:val="auto"/>
        </w:rPr>
      </w:pPr>
    </w:p>
    <w:p>
      <w:pPr>
        <w:ind w:left="680"/>
        <w:spacing w:after="0" w:line="269" w:lineRule="auto"/>
        <w:rPr>
          <w:sz w:val="20"/>
          <w:szCs w:val="20"/>
          <w:color w:val="auto"/>
        </w:rPr>
      </w:pPr>
      <w:r>
        <w:rPr>
          <w:rFonts w:ascii="Arial" w:cs="Arial" w:eastAsia="Arial" w:hAnsi="Arial"/>
          <w:sz w:val="13"/>
          <w:szCs w:val="13"/>
          <w:color w:val="auto"/>
        </w:rPr>
        <w:t>The following table provides information as of December 31, 2007 with respect to shares of common stock that may be issued under M&amp;T Bank Corporation’s existing equity compensation plans. M&amp;T Bank Corporation’s existing equity compensation plans are the M&amp;T Bank Corporation 1983 Stock Option Plan (the “1983 Stock Option Plan”); the M&amp;T Bank Corporation 2001 Stock Option Plan (the “2001 Stock Option Plan”); the M&amp;T Bank Corporation 2005 Incentive Compensation Plan (the “2005 Incentive Compensation Plan”), which replaced the 2001 Stock Option Plan; and the M&amp;T Bank Corporation Employee Stock Purchase Plan (the “Employee Stock Purchase Plan”), each of which has been previously approved by stockholders, and the M&amp;T Bank Corporation Directors’ Stock Plan (the “Directors’ Stock Plan”) and the M&amp;T Bank Corporation Deferred Bonus Plan (the “Deferred Bonus Plan”), each of which did not require stockholder approval.</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both"/>
        <w:ind w:left="680" w:right="300" w:firstLine="599"/>
        <w:spacing w:after="0" w:line="287" w:lineRule="auto"/>
        <w:rPr>
          <w:sz w:val="20"/>
          <w:szCs w:val="20"/>
          <w:color w:val="auto"/>
        </w:rPr>
      </w:pPr>
      <w:r>
        <w:rPr>
          <w:rFonts w:ascii="Arial" w:cs="Arial" w:eastAsia="Arial" w:hAnsi="Arial"/>
          <w:sz w:val="13"/>
          <w:szCs w:val="13"/>
          <w:color w:val="auto"/>
        </w:rPr>
        <w:t>The table does not include information with respect to shares of common stock subject to outstanding options and rights assumed by M&amp;T Bank Corporation in connection with mergers and acquisitions of the companies that originally granted those options and rights. Footnote (1) to the table sets forth the total number of shares of common stock issuable upon the exercise of such assumed options and rights as of December 31, 2007, and their weighted-average exercise price.</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Number of Securities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Remaining Available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83"/>
              </w:rPr>
              <w:t>Securities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for Future Issuance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86"/>
              </w:rPr>
              <w:t>to be Issued Upon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8"/>
              <w:spacing w:after="0"/>
              <w:rPr>
                <w:sz w:val="20"/>
                <w:szCs w:val="20"/>
                <w:color w:val="auto"/>
              </w:rPr>
            </w:pPr>
            <w:r>
              <w:rPr>
                <w:rFonts w:ascii="Arial" w:cs="Arial" w:eastAsia="Arial" w:hAnsi="Arial"/>
                <w:sz w:val="12"/>
                <w:szCs w:val="12"/>
                <w:b w:val="1"/>
                <w:bCs w:val="1"/>
                <w:color w:val="auto"/>
                <w:w w:val="85"/>
              </w:rPr>
              <w:t>Weighted-Average</w:t>
            </w:r>
          </w:p>
        </w:tc>
        <w:tc>
          <w:tcPr>
            <w:tcW w:w="2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Under Equity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84"/>
              </w:rPr>
              <w:t>Exercise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8"/>
              <w:spacing w:after="0"/>
              <w:rPr>
                <w:sz w:val="20"/>
                <w:szCs w:val="20"/>
                <w:color w:val="auto"/>
              </w:rPr>
            </w:pPr>
            <w:r>
              <w:rPr>
                <w:rFonts w:ascii="Arial" w:cs="Arial" w:eastAsia="Arial" w:hAnsi="Arial"/>
                <w:sz w:val="12"/>
                <w:szCs w:val="12"/>
                <w:b w:val="1"/>
                <w:bCs w:val="1"/>
                <w:color w:val="auto"/>
                <w:w w:val="84"/>
              </w:rPr>
              <w:t>Exercise Price of</w:t>
            </w:r>
          </w:p>
        </w:tc>
        <w:tc>
          <w:tcPr>
            <w:tcW w:w="280" w:type="dxa"/>
            <w:vAlign w:val="bottom"/>
          </w:tcPr>
          <w:p>
            <w:pPr>
              <w:spacing w:after="0"/>
              <w:rPr>
                <w:sz w:val="12"/>
                <w:szCs w:val="1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Compensation Plans</w:t>
            </w: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Plan Category</w:t>
            </w: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87"/>
              </w:rPr>
              <w:t>Outstanding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8"/>
              <w:spacing w:after="0"/>
              <w:rPr>
                <w:sz w:val="20"/>
                <w:szCs w:val="20"/>
                <w:color w:val="auto"/>
              </w:rPr>
            </w:pPr>
            <w:r>
              <w:rPr>
                <w:rFonts w:ascii="Arial" w:cs="Arial" w:eastAsia="Arial" w:hAnsi="Arial"/>
                <w:sz w:val="12"/>
                <w:szCs w:val="12"/>
                <w:b w:val="1"/>
                <w:bCs w:val="1"/>
                <w:color w:val="auto"/>
                <w:w w:val="87"/>
              </w:rPr>
              <w:t>Outstanding</w:t>
            </w:r>
          </w:p>
        </w:tc>
        <w:tc>
          <w:tcPr>
            <w:tcW w:w="2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(Excluding Securities</w:t>
            </w:r>
          </w:p>
        </w:tc>
        <w:tc>
          <w:tcPr>
            <w:tcW w:w="0" w:type="dxa"/>
            <w:vAlign w:val="bottom"/>
          </w:tcPr>
          <w:p>
            <w:pPr>
              <w:spacing w:after="0"/>
              <w:rPr>
                <w:sz w:val="1"/>
                <w:szCs w:val="1"/>
                <w:color w:val="auto"/>
              </w:rPr>
            </w:pPr>
          </w:p>
        </w:tc>
      </w:tr>
      <w:tr>
        <w:trPr>
          <w:trHeight w:val="157"/>
        </w:trPr>
        <w:tc>
          <w:tcPr>
            <w:tcW w:w="4800" w:type="dxa"/>
            <w:vAlign w:val="bottom"/>
            <w:gridSpan w:val="3"/>
            <w:vMerge w:val="continue"/>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86"/>
              </w:rPr>
              <w:t>Options or Rights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78"/>
              <w:spacing w:after="0"/>
              <w:rPr>
                <w:sz w:val="20"/>
                <w:szCs w:val="20"/>
                <w:color w:val="auto"/>
              </w:rPr>
            </w:pPr>
            <w:r>
              <w:rPr>
                <w:rFonts w:ascii="Arial" w:cs="Arial" w:eastAsia="Arial" w:hAnsi="Arial"/>
                <w:sz w:val="12"/>
                <w:szCs w:val="12"/>
                <w:b w:val="1"/>
                <w:bCs w:val="1"/>
                <w:color w:val="auto"/>
                <w:w w:val="86"/>
              </w:rPr>
              <w:t>Options or Rights</w:t>
            </w:r>
          </w:p>
        </w:tc>
        <w:tc>
          <w:tcPr>
            <w:tcW w:w="280" w:type="dxa"/>
            <w:vAlign w:val="bottom"/>
          </w:tcPr>
          <w:p>
            <w:pPr>
              <w:spacing w:after="0"/>
              <w:rPr>
                <w:sz w:val="13"/>
                <w:szCs w:val="13"/>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Reflected in Column A)</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83"/>
              </w:rPr>
              <w:t>(B)</w:t>
            </w:r>
          </w:p>
        </w:tc>
        <w:tc>
          <w:tcPr>
            <w:tcW w:w="280" w:type="dxa"/>
            <w:vAlign w:val="bottom"/>
          </w:tcPr>
          <w:p>
            <w:pPr>
              <w:spacing w:after="0"/>
              <w:rPr>
                <w:sz w:val="12"/>
                <w:szCs w:val="12"/>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tcPr>
          <w:p>
            <w:pPr>
              <w:ind w:left="120"/>
              <w:spacing w:after="0"/>
              <w:rPr>
                <w:sz w:val="20"/>
                <w:szCs w:val="20"/>
                <w:color w:val="auto"/>
              </w:rPr>
            </w:pPr>
            <w:r>
              <w:rPr>
                <w:rFonts w:ascii="Arial" w:cs="Arial" w:eastAsia="Arial" w:hAnsi="Arial"/>
                <w:sz w:val="13"/>
                <w:szCs w:val="13"/>
                <w:color w:val="auto"/>
              </w:rPr>
              <w:t>1983 Stock Option Plan</w:t>
            </w:r>
          </w:p>
        </w:tc>
        <w:tc>
          <w:tcPr>
            <w:tcW w:w="1420" w:type="dxa"/>
            <w:vAlign w:val="bottom"/>
          </w:tcPr>
          <w:p>
            <w:pPr>
              <w:jc w:val="right"/>
              <w:spacing w:after="0"/>
              <w:rPr>
                <w:sz w:val="20"/>
                <w:szCs w:val="20"/>
                <w:color w:val="auto"/>
              </w:rPr>
            </w:pPr>
            <w:r>
              <w:rPr>
                <w:rFonts w:ascii="Arial" w:cs="Arial" w:eastAsia="Arial" w:hAnsi="Arial"/>
                <w:sz w:val="13"/>
                <w:szCs w:val="13"/>
                <w:color w:val="auto"/>
              </w:rPr>
              <w:t>2,254,678</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53.98</w:t>
            </w:r>
          </w:p>
        </w:tc>
        <w:tc>
          <w:tcPr>
            <w:tcW w:w="280" w:type="dxa"/>
            <w:vAlign w:val="bottom"/>
          </w:tcPr>
          <w:p>
            <w:pPr>
              <w:spacing w:after="0"/>
              <w:rPr>
                <w:sz w:val="13"/>
                <w:szCs w:val="13"/>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2001 Stock Option Plan</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5,427,947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88.27</w:t>
            </w:r>
          </w:p>
        </w:tc>
        <w:tc>
          <w:tcPr>
            <w:tcW w:w="2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tcPr>
          <w:p>
            <w:pPr>
              <w:ind w:left="120"/>
              <w:spacing w:after="0"/>
              <w:rPr>
                <w:sz w:val="20"/>
                <w:szCs w:val="20"/>
                <w:color w:val="auto"/>
              </w:rPr>
            </w:pPr>
            <w:r>
              <w:rPr>
                <w:rFonts w:ascii="Arial" w:cs="Arial" w:eastAsia="Arial" w:hAnsi="Arial"/>
                <w:sz w:val="13"/>
                <w:szCs w:val="13"/>
                <w:color w:val="auto"/>
              </w:rPr>
              <w:t>2005 Incentive Compensation Plan</w:t>
            </w:r>
          </w:p>
        </w:tc>
        <w:tc>
          <w:tcPr>
            <w:tcW w:w="1420" w:type="dxa"/>
            <w:vAlign w:val="bottom"/>
          </w:tcPr>
          <w:p>
            <w:pPr>
              <w:jc w:val="right"/>
              <w:spacing w:after="0"/>
              <w:rPr>
                <w:sz w:val="20"/>
                <w:szCs w:val="20"/>
                <w:color w:val="auto"/>
              </w:rPr>
            </w:pPr>
            <w:r>
              <w:rPr>
                <w:rFonts w:ascii="Arial" w:cs="Arial" w:eastAsia="Arial" w:hAnsi="Arial"/>
                <w:sz w:val="13"/>
                <w:szCs w:val="13"/>
                <w:color w:val="auto"/>
              </w:rPr>
              <w:t>3,251,063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115.07</w:t>
            </w:r>
          </w:p>
        </w:tc>
        <w:tc>
          <w:tcPr>
            <w:tcW w:w="2080" w:type="dxa"/>
            <w:vAlign w:val="bottom"/>
            <w:gridSpan w:val="2"/>
          </w:tcPr>
          <w:p>
            <w:pPr>
              <w:jc w:val="right"/>
              <w:spacing w:after="0"/>
              <w:rPr>
                <w:sz w:val="20"/>
                <w:szCs w:val="20"/>
                <w:color w:val="auto"/>
              </w:rPr>
            </w:pPr>
            <w:r>
              <w:rPr>
                <w:rFonts w:ascii="Arial" w:cs="Arial" w:eastAsia="Arial" w:hAnsi="Arial"/>
                <w:sz w:val="13"/>
                <w:szCs w:val="13"/>
                <w:color w:val="auto"/>
              </w:rPr>
              <w:t>5,685,802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Employee Stock Purchase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607,045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Directors’ Stock Plan</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3,981</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gridSpan w:val="2"/>
          </w:tcPr>
          <w:p>
            <w:pPr>
              <w:ind w:left="120"/>
              <w:spacing w:after="0"/>
              <w:rPr>
                <w:sz w:val="20"/>
                <w:szCs w:val="20"/>
                <w:color w:val="auto"/>
              </w:rPr>
            </w:pPr>
            <w:r>
              <w:rPr>
                <w:rFonts w:ascii="Arial" w:cs="Arial" w:eastAsia="Arial" w:hAnsi="Arial"/>
                <w:sz w:val="13"/>
                <w:szCs w:val="13"/>
                <w:color w:val="auto"/>
              </w:rPr>
              <w:t>Deferred Bonus Plan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56,630</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61.12</w:t>
            </w:r>
          </w:p>
        </w:tc>
        <w:tc>
          <w:tcPr>
            <w:tcW w:w="280" w:type="dxa"/>
            <w:vAlign w:val="bottom"/>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10,994,299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6,295,260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-1108710</wp:posOffset>
            </wp:positionV>
            <wp:extent cx="2476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19" w:lineRule="exact"/>
        <w:rPr>
          <w:sz w:val="20"/>
          <w:szCs w:val="20"/>
          <w:color w:val="auto"/>
        </w:rPr>
      </w:pPr>
    </w:p>
    <w:p>
      <w:pPr>
        <w:ind w:left="1180" w:right="440" w:hanging="239"/>
        <w:spacing w:after="0" w:line="311" w:lineRule="auto"/>
        <w:tabs>
          <w:tab w:leader="none" w:pos="1180"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As of December 31, 2007, a total of 127,059 shares of M&amp;T common stock were issuable upon exercise of outstanding options or rights assumed by M&amp;T Bank Corporation in connection with merger and acquisition transactions. The weighted-average exercise price of those outstanding options or rights is $62.26 per share.</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Equity compensation plans adopted without the approval of stockholders are described below:</w:t>
      </w:r>
    </w:p>
    <w:p>
      <w:pPr>
        <w:spacing w:after="0" w:line="86" w:lineRule="exact"/>
        <w:rPr>
          <w:sz w:val="20"/>
          <w:szCs w:val="20"/>
          <w:color w:val="auto"/>
        </w:rPr>
      </w:pPr>
    </w:p>
    <w:p>
      <w:pPr>
        <w:ind w:left="680" w:firstLine="599"/>
        <w:spacing w:after="0" w:line="250" w:lineRule="auto"/>
        <w:rPr>
          <w:sz w:val="20"/>
          <w:szCs w:val="20"/>
          <w:color w:val="auto"/>
        </w:rPr>
      </w:pPr>
      <w:r>
        <w:rPr>
          <w:rFonts w:ascii="Arial" w:cs="Arial" w:eastAsia="Arial" w:hAnsi="Arial"/>
          <w:sz w:val="14"/>
          <w:szCs w:val="14"/>
          <w:b w:val="1"/>
          <w:bCs w:val="1"/>
          <w:u w:val="single" w:color="auto"/>
          <w:color w:val="auto"/>
        </w:rPr>
        <w:t>Directors’ Stock Plan.</w:t>
      </w:r>
      <w:r>
        <w:rPr>
          <w:rFonts w:ascii="Arial" w:cs="Arial" w:eastAsia="Arial" w:hAnsi="Arial"/>
          <w:sz w:val="14"/>
          <w:szCs w:val="14"/>
          <w:b w:val="1"/>
          <w:bCs w:val="1"/>
          <w:color w:val="auto"/>
        </w:rPr>
        <w:t xml:space="preserve"> </w:t>
      </w:r>
      <w:r>
        <w:rPr>
          <w:rFonts w:ascii="Arial" w:cs="Arial" w:eastAsia="Arial" w:hAnsi="Arial"/>
          <w:sz w:val="14"/>
          <w:szCs w:val="14"/>
          <w:color w:val="auto"/>
        </w:rPr>
        <w:t>M&amp;T Bank Corporation maintains a plan for non-employee members of the Board of Directors of M&amp;T Bank Corporation and the members</w:t>
      </w:r>
      <w:r>
        <w:rPr>
          <w:rFonts w:ascii="Arial" w:cs="Arial" w:eastAsia="Arial" w:hAnsi="Arial"/>
          <w:sz w:val="14"/>
          <w:szCs w:val="14"/>
          <w:b w:val="1"/>
          <w:bCs w:val="1"/>
          <w:color w:val="auto"/>
        </w:rPr>
        <w:t xml:space="preserve"> </w:t>
      </w:r>
      <w:r>
        <w:rPr>
          <w:rFonts w:ascii="Arial" w:cs="Arial" w:eastAsia="Arial" w:hAnsi="Arial"/>
          <w:sz w:val="14"/>
          <w:szCs w:val="14"/>
          <w:color w:val="auto"/>
        </w:rPr>
        <w:t>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1" w:lineRule="exact"/>
        <w:rPr>
          <w:sz w:val="20"/>
          <w:szCs w:val="20"/>
          <w:color w:val="auto"/>
        </w:rPr>
      </w:pPr>
    </w:p>
    <w:p>
      <w:pPr>
        <w:ind w:left="680" w:firstLine="599"/>
        <w:spacing w:after="0" w:line="248" w:lineRule="auto"/>
        <w:rPr>
          <w:sz w:val="20"/>
          <w:szCs w:val="20"/>
          <w:color w:val="auto"/>
        </w:rPr>
      </w:pPr>
      <w:r>
        <w:rPr>
          <w:rFonts w:ascii="Arial" w:cs="Arial" w:eastAsia="Arial" w:hAnsi="Arial"/>
          <w:sz w:val="14"/>
          <w:szCs w:val="14"/>
          <w:b w:val="1"/>
          <w:bCs w:val="1"/>
          <w:u w:val="single" w:color="auto"/>
          <w:color w:val="auto"/>
        </w:rPr>
        <w:t>Deferred Bonus Plan.</w:t>
      </w:r>
      <w:r>
        <w:rPr>
          <w:rFonts w:ascii="Arial" w:cs="Arial" w:eastAsia="Arial" w:hAnsi="Arial"/>
          <w:sz w:val="14"/>
          <w:szCs w:val="14"/>
          <w:b w:val="1"/>
          <w:bCs w:val="1"/>
          <w:color w:val="auto"/>
        </w:rPr>
        <w:t xml:space="preserve"> </w:t>
      </w:r>
      <w:r>
        <w:rPr>
          <w:rFonts w:ascii="Arial" w:cs="Arial" w:eastAsia="Arial" w:hAnsi="Arial"/>
          <w:sz w:val="14"/>
          <w:szCs w:val="14"/>
          <w:color w:val="auto"/>
        </w:rPr>
        <w:t>M&amp;T Bank Corporation maintains a deferred bonus plan pursuant to which its eligible officers and those of its subsidiaries may elect to defer</w:t>
      </w:r>
      <w:r>
        <w:rPr>
          <w:rFonts w:ascii="Arial" w:cs="Arial" w:eastAsia="Arial" w:hAnsi="Arial"/>
          <w:sz w:val="14"/>
          <w:szCs w:val="14"/>
          <w:b w:val="1"/>
          <w:bCs w:val="1"/>
          <w:color w:val="auto"/>
        </w:rPr>
        <w:t xml:space="preserve"> </w:t>
      </w:r>
      <w:r>
        <w:rPr>
          <w:rFonts w:ascii="Arial" w:cs="Arial" w:eastAsia="Arial" w:hAnsi="Arial"/>
          <w:sz w:val="14"/>
          <w:szCs w:val="14"/>
          <w:color w:val="auto"/>
        </w:rPr>
        <w:t>all or a portion of their current annual incentive compensation awards and allocate such awards to several investment options, including M&amp;T common stock. Participants may elect the timing of distributions from the plan. Such distributions are payable in cash, with the exception of balances allocated to M&amp;T common stock, which are distributable in the form of shares of common stock.</w:t>
      </w:r>
    </w:p>
    <w:p>
      <w:pPr>
        <w:spacing w:after="0" w:line="139" w:lineRule="exact"/>
        <w:rPr>
          <w:sz w:val="20"/>
          <w:szCs w:val="20"/>
          <w:color w:val="auto"/>
        </w:rPr>
      </w:pPr>
    </w:p>
    <w:p>
      <w:pPr>
        <w:ind w:left="10560"/>
        <w:spacing w:after="0"/>
        <w:rPr>
          <w:sz w:val="20"/>
          <w:szCs w:val="20"/>
          <w:color w:val="auto"/>
        </w:rPr>
      </w:pPr>
      <w:r>
        <w:rPr>
          <w:rFonts w:ascii="Arial" w:cs="Arial" w:eastAsia="Arial" w:hAnsi="Arial"/>
          <w:sz w:val="8"/>
          <w:szCs w:val="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Performance Graph</w:t>
      </w:r>
    </w:p>
    <w:p>
      <w:pPr>
        <w:spacing w:after="0" w:line="19" w:lineRule="exact"/>
        <w:rPr>
          <w:sz w:val="20"/>
          <w:szCs w:val="20"/>
          <w:color w:val="auto"/>
        </w:rPr>
      </w:pPr>
    </w:p>
    <w:p>
      <w:pPr>
        <w:ind w:left="680" w:right="80"/>
        <w:spacing w:after="0" w:line="270" w:lineRule="auto"/>
        <w:rPr>
          <w:sz w:val="20"/>
          <w:szCs w:val="20"/>
          <w:color w:val="auto"/>
        </w:rPr>
      </w:pPr>
      <w:r>
        <w:rPr>
          <w:rFonts w:ascii="Arial" w:cs="Arial" w:eastAsia="Arial" w:hAnsi="Arial"/>
          <w:sz w:val="13"/>
          <w:szCs w:val="13"/>
          <w:color w:val="auto"/>
        </w:rPr>
        <w:t>The following graph contains a comparison of the cumulative stockholder return on M&amp;T common stock against the cumulative total returns of the KBW Bank Index and the KBW 50 Index, each compiled by Keefe, Bruyette &amp; Woods Inc. and the S&amp;P 500 Index, compiled by Standard &amp; Poor’s Corporation, for the five-year period beginning on December 31, 2002 and ending on December 31, 2007. The KBW Bank Index is a market capitalization index consisting of 24 leading national money-center banks and regional institutions. The KBW 50 Index is comprised of the top fifty American banking companies, including all money-center and most major regional banks. The Company has elected to transition to the KBW Bank Index from the KBW 50 Index for future filing as the KBW 50 Index is no longer publicly accessible.</w:t>
      </w:r>
    </w:p>
    <w:p>
      <w:pPr>
        <w:spacing w:after="0" w:line="166"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67310</wp:posOffset>
            </wp:positionV>
            <wp:extent cx="3014980" cy="1531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14980"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Stockholder Value at Year End*</w:t>
      </w:r>
    </w:p>
    <w:p>
      <w:pPr>
        <w:spacing w:after="0" w:line="58" w:lineRule="exact"/>
        <w:rPr>
          <w:sz w:val="20"/>
          <w:szCs w:val="20"/>
          <w:color w:val="auto"/>
        </w:rPr>
      </w:pPr>
    </w:p>
    <w:tbl>
      <w:tblPr>
        <w:tblLayout w:type="fixed"/>
        <w:tblInd w:w="710" w:type="dxa"/>
        <w:tblCellMar>
          <w:top w:w="0" w:type="dxa"/>
          <w:left w:w="0" w:type="dxa"/>
          <w:bottom w:w="0" w:type="dxa"/>
          <w:right w:w="0" w:type="dxa"/>
        </w:tblCellMar>
      </w:tblPr>
      <w:tr>
        <w:trPr>
          <w:trHeight w:val="154"/>
        </w:trPr>
        <w:tc>
          <w:tcPr>
            <w:tcW w:w="428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2002</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2003</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2004</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2005</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2006</w:t>
            </w:r>
          </w:p>
        </w:tc>
        <w:tc>
          <w:tcPr>
            <w:tcW w:w="88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2007</w:t>
            </w:r>
          </w:p>
        </w:tc>
      </w:tr>
      <w:tr>
        <w:trPr>
          <w:trHeight w:val="154"/>
        </w:trPr>
        <w:tc>
          <w:tcPr>
            <w:tcW w:w="4280" w:type="dxa"/>
            <w:vAlign w:val="bottom"/>
            <w:tcBorders>
              <w:left w:val="single" w:sz="8" w:color="auto"/>
              <w:bottom w:val="single" w:sz="8" w:color="auto"/>
              <w:right w:val="single" w:sz="8" w:color="auto"/>
            </w:tcBorders>
          </w:tcPr>
          <w:p>
            <w:pPr>
              <w:ind w:left="20"/>
              <w:spacing w:after="0" w:line="154" w:lineRule="exact"/>
              <w:rPr>
                <w:sz w:val="20"/>
                <w:szCs w:val="20"/>
                <w:color w:val="auto"/>
              </w:rPr>
            </w:pPr>
            <w:r>
              <w:rPr>
                <w:rFonts w:ascii="Arial" w:cs="Arial" w:eastAsia="Arial" w:hAnsi="Arial"/>
                <w:sz w:val="14"/>
                <w:szCs w:val="14"/>
                <w:color w:val="auto"/>
              </w:rPr>
              <w:t>M&amp;T Bank Corporation</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126</w:t>
            </w:r>
          </w:p>
        </w:tc>
        <w:tc>
          <w:tcPr>
            <w:tcW w:w="98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140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144</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164</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113</w:t>
            </w:r>
          </w:p>
        </w:tc>
      </w:tr>
      <w:tr>
        <w:trPr>
          <w:trHeight w:val="154"/>
        </w:trPr>
        <w:tc>
          <w:tcPr>
            <w:tcW w:w="4280" w:type="dxa"/>
            <w:vAlign w:val="bottom"/>
            <w:tcBorders>
              <w:left w:val="single" w:sz="8" w:color="auto"/>
              <w:bottom w:val="single" w:sz="8" w:color="auto"/>
              <w:right w:val="single" w:sz="8" w:color="auto"/>
            </w:tcBorders>
          </w:tcPr>
          <w:p>
            <w:pPr>
              <w:ind w:left="80"/>
              <w:spacing w:after="0" w:line="154" w:lineRule="exact"/>
              <w:rPr>
                <w:sz w:val="20"/>
                <w:szCs w:val="20"/>
                <w:color w:val="auto"/>
              </w:rPr>
            </w:pPr>
            <w:r>
              <w:rPr>
                <w:rFonts w:ascii="Arial" w:cs="Arial" w:eastAsia="Arial" w:hAnsi="Arial"/>
                <w:sz w:val="14"/>
                <w:szCs w:val="14"/>
                <w:color w:val="auto"/>
              </w:rPr>
              <w:t>KBW Bank Index</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134</w:t>
            </w:r>
          </w:p>
        </w:tc>
        <w:tc>
          <w:tcPr>
            <w:tcW w:w="98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146</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151</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179</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137</w:t>
            </w:r>
          </w:p>
        </w:tc>
      </w:tr>
      <w:tr>
        <w:trPr>
          <w:trHeight w:val="154"/>
        </w:trPr>
        <w:tc>
          <w:tcPr>
            <w:tcW w:w="4280" w:type="dxa"/>
            <w:vAlign w:val="bottom"/>
            <w:tcBorders>
              <w:left w:val="single" w:sz="8" w:color="auto"/>
              <w:bottom w:val="single" w:sz="8" w:color="auto"/>
              <w:right w:val="single" w:sz="8" w:color="auto"/>
            </w:tcBorders>
          </w:tcPr>
          <w:p>
            <w:pPr>
              <w:ind w:left="80"/>
              <w:spacing w:after="0" w:line="154" w:lineRule="exact"/>
              <w:rPr>
                <w:sz w:val="20"/>
                <w:szCs w:val="20"/>
                <w:color w:val="auto"/>
              </w:rPr>
            </w:pPr>
            <w:r>
              <w:rPr>
                <w:rFonts w:ascii="Arial" w:cs="Arial" w:eastAsia="Arial" w:hAnsi="Arial"/>
                <w:sz w:val="14"/>
                <w:szCs w:val="14"/>
                <w:color w:val="auto"/>
              </w:rPr>
              <w:t>KBW 50 Index</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134</w:t>
            </w:r>
          </w:p>
        </w:tc>
        <w:tc>
          <w:tcPr>
            <w:tcW w:w="98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148</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149</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178</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137</w:t>
            </w:r>
          </w:p>
        </w:tc>
      </w:tr>
      <w:tr>
        <w:trPr>
          <w:trHeight w:val="154"/>
        </w:trPr>
        <w:tc>
          <w:tcPr>
            <w:tcW w:w="4280" w:type="dxa"/>
            <w:vAlign w:val="bottom"/>
            <w:tcBorders>
              <w:left w:val="single" w:sz="8" w:color="auto"/>
              <w:bottom w:val="single" w:sz="8" w:color="auto"/>
              <w:right w:val="single" w:sz="8" w:color="auto"/>
            </w:tcBorders>
          </w:tcPr>
          <w:p>
            <w:pPr>
              <w:ind w:left="80"/>
              <w:spacing w:after="0" w:line="154" w:lineRule="exact"/>
              <w:rPr>
                <w:sz w:val="20"/>
                <w:szCs w:val="20"/>
                <w:color w:val="auto"/>
              </w:rPr>
            </w:pPr>
            <w:r>
              <w:rPr>
                <w:rFonts w:ascii="Arial" w:cs="Arial" w:eastAsia="Arial" w:hAnsi="Arial"/>
                <w:sz w:val="14"/>
                <w:szCs w:val="14"/>
                <w:color w:val="auto"/>
              </w:rPr>
              <w:t>S&amp;P 500 Index</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129</w:t>
            </w:r>
          </w:p>
        </w:tc>
        <w:tc>
          <w:tcPr>
            <w:tcW w:w="98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143</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150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173</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165735</wp:posOffset>
            </wp:positionV>
            <wp:extent cx="8274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290" w:lineRule="exact"/>
        <w:rPr>
          <w:sz w:val="20"/>
          <w:szCs w:val="20"/>
          <w:color w:val="auto"/>
        </w:rPr>
      </w:pPr>
    </w:p>
    <w:p>
      <w:pPr>
        <w:ind w:left="880" w:hanging="195"/>
        <w:spacing w:after="0"/>
        <w:tabs>
          <w:tab w:leader="none" w:pos="8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Assumes a $100 investment on December 31, 2002 and reinvestment of all dividends.</w:t>
      </w:r>
    </w:p>
    <w:p>
      <w:pPr>
        <w:spacing w:after="0" w:line="88" w:lineRule="exact"/>
        <w:rPr>
          <w:sz w:val="20"/>
          <w:szCs w:val="20"/>
          <w:color w:val="auto"/>
        </w:rPr>
      </w:pPr>
    </w:p>
    <w:p>
      <w:pPr>
        <w:ind w:left="680" w:right="320" w:firstLine="399"/>
        <w:spacing w:after="0" w:line="258" w:lineRule="auto"/>
        <w:rPr>
          <w:sz w:val="20"/>
          <w:szCs w:val="20"/>
          <w:color w:val="auto"/>
        </w:rPr>
      </w:pPr>
      <w:r>
        <w:rPr>
          <w:rFonts w:ascii="Arial" w:cs="Arial" w:eastAsia="Arial" w:hAnsi="Arial"/>
          <w:sz w:val="14"/>
          <w:szCs w:val="14"/>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9" w:lineRule="exact"/>
        <w:rPr>
          <w:sz w:val="20"/>
          <w:szCs w:val="20"/>
          <w:color w:val="auto"/>
        </w:rPr>
      </w:pPr>
    </w:p>
    <w:p>
      <w:pPr>
        <w:ind w:left="680" w:right="120"/>
        <w:spacing w:after="0" w:line="255" w:lineRule="auto"/>
        <w:rPr>
          <w:sz w:val="20"/>
          <w:szCs w:val="20"/>
          <w:color w:val="auto"/>
        </w:rPr>
      </w:pPr>
      <w:r>
        <w:rPr>
          <w:rFonts w:ascii="Arial" w:cs="Arial" w:eastAsia="Arial" w:hAnsi="Arial"/>
          <w:sz w:val="14"/>
          <w:szCs w:val="14"/>
          <w:color w:val="auto"/>
        </w:rPr>
        <w:t>In February 2007, M&amp;T announced that it had been authorized by its Board of Directors to purchase up to 5,000,000 shares of its common stock. Pursuant to such plan, M&amp;T repurchased 2,818,500 shares during 2007 at an average per share cost of $108.30.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2007, M&amp;T purchased shares of its common stock as follows: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(d)Maximum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(c)Total</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Approximate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of Shares</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Dollar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(or Units)</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of Shares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1"/>
              </w:rPr>
              <w:t>Purchased</w:t>
            </w:r>
          </w:p>
        </w:tc>
        <w:tc>
          <w:tcPr>
            <w:tcW w:w="30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(or Units)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2"/>
              </w:rPr>
              <w:t>(a)Total</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as Part of</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that may yet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8"/>
              </w:rPr>
              <w:t>Number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6"/>
              </w:rPr>
              <w:t>(b)Average</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1"/>
              </w:rPr>
              <w:t>Publicly</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be Purchased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4"/>
              </w:rPr>
              <w:t>of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6"/>
              </w:rPr>
              <w:t>Price Paid</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Announced</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Under the</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Period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(or Units)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per Share</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8"/>
              </w:rPr>
              <w:t>Plans or</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Plans or</w:t>
            </w:r>
          </w:p>
        </w:tc>
        <w:tc>
          <w:tcPr>
            <w:tcW w:w="0" w:type="dxa"/>
            <w:vAlign w:val="bottom"/>
          </w:tcPr>
          <w:p>
            <w:pPr>
              <w:spacing w:after="0"/>
              <w:rPr>
                <w:sz w:val="1"/>
                <w:szCs w:val="1"/>
                <w:color w:val="auto"/>
              </w:rPr>
            </w:pPr>
          </w:p>
        </w:tc>
      </w:tr>
      <w:tr>
        <w:trPr>
          <w:trHeight w:val="157"/>
        </w:trPr>
        <w:tc>
          <w:tcPr>
            <w:tcW w:w="5600" w:type="dxa"/>
            <w:vAlign w:val="bottom"/>
            <w:gridSpan w:val="3"/>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4"/>
              </w:rPr>
              <w:t>Purchased(1)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9"/>
              </w:rPr>
              <w:t>(or Unit)</w:t>
            </w:r>
          </w:p>
        </w:tc>
        <w:tc>
          <w:tcPr>
            <w:tcW w:w="3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Programs</w:t>
            </w:r>
          </w:p>
        </w:tc>
        <w:tc>
          <w:tcPr>
            <w:tcW w:w="3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Programs(2)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October 31, 2007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2,181,500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November 1 - November 30, 2007</w:t>
            </w:r>
          </w:p>
        </w:tc>
        <w:tc>
          <w:tcPr>
            <w:tcW w:w="920" w:type="dxa"/>
            <w:vAlign w:val="bottom"/>
          </w:tcPr>
          <w:p>
            <w:pPr>
              <w:jc w:val="right"/>
              <w:spacing w:after="0"/>
              <w:rPr>
                <w:sz w:val="20"/>
                <w:szCs w:val="20"/>
                <w:color w:val="auto"/>
              </w:rPr>
            </w:pPr>
            <w:r>
              <w:rPr>
                <w:rFonts w:ascii="Arial" w:cs="Arial" w:eastAsia="Arial" w:hAnsi="Arial"/>
                <w:sz w:val="13"/>
                <w:szCs w:val="13"/>
                <w:color w:val="auto"/>
              </w:rPr>
              <w:t>2,994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89.66</w:t>
            </w: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2,181,500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December 31, 2007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82.26</w:t>
            </w:r>
          </w:p>
        </w:tc>
        <w:tc>
          <w:tcPr>
            <w:tcW w:w="3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2,181,500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00" w:type="dxa"/>
            <w:vAlign w:val="bottom"/>
            <w:gridSpan w:val="3"/>
          </w:tcPr>
          <w:p>
            <w:pPr>
              <w:spacing w:after="0"/>
              <w:rPr>
                <w:sz w:val="20"/>
                <w:szCs w:val="20"/>
                <w:color w:val="auto"/>
              </w:rPr>
            </w:pPr>
            <w:r>
              <w:rPr>
                <w:rFonts w:ascii="Arial" w:cs="Arial" w:eastAsia="Arial" w:hAnsi="Arial"/>
                <w:sz w:val="13"/>
                <w:szCs w:val="13"/>
                <w:color w:val="auto"/>
              </w:rPr>
              <w:t>Total</w:t>
            </w:r>
          </w:p>
        </w:tc>
        <w:tc>
          <w:tcPr>
            <w:tcW w:w="920" w:type="dxa"/>
            <w:vAlign w:val="bottom"/>
          </w:tcPr>
          <w:p>
            <w:pPr>
              <w:jc w:val="right"/>
              <w:spacing w:after="0"/>
              <w:rPr>
                <w:sz w:val="20"/>
                <w:szCs w:val="20"/>
                <w:color w:val="auto"/>
              </w:rPr>
            </w:pPr>
            <w:r>
              <w:rPr>
                <w:rFonts w:ascii="Arial" w:cs="Arial" w:eastAsia="Arial" w:hAnsi="Arial"/>
                <w:sz w:val="13"/>
                <w:szCs w:val="13"/>
                <w:color w:val="auto"/>
              </w:rPr>
              <w:t>128,220</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98.54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125,000</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-526415</wp:posOffset>
            </wp:positionV>
            <wp:extent cx="3048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19" w:lineRule="exact"/>
        <w:rPr>
          <w:sz w:val="20"/>
          <w:szCs w:val="20"/>
          <w:color w:val="auto"/>
        </w:rPr>
      </w:pPr>
    </w:p>
    <w:p>
      <w:pPr>
        <w:ind w:left="1180" w:right="120" w:hanging="239"/>
        <w:spacing w:after="0" w:line="300" w:lineRule="auto"/>
        <w:tabs>
          <w:tab w:leader="none" w:pos="1180" w:val="left"/>
        </w:tabs>
        <w:numPr>
          <w:ilvl w:val="0"/>
          <w:numId w:val="13"/>
        </w:numPr>
        <w:rPr>
          <w:rFonts w:ascii="Arial" w:cs="Arial" w:eastAsia="Arial" w:hAnsi="Arial"/>
          <w:sz w:val="11"/>
          <w:szCs w:val="11"/>
          <w:i w:val="1"/>
          <w:iCs w:val="1"/>
          <w:color w:val="auto"/>
        </w:rPr>
      </w:pPr>
      <w:r>
        <w:rPr>
          <w:rFonts w:ascii="Arial" w:cs="Arial" w:eastAsia="Arial" w:hAnsi="Arial"/>
          <w:sz w:val="11"/>
          <w:szCs w:val="11"/>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as is permitted under M&amp;T’s stock option plans.</w:t>
      </w:r>
    </w:p>
    <w:p>
      <w:pPr>
        <w:ind w:left="1180" w:hanging="239"/>
        <w:spacing w:after="0"/>
        <w:tabs>
          <w:tab w:leader="none" w:pos="1180"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On February 22, 2007, M&amp;T announced a program to purchase up to 5,000,000 shares of its common stock.</w:t>
      </w:r>
    </w:p>
    <w:p>
      <w:pPr>
        <w:spacing w:after="0" w:line="15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w:t>
      </w:r>
    </w:p>
    <w:p>
      <w:pPr>
        <w:spacing w:after="0" w:line="16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Profile and Significant Developments</w:t>
      </w:r>
    </w:p>
    <w:p>
      <w:pPr>
        <w:spacing w:after="0" w:line="19" w:lineRule="exact"/>
        <w:rPr>
          <w:sz w:val="20"/>
          <w:szCs w:val="20"/>
          <w:color w:val="auto"/>
        </w:rPr>
      </w:pPr>
    </w:p>
    <w:p>
      <w:pPr>
        <w:ind w:left="680" w:right="160"/>
        <w:spacing w:after="0" w:line="244" w:lineRule="auto"/>
        <w:rPr>
          <w:sz w:val="20"/>
          <w:szCs w:val="20"/>
          <w:color w:val="auto"/>
        </w:rPr>
      </w:pPr>
      <w:r>
        <w:rPr>
          <w:rFonts w:ascii="Arial" w:cs="Arial" w:eastAsia="Arial" w:hAnsi="Arial"/>
          <w:sz w:val="14"/>
          <w:szCs w:val="14"/>
          <w:color w:val="auto"/>
        </w:rPr>
        <w:t>M&amp;T Bank Corporation (“M&amp;T”) is a bank holding company headquartered in Buffalo, New York with consolidated assets of $64.9 billion at December 31, 2007. The consolidated financial information presented herein reflects M&amp;T and all of its subsidiaries, which are referred to collectively as “the Company.” M&amp;T’s wholly owned bank subsidiaries are M&amp;T Bank and M&amp;T Bank, National Association (“M&amp;T Bank, N.A.”).</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M&amp;T Bank, with total assets of $64.1 billion at December 31, 2007, is a New York-chartered commercial bank with 704 banking offices in New York State, Pennsylvania, Maryland, Delaware, New Jersey, Virginia, West Virginia and the District of Columbia, and an office in the Cayman Islands. M&amp;T Bank and its subsidiaries offer a broad range of financial services to a diverse base of consumers, businesses, professional clients, governmental entities and financial institutions located in its markets. Lending is largely focused on consumers residing in New York State, Pennsylvania, Maryland, northern Virginia and Washington, D.C., and on small and medium size businesses based in those areas, although residential and commercial real estate loans are originated through lending offices in 20 other states. Certain lending activities are also conducted in other states through various subsidiaries. M&amp;T Bank’s subsidiaries include: M&amp;T Credit Services, LLC, a consumer lending and commercial leasing and lending company; M&amp;T Real Estate Trust, a commercial mortgage lender; M&amp;T Realty Capital Corporation, a multi-family commercial mortgage lender; M&amp;T Securities, Inc., which provides brokerage, investment advisory and insurance services; MTB Investment Advisors, Inc., which serves as investment advisor to the MTB Group of Funds, a family of proprietary mutual funds, and other funds and institutional clients; and M&amp;T Insurance Agency, Inc., an insurance agency.</w:t>
      </w:r>
    </w:p>
    <w:p>
      <w:pPr>
        <w:spacing w:after="0" w:line="2"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M&amp;T Bank, N.A., with total assets of $376 million at December 31, 2007, is a national bank with an office in Oakfield, New York. M&amp;T Bank, N.A. offers selected deposit and loan products on a nationwide basis, largely through telephone and direct mail marketing techniques.</w:t>
      </w:r>
    </w:p>
    <w:p>
      <w:pPr>
        <w:spacing w:after="0" w:line="1" w:lineRule="exact"/>
        <w:rPr>
          <w:sz w:val="20"/>
          <w:szCs w:val="20"/>
          <w:color w:val="auto"/>
        </w:rPr>
      </w:pPr>
    </w:p>
    <w:p>
      <w:pPr>
        <w:ind w:left="680" w:right="40" w:firstLine="599"/>
        <w:spacing w:after="0" w:line="255" w:lineRule="auto"/>
        <w:rPr>
          <w:sz w:val="20"/>
          <w:szCs w:val="20"/>
          <w:color w:val="auto"/>
        </w:rPr>
      </w:pPr>
      <w:r>
        <w:rPr>
          <w:rFonts w:ascii="Arial" w:cs="Arial" w:eastAsia="Arial" w:hAnsi="Arial"/>
          <w:sz w:val="14"/>
          <w:szCs w:val="14"/>
          <w:color w:val="auto"/>
        </w:rPr>
        <w:t>On November 30, 2007, M&amp;T acquired Partners Trust Financial Group, Inc. (“Partners Trust”), a bank holding company headquartered in Utica, New York. Partners Trust Bank, the primary banking subsidiary of Partners Trust, was merged into M&amp;T Bank on that date. Partners Trust Bank operated 33</w:t>
      </w:r>
    </w:p>
    <w:p>
      <w:pPr>
        <w:spacing w:after="0" w:line="134" w:lineRule="exact"/>
        <w:rPr>
          <w:sz w:val="20"/>
          <w:szCs w:val="20"/>
          <w:color w:val="auto"/>
        </w:rPr>
      </w:pPr>
    </w:p>
    <w:p>
      <w:pPr>
        <w:ind w:left="10560"/>
        <w:spacing w:after="0"/>
        <w:rPr>
          <w:sz w:val="20"/>
          <w:szCs w:val="20"/>
          <w:color w:val="auto"/>
        </w:rPr>
      </w:pPr>
      <w:r>
        <w:rPr>
          <w:rFonts w:ascii="Arial" w:cs="Arial" w:eastAsia="Arial" w:hAnsi="Arial"/>
          <w:sz w:val="8"/>
          <w:szCs w:val="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branch offices in upstate New York at the date of acquisition. The results of operations acquired in the Partners Trust transaction have been included in the Company’s financial results since November 30, 2007, but did not have a significant effect on the Company’s results of operations in 2007. After application of the election, allocation and proration procedures contained in the merger agreement with Partners Trust, M&amp;T paid $282 million in cash and issued 3,096,861 shares of M&amp;T common stock in exchange for Partners Trust shares outstanding at the time of acquisition. In addition, based on the merger agreement, M&amp;T paid $9 million in cash to holders of outstanding and unexercised stock options granted by Partners Trust. The purchase price was approximately $559 million based on the cash paid to Partners Trust shareholders, the fair value of M&amp;T common stock exchanged, and the cash paid to holders of Partners Trust stock options. The acquisition of Partners Trust expands M&amp;T’s presence in upstate New York, making M&amp;T Bank the deposit market share leader in the Utica-Rome and Binghamton markets, while strengthening its lead position in Syracuse.</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$288 million of goodwill and $50 million of core deposit intangible. The core deposit intangible is being amortized over 7 years using an accelerated method.</w:t>
      </w:r>
    </w:p>
    <w:p>
      <w:pPr>
        <w:spacing w:after="0" w:line="1" w:lineRule="exact"/>
        <w:rPr>
          <w:sz w:val="20"/>
          <w:szCs w:val="20"/>
          <w:color w:val="auto"/>
        </w:rPr>
      </w:pPr>
    </w:p>
    <w:p>
      <w:pPr>
        <w:jc w:val="both"/>
        <w:ind w:left="680" w:right="80" w:firstLine="599"/>
        <w:spacing w:after="0" w:line="244" w:lineRule="auto"/>
        <w:rPr>
          <w:sz w:val="20"/>
          <w:szCs w:val="20"/>
          <w:color w:val="auto"/>
        </w:rPr>
      </w:pPr>
      <w:r>
        <w:rPr>
          <w:rFonts w:ascii="Arial" w:cs="Arial" w:eastAsia="Arial" w:hAnsi="Arial"/>
          <w:sz w:val="14"/>
          <w:szCs w:val="14"/>
          <w:color w:val="auto"/>
        </w:rPr>
        <w:t>As a condition of the approval of the Partners Trust acquisition by regulators, M&amp;T Bank was required to divest three of the acquired branch offices in Binghamton, New York having approximately $95 million of deposits as of June 30, 2006. M&amp;T Bank has reached an agreement to sell three branches in a transaction expected to close in 2008.</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On December 7, 2007, M&amp;T Bank acquired the Mid-Atlantic retail banking franchise of First Horizon Bank (“First Horizon”), a subsidiary of First Horizon National Corporation, in a cash transaction, including $214 million of loans, $216 million of deposits and $80 million of trust and investment assets under management. The transaction did not have a significant effect on the Company’s results of operations during 2007. In connection with the transaction, the Company recorded approximately $15 million of core deposit and other intangible assets that are being amortized using accelerated methods over a weighted average life of 7 years.</w:t>
      </w:r>
    </w:p>
    <w:p>
      <w:pPr>
        <w:spacing w:after="0" w:line="1"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The Company incurred merger-related expenses associated with the Partners Trust and First Horizon transactions related to systems conversions and other costs of integrating and conforming acquired operations with and into the Company of approximately $15 million ($9 million net of applicable income taxes, or $.08 of diluted earnings per share) during 2007. Those expenses consisted largely of professional services and other temporary help fees associated with the conversion of systems and/or integration of operations; costs related to branch and office consolidations; incentive compensation; initial marketing and promotion expenses designed to introduce the Company to customers of the acquired operations; travel costs; printing, postage and supplies; and other costs of commencing operations in new offices. The Company expects to incur additional merger-related expenses relating to those transactions, although such costs are expected to be substantially less than the amount incurred in 2007. In accordance with generally accepted accounting principles, (“GAAP”), included in the determination of goodwill associated with the Partners Trust acquisition were charges totaling $14 million, net of applicable income taxes ($18 million before tax effect), for severance costs for former Partners Trust employees, termination of Partners Trust contracts for various services and other items. As of December 31, 2007, the remaining unpaid portion of merger-related expenses and charges included in the determination of goodwill were</w:t>
      </w:r>
    </w:p>
    <w:p>
      <w:pPr>
        <w:spacing w:after="0" w:line="2" w:lineRule="exact"/>
        <w:rPr>
          <w:sz w:val="20"/>
          <w:szCs w:val="20"/>
          <w:color w:val="auto"/>
        </w:rPr>
      </w:pPr>
    </w:p>
    <w:p>
      <w:pPr>
        <w:ind w:left="680" w:right="200"/>
        <w:spacing w:after="0" w:line="244" w:lineRule="auto"/>
        <w:rPr>
          <w:sz w:val="20"/>
          <w:szCs w:val="20"/>
          <w:color w:val="auto"/>
        </w:rPr>
      </w:pPr>
      <w:r>
        <w:rPr>
          <w:rFonts w:ascii="Arial" w:cs="Arial" w:eastAsia="Arial" w:hAnsi="Arial"/>
          <w:sz w:val="14"/>
          <w:szCs w:val="14"/>
          <w:color w:val="auto"/>
        </w:rPr>
        <w:t>$5 million and $13 million, respectively. The resolution of Partners Trust’s preacquisition contingencies in future periods could have an impact on the purchase price and the amount of goodwill recorded as part of the acquisition, however, management does not presently expect that any such adjustments will be material to the Company’s consolidated balance sheet.</w:t>
      </w:r>
    </w:p>
    <w:p>
      <w:pPr>
        <w:spacing w:after="0" w:line="1" w:lineRule="exact"/>
        <w:rPr>
          <w:sz w:val="20"/>
          <w:szCs w:val="20"/>
          <w:color w:val="auto"/>
        </w:rPr>
      </w:pPr>
    </w:p>
    <w:p>
      <w:pPr>
        <w:jc w:val="both"/>
        <w:ind w:left="680" w:right="140" w:firstLine="599"/>
        <w:spacing w:after="0" w:line="311" w:lineRule="auto"/>
        <w:rPr>
          <w:sz w:val="20"/>
          <w:szCs w:val="20"/>
          <w:color w:val="auto"/>
        </w:rPr>
      </w:pPr>
      <w:r>
        <w:rPr>
          <w:rFonts w:ascii="Arial" w:cs="Arial" w:eastAsia="Arial" w:hAnsi="Arial"/>
          <w:sz w:val="12"/>
          <w:szCs w:val="12"/>
          <w:color w:val="auto"/>
        </w:rPr>
        <w:t>On February 5, 2007, M&amp;T invested $300 million to acquire a minority interest in Bayview Lending Group LLC (“BLG”), a privately-held commercial mortgage lender that specializes in originating, securitizing and servicing small balance commercial real estate loans in the United States, and to a significantly lesser extent, in Canada and the United Kingdom. M&amp;T recognizes income from BLG using the equity method of accounting. M&amp;T’s pro-rata portion of the results of operations of BLG was pre-tax</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
        <w:spacing w:after="0" w:line="250" w:lineRule="auto"/>
        <w:rPr>
          <w:sz w:val="20"/>
          <w:szCs w:val="20"/>
          <w:color w:val="auto"/>
        </w:rPr>
      </w:pPr>
      <w:r>
        <w:rPr>
          <w:rFonts w:ascii="Arial" w:cs="Arial" w:eastAsia="Arial" w:hAnsi="Arial"/>
          <w:sz w:val="14"/>
          <w:szCs w:val="14"/>
          <w:color w:val="auto"/>
        </w:rPr>
        <w:t>income of $9 million ($5 million after tax effect) in 2007, which has been recorded as a component of other income in the consolidated statement of income. Including expenses associated with M&amp;T’s investment in BLG, most notably interest expense, that investment reduced the Company’s net income in 2007 by $4 million (after tax effect) or $.04 per diluted share.</w:t>
      </w:r>
    </w:p>
    <w:p>
      <w:pPr>
        <w:spacing w:after="0" w:line="1" w:lineRule="exact"/>
        <w:rPr>
          <w:sz w:val="20"/>
          <w:szCs w:val="20"/>
          <w:color w:val="auto"/>
        </w:rPr>
      </w:pPr>
    </w:p>
    <w:p>
      <w:pPr>
        <w:ind w:left="680" w:right="180" w:firstLine="599"/>
        <w:spacing w:after="0" w:line="248" w:lineRule="auto"/>
        <w:rPr>
          <w:sz w:val="20"/>
          <w:szCs w:val="20"/>
          <w:color w:val="auto"/>
        </w:rPr>
      </w:pPr>
      <w:r>
        <w:rPr>
          <w:rFonts w:ascii="Arial" w:cs="Arial" w:eastAsia="Arial" w:hAnsi="Arial"/>
          <w:sz w:val="14"/>
          <w:szCs w:val="14"/>
          <w:color w:val="auto"/>
        </w:rPr>
        <w:t>On June 30, 2006, M&amp;T Bank completed the acquisition of 21 branch offices in Buffalo and Rochester, New York from Citibank, N.A., including approximately $269 million of loans, mostly to consumers, small businesses and middle market customers, and approximately $1.0 billion of deposits. Expenses associated with integrating the acquired branches into M&amp;T Bank and introducing the customers associated with those branches to M&amp;T Bank’s products and services aggregated $3 million, after applicable tax effect, or $.03 of diluted earnings per share during the year ended December 31, 2006.</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Critical Accounting Estimates</w:t>
      </w:r>
    </w:p>
    <w:p>
      <w:pPr>
        <w:spacing w:after="0" w:line="19" w:lineRule="exact"/>
        <w:rPr>
          <w:sz w:val="20"/>
          <w:szCs w:val="20"/>
          <w:color w:val="auto"/>
        </w:rPr>
      </w:pPr>
    </w:p>
    <w:p>
      <w:pPr>
        <w:ind w:left="680" w:right="180"/>
        <w:spacing w:after="0" w:line="244" w:lineRule="auto"/>
        <w:rPr>
          <w:sz w:val="20"/>
          <w:szCs w:val="20"/>
          <w:color w:val="auto"/>
        </w:rPr>
      </w:pPr>
      <w:r>
        <w:rPr>
          <w:rFonts w:ascii="Arial" w:cs="Arial" w:eastAsia="Arial" w:hAnsi="Arial"/>
          <w:sz w:val="14"/>
          <w:szCs w:val="14"/>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2" w:lineRule="exact"/>
        <w:rPr>
          <w:sz w:val="20"/>
          <w:szCs w:val="20"/>
          <w:color w:val="auto"/>
        </w:rPr>
      </w:pPr>
    </w:p>
    <w:p>
      <w:pPr>
        <w:ind w:left="1300" w:right="60" w:hanging="209"/>
        <w:spacing w:after="0" w:line="244" w:lineRule="auto"/>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Allowance for credit losses — The allowance for credit losses represents the amount which, in management’s judgment, will be adequate to absorb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Changes in the circumstances considered when determining management’s estimates and assumptions could result in changes in those estimates and assumptions, which may result in adjustment of the allowance. A detailed discussion of facts and circumstances considered by management in assessing the adequacy of the allowance for credit losses is included herein under the heading “Provision for Credit Losses.”</w:t>
      </w:r>
    </w:p>
    <w:p>
      <w:pPr>
        <w:spacing w:after="0" w:line="2" w:lineRule="exact"/>
        <w:rPr>
          <w:rFonts w:ascii="Arial" w:cs="Arial" w:eastAsia="Arial" w:hAnsi="Arial"/>
          <w:sz w:val="9"/>
          <w:szCs w:val="9"/>
          <w:color w:val="auto"/>
        </w:rPr>
      </w:pPr>
    </w:p>
    <w:p>
      <w:pPr>
        <w:ind w:left="1300" w:hanging="209"/>
        <w:spacing w:after="0" w:line="266" w:lineRule="auto"/>
        <w:tabs>
          <w:tab w:leader="none" w:pos="1300" w:val="left"/>
        </w:tabs>
        <w:numPr>
          <w:ilvl w:val="0"/>
          <w:numId w:val="14"/>
        </w:numPr>
        <w:rPr>
          <w:rFonts w:ascii="Arial" w:cs="Arial" w:eastAsia="Arial" w:hAnsi="Arial"/>
          <w:sz w:val="8"/>
          <w:szCs w:val="8"/>
          <w:color w:val="auto"/>
        </w:rPr>
      </w:pPr>
      <w:r>
        <w:rPr>
          <w:rFonts w:ascii="Arial" w:cs="Arial" w:eastAsia="Arial" w:hAnsi="Arial"/>
          <w:sz w:val="13"/>
          <w:szCs w:val="13"/>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capitalized servicing assets, goodwill, core deposit and other intangible assets, pension and other postretirement benefit obligations, value ascribed to stock-based compensation, estimated residual values of property associated with commercial and consumer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and analysis of financial condition and results of operations and in notes 1, 3, 4, 7, 8, 10, 11, 17, 18 and 19 of Notes to Financial Statements.</w:t>
      </w:r>
    </w:p>
    <w:p>
      <w:pPr>
        <w:spacing w:after="0" w:line="15" w:lineRule="exact"/>
        <w:rPr>
          <w:sz w:val="20"/>
          <w:szCs w:val="20"/>
          <w:color w:val="auto"/>
        </w:rPr>
      </w:pPr>
    </w:p>
    <w:p>
      <w:pPr>
        <w:ind w:left="1300" w:right="40" w:hanging="209"/>
        <w:spacing w:after="0" w:line="266" w:lineRule="auto"/>
        <w:tabs>
          <w:tab w:leader="none" w:pos="1300" w:val="left"/>
        </w:tabs>
        <w:numPr>
          <w:ilvl w:val="0"/>
          <w:numId w:val="15"/>
        </w:numPr>
        <w:rPr>
          <w:rFonts w:ascii="Arial" w:cs="Arial" w:eastAsia="Arial" w:hAnsi="Arial"/>
          <w:sz w:val="8"/>
          <w:szCs w:val="8"/>
          <w:color w:val="auto"/>
        </w:rPr>
      </w:pPr>
      <w:r>
        <w:rPr>
          <w:rFonts w:ascii="Arial" w:cs="Arial" w:eastAsia="Arial" w:hAnsi="Arial"/>
          <w:sz w:val="13"/>
          <w:szCs w:val="13"/>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20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12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probability of financial outcomes in future periods. Information relating to the Company’s involvement in such entities and the accounting treatment afforded each such involvement is included in note 18 of Notes to Financial Statements.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Overview</w:t>
      </w:r>
    </w:p>
    <w:p>
      <w:pPr>
        <w:spacing w:after="0" w:line="19"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color w:val="auto"/>
        </w:rPr>
        <w:t>The Company’s net income for 2007 was $654 million or $5.95 of diluted earnings per common share, representing declines of 22% and 19%, respectively, from $839 million or $7.37 of diluted earnings per share in 2006. Basic earnings per common share decreased 20% to $6.05 in 2007 from $7.55 in 2006. Net income in 2005 aggregated</w:t>
      </w:r>
    </w:p>
    <w:p>
      <w:pPr>
        <w:ind w:left="680" w:right="340"/>
        <w:spacing w:after="0" w:line="285" w:lineRule="auto"/>
        <w:rPr>
          <w:sz w:val="20"/>
          <w:szCs w:val="20"/>
          <w:color w:val="auto"/>
        </w:rPr>
      </w:pPr>
      <w:r>
        <w:rPr>
          <w:rFonts w:ascii="Arial" w:cs="Arial" w:eastAsia="Arial" w:hAnsi="Arial"/>
          <w:sz w:val="12"/>
          <w:szCs w:val="12"/>
          <w:color w:val="auto"/>
        </w:rPr>
        <w:t>$782 million, while diluted and basic earnings per share were $6.73 and $6.88, respectively. The after-tax impact of acquisition and integration-related expenses (included herein as merger-related expenses) associated with the November 30 acquisition of Partners Trust and the December 7 transaction with First Horizon was $9 million</w:t>
      </w:r>
    </w:p>
    <w:p>
      <w:pPr>
        <w:jc w:val="both"/>
        <w:ind w:left="680" w:right="60"/>
        <w:spacing w:after="0" w:line="263" w:lineRule="auto"/>
        <w:rPr>
          <w:sz w:val="20"/>
          <w:szCs w:val="20"/>
          <w:color w:val="auto"/>
        </w:rPr>
      </w:pPr>
      <w:r>
        <w:rPr>
          <w:rFonts w:ascii="Arial" w:cs="Arial" w:eastAsia="Arial" w:hAnsi="Arial"/>
          <w:sz w:val="13"/>
          <w:szCs w:val="13"/>
          <w:color w:val="auto"/>
        </w:rPr>
        <w:t>($15 million pre-tax) or $.08 of basic and diluted earnings per share in 2007. Similar costs related to the June 30, 2006 branch acquisition were $3 million ($5 million pre-tax) or $.03 of basic and diluted earnings per share in 2006. There were no similar expenses in 2005. Net income expressed as a rate of return on average assets in 2007 was 1.12%, compared with 1.50% in 2006 and 1.44% in 2005. The return on average common stockholders’ equity was 10.47% in 2007, 13.89% in 2006 and 13.49% in 2005.</w:t>
      </w:r>
    </w:p>
    <w:p>
      <w:pPr>
        <w:spacing w:after="0" w:line="1"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The Company’s financial results for 2007 were adversely impacted by several events. Turmoil in the residential real estate market, which began in early 2007, significantly affected the Company’s financial results in a number of ways. Problems experienced by lenders in the sub-prime residential mortgage lending market also had negative repercussions on the rest of the residential real estate marketplace. Through early 2007, the Company had been an active participant in the origination of alternative (“Alt-A”) residential real estate loans and the sale of such loans in the secondary market. Alt-A loans originated by M&amp;T typically included some form of limited documentation requirements as compared with more traditional residential real estate loans. Unfavorable market conditions during the first quarter of 2007, including a lack of liquidity, impacted the Company’s willingness to sell Alt-A loans, as an auction of such loans initiated by the Company received fewer bids than normal and the pricing of those bids was substantially lower than expected. As a result, $883 million of Alt-A loans previously held for sale (including $808 million of first mortgage loans and</w:t>
      </w:r>
    </w:p>
    <w:p>
      <w:pPr>
        <w:spacing w:after="0" w:line="2"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$75 million of second mortgage loans) were transferred in March to the Company’s held-for-investment loan portfolio. In accordance with GAAP, loans held for sale must be recorded at the lower of cost or market value. Accordingly, prior to reclassifying the Alt-A mortgage loans to the held-for-investment portfolio, the carrying value of such loans was reduced by $12 million ($7 million after tax effect, or $.07 of diluted earnings per share). Those loans were reclassified because management believed at that time that the value of the Alt-A residential real estate loans was greater than the amount implied by the few bidders who were active in the market. The downturn in the residential real estate market, specifically related to declining real estate valuations and higher delinquencies, continued throughout the remainder of 2007 and had a negative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580"/>
        <w:spacing w:after="0" w:line="253" w:lineRule="auto"/>
        <w:rPr>
          <w:sz w:val="20"/>
          <w:szCs w:val="20"/>
          <w:color w:val="auto"/>
        </w:rPr>
      </w:pPr>
      <w:r>
        <w:rPr>
          <w:rFonts w:ascii="Arial" w:cs="Arial" w:eastAsia="Arial" w:hAnsi="Arial"/>
          <w:sz w:val="14"/>
          <w:szCs w:val="14"/>
          <w:color w:val="auto"/>
        </w:rPr>
        <w:t>effect on the majority of financial institutions active in residential real estate lending. Margins earned by the Company from sales of residential real estate loans in the secondary market were lower in 2007 than in 2006.</w:t>
      </w:r>
    </w:p>
    <w:p>
      <w:pPr>
        <w:spacing w:after="0" w:line="1" w:lineRule="exact"/>
        <w:rPr>
          <w:sz w:val="20"/>
          <w:szCs w:val="20"/>
          <w:color w:val="auto"/>
        </w:rPr>
      </w:pPr>
    </w:p>
    <w:p>
      <w:pPr>
        <w:ind w:left="680" w:right="160" w:firstLine="599"/>
        <w:spacing w:after="0" w:line="244" w:lineRule="auto"/>
        <w:rPr>
          <w:sz w:val="20"/>
          <w:szCs w:val="20"/>
          <w:color w:val="auto"/>
        </w:rPr>
      </w:pPr>
      <w:r>
        <w:rPr>
          <w:rFonts w:ascii="Arial" w:cs="Arial" w:eastAsia="Arial" w:hAnsi="Arial"/>
          <w:sz w:val="14"/>
          <w:szCs w:val="14"/>
          <w:color w:val="auto"/>
        </w:rPr>
        <w:t>The Company is contractually obligated to repurchase some previously sold residential real estate loans that do not ultimately meet investor sale criteria, including instances where mortgagors fail to make timely payments during the first 90 days subsequent to the sale date. Requests from investors for the Company to repurchase residential real estate loans increased significantly in early 2007, particularly related to Alt-A loans. As a result, during 2007’s first quarter the Company reduced mortgage banking revenues by $6 million ($4 million after tax effect, or $.03 of diluted earnings per share) related to declines in market values of previously sold residential real estate loans that the Company may be required to repurchase.</w:t>
      </w:r>
    </w:p>
    <w:p>
      <w:pPr>
        <w:spacing w:after="0" w:line="2"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The Company had $1.2 billion of Alt-A residential real estate loans in its held-for-investment loan portfolio at December 31, 2007. Lower real estate values and higher levels of delinquencies and charge-offs contributed to increased losses in that portfolio during 2007, which led to an assessment of the Company’s accounting practices during the fourth quarter as they relate to the timing of the classification of residential real estate loans as nonaccrual and when such loans are charged off. Residential real estate loans previously classified as nonaccrual when payments were 180 days past due now stop accruing interest when principal or interest is delinquent 90 days. The excess of such loan balances over the net realizable value of the property collateralizing the loan is now charged off when the loans become 150 days delinquent, whereas previously the Company provided an allowance for credit losses for such amounts and charged-off loans upon foreclosure of the underlying property. The impact of the acceleration of the classification of residential real estate loans as nonaccrual resulted in an increase in nonperforming loans of $84 million at December 31, 2007 and a corresponding decrease in loans past due 90 days and accruing interest. As a result of that acceleration, previously accrued interest of $2 million was reversed and charged against income. Included in the $114 million of net charge-offs for 2007 were $15 million resulting from the change in accounting procedure. The declining residential real estate values also contributed to specific allocations of the allowance for credit losses related to two residential real estate builders and developers during the fourth quarter of 2007. Considering these and other factors as discussed herein under the heading “Provision for Credit Losses,” the Company significantly increased the provision for credit losses in 2007 to $192 million, compared with $80 million in 2006.</w:t>
      </w:r>
    </w:p>
    <w:p>
      <w:pPr>
        <w:spacing w:after="0" w:line="3"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The turmoil in the residential real estate market in 2007 also negatively affected the Company’s investment securities portfolio. Three collateralized debt obligations were purchased in the first quarter of 2007 for approximately $132 million. The securities are backed largely by residential mortgage-backed securities (collateralized by a mix of prime, mid-prime and sub-prime residential mortgage loans) and are held in the Company’s available-for-sale portfolio. Although these securities were highly rated when purchased, two of the three securities were downgraded by the rating agencies in late-2007. After a thorough analysis, management concluded that the impairment of the market value of these securities was other than temporary. As a result, the Company recorded an impairment charge of $127 million ($78 million after tax effect, or $.71 of diluted earnings per share) in the fourth quarter of 2007. The impairment charge reduced the Company’s exposure to collateralized debt obligations backed by residential mortgage securities to approximately $4 million.</w:t>
      </w:r>
    </w:p>
    <w:p>
      <w:pPr>
        <w:spacing w:after="0" w:line="3"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Finally, during the last quarter of 2007, Visa completed a reorganization in contemplation of its initial public offering (“IPO”) expected to occur in 2008. As part of that reorganization M&amp;T Bank and other member banks of Visa received shares of common stock of Visa, Inc. Those banks are also obligated under various agreements with Visa to share in losses stemming from certain litigation involving Visa (“Covered Litigation”). Although Visa is expected to set aside a portion of the proceeds from its IPO in an escrow account to fund any judgments or settlements that may arise out of the Covered Litigation, recent guidance from the Securities and Exchange Commission (“SEC”) indicates that Visa member banks should record a liability for the fair value of the contingent obligation to Visa. The estimation of the Company’s proportionate share of any potential losses related to the Covered Litigation is extremely difficult and involves a great deal of judgment. Nevertheless, in the fourth quarter of 2007 the Company recorded a pre-tax charge of $23 million ($14 million after tax effect, or $.13 per diluted</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320"/>
        <w:spacing w:after="0" w:line="253" w:lineRule="auto"/>
        <w:rPr>
          <w:sz w:val="20"/>
          <w:szCs w:val="20"/>
          <w:color w:val="auto"/>
        </w:rPr>
      </w:pPr>
      <w:r>
        <w:rPr>
          <w:rFonts w:ascii="Arial" w:cs="Arial" w:eastAsia="Arial" w:hAnsi="Arial"/>
          <w:sz w:val="14"/>
          <w:szCs w:val="14"/>
          <w:color w:val="auto"/>
        </w:rPr>
        <w:t>share) related to the Covered Litigation. In accordance with GAAP and consistent with the SEC guidance, the Company did not recognize any value for its common stock ownership interest in Visa, Inc.</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Taxable-equivalent net interest income increased 2% to $1.87 billion in 2007 from $1.84 billion in 2006. The impact of higher average earning asset balances was largely offset by a decline in the Company’s net interest margin, or taxable-equivalent net interest income expressed as a percentage of average earning assets. Average earning assets increased 5% to $52.0 billion in 2007 from $49.7 billion in 2006 due to higher loan and lease balances, partially offset by lower average balances of investment securities. Average loans and leases outstanding in 2007 rose $2.7 billion or 7% to $44.1 billion from $41.4 billion in 2006, the result of growth in commercial loans and leases of $858 million, or 8%, commercial real estate loans of $653 million, or 4%, consumer real estate loans of $1.0 billion, or 20%, and consumer loans and leases of $186 million, or 2%. The $2.4 billion of loans acquired in the Partners Trust and First Horizon transactions did not have a significant impact on average loans and leases for 2007. The average balance of investment securities outstanding declined $717 million, or 9%, to $7.3 billion in 2007 from $8.0 billion in 2006 due largely to net paydowns and maturities of mortgage-backed securities, collateralized mortgage obligations and U.S. federal agency securities. The Company’s net interest margin narrowed 10 basis points (hundredths of one percent) to 3.60% in 2007 from 3.70% in 2006. That narrowing was the result of several factors, including higher rates paid on deposit accounts and variable-rate borrowings that were only partially offset by higher yields earned on loans and investment securities.</w:t>
      </w:r>
    </w:p>
    <w:p>
      <w:pPr>
        <w:spacing w:after="0" w:line="2"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Net interest income expressed on a taxable-equivalent basis in 2006 was 1% higher than $1.81 billion in 2005. The positive impact of higher average earning assets was largely offset by a decline in net interest margin. Average earning assets rose 3% to $49.7 billion in 2006 from $48.1 billion in 2005, the result of increased balances of loans and leases, offset, in part, by a decline in average outstanding balances of investment securities. Average loans and leases of $41.4 billion in 2006 were $1.9 billion or 5% higher than $39.5 billion in 2005, due to growth in commercial loans and leases of $863 million, or 8%, commercial real estate loans of $755 million, or 5%, and consumer real estate loans of $1.1 billion, or 28%, partially offset by an $804 million, or 7%, decline in consumer loans and leases. Average balances of investment securities decreased 5% to $8.0 billion in 2006 from $8.5 billion in 2005. The net interest margin declined 7 basis points to 3.70% in 2006 from 3.77% in 2005, largely due to higher short-term interest rates resulting from the Federal Reserve raising its benchmark overnight federal funds target rate 100 basis points during the first six months of 2006, continuing a trend of rate increases that began in June 2004. Such interest rate increases had the effect of increasing rates paid on interest-bearing liabilities more rapidly than yields on earning assets during 2005 and the first half of 2006.</w:t>
      </w:r>
    </w:p>
    <w:p>
      <w:pPr>
        <w:spacing w:after="0" w:line="2"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The provision for credit losses rose to $192 million in 2007 from $80 million in 2006 and $88 million in 2005. Deteriorating credit conditions that were reflected in rising levels of charge-offs and delinquencies as well as rapidly declining residential real estate valuations during 2007 and their impact on the Company’s portfolio of Alt-A residential mortgage loans and loans to residential builders and developers contributed significantly to the increase in the provision from 2006 to 2007. The levels of the provision during 2006 and 2005 were reflective of generally favorable credit quality during those years. Net charge-offs were $114 million in 2007, up from $68 million in 2006 and $77 million in 2005. Net charge-offs as a percentage of average loans and leases outstanding rose to .26% in 2007 from .16% in 2006 and .19% in 2005. The provision in each year represents the result of management’s analysis of the composition of the loan and lease portfolio and other factors, including concern regarding uncertainty about economic conditions, both nationally and in many of the markets served by the Company, and the impact of such conditions and prospects on the abilities of borrowers to repay loans.</w:t>
      </w:r>
    </w:p>
    <w:p>
      <w:pPr>
        <w:spacing w:after="0" w:line="3" w:lineRule="exact"/>
        <w:rPr>
          <w:sz w:val="20"/>
          <w:szCs w:val="20"/>
          <w:color w:val="auto"/>
        </w:rPr>
      </w:pPr>
    </w:p>
    <w:p>
      <w:pPr>
        <w:jc w:val="both"/>
        <w:ind w:left="680" w:right="60" w:firstLine="599"/>
        <w:spacing w:after="0" w:line="270" w:lineRule="auto"/>
        <w:rPr>
          <w:sz w:val="20"/>
          <w:szCs w:val="20"/>
          <w:color w:val="auto"/>
        </w:rPr>
      </w:pPr>
      <w:r>
        <w:rPr>
          <w:rFonts w:ascii="Arial" w:cs="Arial" w:eastAsia="Arial" w:hAnsi="Arial"/>
          <w:sz w:val="13"/>
          <w:szCs w:val="13"/>
          <w:color w:val="auto"/>
        </w:rPr>
        <w:t>Noninterest income declined 11% to $933 million in 2007 from $1.05 billion in 2006. That decline resulted from the $127 million other-than-temporary impairment charge in 2007 related to collateralized debt obligations held in the Company’s available-for-sale investment securities portfolio. The market value of those collateralized debt obligations, which are backed by residential mortgage-backed securities, declined sharply as a result of the residential real estate market crisis in 2007. That charge is reflected in losses from bank investment securities in the consolidated statement of income. Excluding the impairment charge, noninterest income was $1.06 billion in 2007, 1% higher than in 2006. Higher service charges on deposit accounts, trust income, and trading account and foreign exchange gains, and</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80"/>
        <w:spacing w:after="0" w:line="248" w:lineRule="auto"/>
        <w:rPr>
          <w:sz w:val="20"/>
          <w:szCs w:val="20"/>
          <w:color w:val="auto"/>
        </w:rPr>
      </w:pPr>
      <w:r>
        <w:rPr>
          <w:rFonts w:ascii="Arial" w:cs="Arial" w:eastAsia="Arial" w:hAnsi="Arial"/>
          <w:sz w:val="14"/>
          <w:szCs w:val="14"/>
          <w:color w:val="auto"/>
        </w:rPr>
        <w:t>$9 million related to M&amp;T’s pro-rata portion of the operating results of BLG were largely offset by a $31 million decline in mortgage banking revenues. Contributing to the decline in mortgage banking revenues were changing market conditions, which led to slimmer margins realized on sales of residential real estate loans. In addition, the Company recognized $18 million of losses in the first quarter related to its Alt-A loan portfolio due to declines in the market values of such loans. Included in noninterest income in 2006 was a $13 million gain resulting from the accelerated recognition of a purchase accounting premium related to the call of a $200 million Federal Home Loan Bank (“FHLB”) of Atlanta borrowing assumed in a previous acquisition.</w:t>
      </w:r>
    </w:p>
    <w:p>
      <w:pPr>
        <w:ind w:left="680" w:firstLine="599"/>
        <w:spacing w:after="0" w:line="244" w:lineRule="auto"/>
        <w:rPr>
          <w:sz w:val="20"/>
          <w:szCs w:val="20"/>
          <w:color w:val="auto"/>
        </w:rPr>
      </w:pPr>
      <w:r>
        <w:rPr>
          <w:rFonts w:ascii="Arial" w:cs="Arial" w:eastAsia="Arial" w:hAnsi="Arial"/>
          <w:sz w:val="14"/>
          <w:szCs w:val="14"/>
          <w:color w:val="auto"/>
        </w:rPr>
        <w:t>Noninterest income in 2006 increased 10% from $950 million in 2005. In addition to the $13 million gain noted above, higher mortgage banking revenues, service charges on deposit accounts, trust income, brokerage services income, and other revenues contributed to that improvement. Furthermore, losses from bank investment securities in 2005 included a $29 million other-than-temporary impairment charge related to preferred stock issuances of the Federal National Mortgage Association (“FNMA”) and the Federal Home Loan Mortgage Corporation (“FHLMC”). Excluding the impact of securities gains and losses in both years and the $13 million gain on the called borrowing in 2006, noninterest income rose 5% from 2005 to 2006.</w:t>
      </w:r>
    </w:p>
    <w:p>
      <w:pPr>
        <w:spacing w:after="0" w:line="2" w:lineRule="exact"/>
        <w:rPr>
          <w:sz w:val="20"/>
          <w:szCs w:val="20"/>
          <w:color w:val="auto"/>
        </w:rPr>
      </w:pPr>
    </w:p>
    <w:p>
      <w:pPr>
        <w:ind w:left="680" w:right="160" w:firstLine="599"/>
        <w:spacing w:after="0" w:line="285" w:lineRule="auto"/>
        <w:rPr>
          <w:sz w:val="20"/>
          <w:szCs w:val="20"/>
          <w:color w:val="auto"/>
        </w:rPr>
      </w:pPr>
      <w:r>
        <w:rPr>
          <w:rFonts w:ascii="Arial" w:cs="Arial" w:eastAsia="Arial" w:hAnsi="Arial"/>
          <w:sz w:val="12"/>
          <w:szCs w:val="12"/>
          <w:color w:val="auto"/>
        </w:rPr>
        <w:t>Noninterest expense in 2007 aggregated $1.63 billion, up 5% from $1.55 billion in 2006. Noninterest expense in 2005 was $1.49 billion. Included in such amounts are expenses considered by M&amp;T to be “nonoperating” in nature, consisting of amortization of core deposit and other intangible assets of $66 million, $63 million and</w:t>
      </w:r>
    </w:p>
    <w:p>
      <w:pPr>
        <w:ind w:left="680"/>
        <w:spacing w:after="0" w:line="244" w:lineRule="auto"/>
        <w:rPr>
          <w:sz w:val="20"/>
          <w:szCs w:val="20"/>
          <w:color w:val="auto"/>
        </w:rPr>
      </w:pPr>
      <w:r>
        <w:rPr>
          <w:rFonts w:ascii="Arial" w:cs="Arial" w:eastAsia="Arial" w:hAnsi="Arial"/>
          <w:sz w:val="14"/>
          <w:szCs w:val="14"/>
          <w:color w:val="auto"/>
        </w:rPr>
        <w:t>$57 million in 2007, 2006 and 2005, respectively, and merger- related expenses of $15 million in 2007 and $5 million in 2006. There were no merger-related expenses in 2005. Exclusive of these nonoperating expenses, noninterest operating expenses aggregated $1.55 billion in 2007, $1.48 billion in 2006 and $1.43 billion in 2005. Noninterest operating expenses in 2007 included a $23 million charge representing the Company’s estimated liability related to litigation involving Visa as already discussed. Included in operating expenses in 2006 was an $18 million tax-deductible contribution made to The M&amp;T Charitable Foundation, a tax-exempt private charitable foundation. There were no similar contributions made in 2007 or in 2005. Excluding the impact of the Visa charge in 2007 and the charitable contribution in 2006, operating expenses in 2007 were up 4% from 2006, largely due to a higher level of salaries and employee benefits expense reflecting the impact of merit pay increases, increased incentive compensation and higher costs for providing medical benefits to employees. Excluding the impact of the charitable contribution, operating expenses in 2006 increased $37 million, or 3%, from 2005. The most significant contributor to that increase was a higher level of salaries expense, reflecting the impact of merit pay increases and higher stock-based compensation costs and other incentive pay.</w:t>
      </w:r>
    </w:p>
    <w:p>
      <w:pPr>
        <w:spacing w:after="0" w:line="3" w:lineRule="exact"/>
        <w:rPr>
          <w:sz w:val="20"/>
          <w:szCs w:val="20"/>
          <w:color w:val="auto"/>
        </w:rPr>
      </w:pPr>
    </w:p>
    <w:p>
      <w:pPr>
        <w:ind w:left="680" w:right="140" w:firstLine="599"/>
        <w:spacing w:after="0" w:line="249" w:lineRule="auto"/>
        <w:rPr>
          <w:sz w:val="20"/>
          <w:szCs w:val="20"/>
          <w:color w:val="auto"/>
        </w:rPr>
      </w:pPr>
      <w:r>
        <w:rPr>
          <w:rFonts w:ascii="Arial" w:cs="Arial" w:eastAsia="Arial" w:hAnsi="Arial"/>
          <w:sz w:val="14"/>
          <w:szCs w:val="14"/>
          <w:color w:val="auto"/>
        </w:rPr>
        <w:t>The efficiency ratio expresses the relationship of operating expenses to revenues. The Company’s efficiency ratio, or noninterest operating expenses divided by the sum of taxable-equivalent net interest income and noninterest income (exclusive of gains and losses from bank investment securities), was 52.8% in 2007, compared with 51.5% in 2006 and 51.2% in 2005.</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167"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EARNINGS SUMMARY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10"/>
            <w:vMerge w:val="restart"/>
          </w:tcPr>
          <w:p>
            <w:pPr>
              <w:ind w:left="20"/>
              <w:spacing w:after="0"/>
              <w:rPr>
                <w:sz w:val="20"/>
                <w:szCs w:val="20"/>
                <w:color w:val="auto"/>
              </w:rPr>
            </w:pPr>
            <w:r>
              <w:rPr>
                <w:rFonts w:ascii="Arial" w:cs="Arial" w:eastAsia="Arial" w:hAnsi="Arial"/>
                <w:sz w:val="10"/>
                <w:szCs w:val="10"/>
                <w:b w:val="1"/>
                <w:bCs w:val="1"/>
                <w:color w:val="auto"/>
              </w:rPr>
              <w:t>Increase (Decrease)(a)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0"/>
              </w:rPr>
              <w:t>Compound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10"/>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4"/>
              </w:rPr>
              <w:t>Growth Rate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6"/>
          </w:tcPr>
          <w:p>
            <w:pPr>
              <w:jc w:val="right"/>
              <w:ind w:right="199"/>
              <w:spacing w:after="0" w:line="96" w:lineRule="exact"/>
              <w:rPr>
                <w:sz w:val="20"/>
                <w:szCs w:val="20"/>
                <w:color w:val="auto"/>
              </w:rPr>
            </w:pPr>
            <w:r>
              <w:rPr>
                <w:rFonts w:ascii="Arial" w:cs="Arial" w:eastAsia="Arial" w:hAnsi="Arial"/>
                <w:sz w:val="10"/>
                <w:szCs w:val="10"/>
                <w:b w:val="1"/>
                <w:bCs w:val="1"/>
                <w:color w:val="auto"/>
              </w:rPr>
              <w:t>2006 to 2007</w:t>
            </w: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4"/>
          </w:tcPr>
          <w:p>
            <w:pPr>
              <w:ind w:left="140"/>
              <w:spacing w:after="0" w:line="96" w:lineRule="exact"/>
              <w:rPr>
                <w:sz w:val="20"/>
                <w:szCs w:val="20"/>
                <w:color w:val="auto"/>
              </w:rPr>
            </w:pPr>
            <w:r>
              <w:rPr>
                <w:rFonts w:ascii="Arial" w:cs="Arial" w:eastAsia="Arial" w:hAnsi="Arial"/>
                <w:sz w:val="10"/>
                <w:szCs w:val="10"/>
                <w:b w:val="1"/>
                <w:bCs w:val="1"/>
                <w:color w:val="auto"/>
                <w:w w:val="94"/>
              </w:rPr>
              <w:t>2005 to 2006</w:t>
            </w: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ind w:right="120"/>
              <w:spacing w:after="0" w:line="96" w:lineRule="exact"/>
              <w:rPr>
                <w:sz w:val="20"/>
                <w:szCs w:val="20"/>
                <w:color w:val="auto"/>
              </w:rPr>
            </w:pPr>
            <w:r>
              <w:rPr>
                <w:rFonts w:ascii="Arial" w:cs="Arial" w:eastAsia="Arial" w:hAnsi="Arial"/>
                <w:sz w:val="10"/>
                <w:szCs w:val="10"/>
                <w:b w:val="1"/>
                <w:bCs w:val="1"/>
                <w:color w:val="auto"/>
              </w:rPr>
              <w:t>Amount</w:t>
            </w:r>
          </w:p>
        </w:tc>
        <w:tc>
          <w:tcPr>
            <w:tcW w:w="320" w:type="dxa"/>
            <w:vAlign w:val="bottom"/>
            <w:gridSpan w:val="3"/>
          </w:tcPr>
          <w:p>
            <w:pPr>
              <w:jc w:val="right"/>
              <w:spacing w:after="0" w:line="96"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4"/>
          </w:tcPr>
          <w:p>
            <w:pPr>
              <w:ind w:left="40"/>
              <w:spacing w:after="0" w:line="96" w:lineRule="exact"/>
              <w:rPr>
                <w:sz w:val="20"/>
                <w:szCs w:val="20"/>
                <w:color w:val="auto"/>
              </w:rPr>
            </w:pPr>
            <w:r>
              <w:rPr>
                <w:rFonts w:ascii="Arial" w:cs="Arial" w:eastAsia="Arial" w:hAnsi="Arial"/>
                <w:sz w:val="10"/>
                <w:szCs w:val="10"/>
                <w:b w:val="1"/>
                <w:bCs w:val="1"/>
                <w:color w:val="auto"/>
              </w:rPr>
              <w:t>Amount</w:t>
            </w:r>
          </w:p>
        </w:tc>
        <w:tc>
          <w:tcPr>
            <w:tcW w:w="120" w:type="dxa"/>
            <w:vAlign w:val="bottom"/>
          </w:tcPr>
          <w:p>
            <w:pPr>
              <w:jc w:val="right"/>
              <w:spacing w:after="0" w:line="96" w:lineRule="exact"/>
              <w:rPr>
                <w:sz w:val="20"/>
                <w:szCs w:val="20"/>
                <w:color w:val="auto"/>
              </w:rPr>
            </w:pPr>
            <w:r>
              <w:rPr>
                <w:rFonts w:ascii="Arial" w:cs="Arial" w:eastAsia="Arial" w:hAnsi="Arial"/>
                <w:sz w:val="10"/>
                <w:szCs w:val="10"/>
                <w:b w:val="1"/>
                <w:bCs w:val="1"/>
                <w:color w:val="auto"/>
                <w:w w:val="89"/>
              </w:rPr>
              <w:t>%</w:t>
            </w:r>
          </w:p>
        </w:tc>
        <w:tc>
          <w:tcPr>
            <w:tcW w:w="1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jc w:val="right"/>
              <w:ind w:right="9"/>
              <w:spacing w:after="0" w:line="96"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Pr>
          <w:p>
            <w:pPr>
              <w:spacing w:after="0"/>
              <w:rPr>
                <w:sz w:val="8"/>
                <w:szCs w:val="8"/>
                <w:color w:val="auto"/>
              </w:rPr>
            </w:pPr>
          </w:p>
        </w:tc>
        <w:tc>
          <w:tcPr>
            <w:tcW w:w="560" w:type="dxa"/>
            <w:vAlign w:val="bottom"/>
            <w:gridSpan w:val="3"/>
          </w:tcPr>
          <w:p>
            <w:pPr>
              <w:jc w:val="right"/>
              <w:ind w:right="9"/>
              <w:spacing w:after="0" w:line="96" w:lineRule="exact"/>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8"/>
                <w:szCs w:val="8"/>
                <w:color w:val="auto"/>
              </w:rPr>
            </w:pPr>
          </w:p>
        </w:tc>
        <w:tc>
          <w:tcPr>
            <w:tcW w:w="560" w:type="dxa"/>
            <w:vAlign w:val="bottom"/>
            <w:gridSpan w:val="3"/>
          </w:tcPr>
          <w:p>
            <w:pPr>
              <w:jc w:val="right"/>
              <w:spacing w:after="0" w:line="96" w:lineRule="exact"/>
              <w:rPr>
                <w:sz w:val="20"/>
                <w:szCs w:val="20"/>
                <w:color w:val="auto"/>
              </w:rPr>
            </w:pPr>
            <w:r>
              <w:rPr>
                <w:rFonts w:ascii="Arial" w:cs="Arial" w:eastAsia="Arial" w:hAnsi="Arial"/>
                <w:sz w:val="10"/>
                <w:szCs w:val="10"/>
                <w:b w:val="1"/>
                <w:bCs w:val="1"/>
                <w:color w:val="auto"/>
              </w:rPr>
              <w:t>2005</w:t>
            </w:r>
          </w:p>
        </w:tc>
        <w:tc>
          <w:tcPr>
            <w:tcW w:w="180" w:type="dxa"/>
            <w:vAlign w:val="bottom"/>
          </w:tcPr>
          <w:p>
            <w:pPr>
              <w:spacing w:after="0"/>
              <w:rPr>
                <w:sz w:val="8"/>
                <w:szCs w:val="8"/>
                <w:color w:val="auto"/>
              </w:rPr>
            </w:pPr>
          </w:p>
        </w:tc>
        <w:tc>
          <w:tcPr>
            <w:tcW w:w="560" w:type="dxa"/>
            <w:vAlign w:val="bottom"/>
            <w:gridSpan w:val="3"/>
          </w:tcPr>
          <w:p>
            <w:pPr>
              <w:jc w:val="right"/>
              <w:ind w:right="9"/>
              <w:spacing w:after="0" w:line="96" w:lineRule="exact"/>
              <w:rPr>
                <w:sz w:val="20"/>
                <w:szCs w:val="20"/>
                <w:color w:val="auto"/>
              </w:rPr>
            </w:pPr>
            <w:r>
              <w:rPr>
                <w:rFonts w:ascii="Arial" w:cs="Arial" w:eastAsia="Arial" w:hAnsi="Arial"/>
                <w:sz w:val="10"/>
                <w:szCs w:val="10"/>
                <w:b w:val="1"/>
                <w:bCs w:val="1"/>
                <w:color w:val="auto"/>
              </w:rPr>
              <w:t>2004</w:t>
            </w:r>
          </w:p>
        </w:tc>
        <w:tc>
          <w:tcPr>
            <w:tcW w:w="160" w:type="dxa"/>
            <w:vAlign w:val="bottom"/>
          </w:tcPr>
          <w:p>
            <w:pPr>
              <w:spacing w:after="0"/>
              <w:rPr>
                <w:sz w:val="8"/>
                <w:szCs w:val="8"/>
                <w:color w:val="auto"/>
              </w:rPr>
            </w:pPr>
          </w:p>
        </w:tc>
        <w:tc>
          <w:tcPr>
            <w:tcW w:w="560" w:type="dxa"/>
            <w:vAlign w:val="bottom"/>
            <w:gridSpan w:val="3"/>
          </w:tcPr>
          <w:p>
            <w:pPr>
              <w:jc w:val="right"/>
              <w:ind w:right="9"/>
              <w:spacing w:after="0" w:line="96" w:lineRule="exact"/>
              <w:rPr>
                <w:sz w:val="20"/>
                <w:szCs w:val="20"/>
                <w:color w:val="auto"/>
              </w:rPr>
            </w:pPr>
            <w:r>
              <w:rPr>
                <w:rFonts w:ascii="Arial" w:cs="Arial" w:eastAsia="Arial" w:hAnsi="Arial"/>
                <w:sz w:val="10"/>
                <w:szCs w:val="10"/>
                <w:b w:val="1"/>
                <w:bCs w:val="1"/>
                <w:color w:val="auto"/>
              </w:rPr>
              <w:t>2003</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4"/>
              </w:rPr>
              <w:t>2002 to 2007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231.9</w:t>
            </w:r>
          </w:p>
        </w:tc>
        <w:tc>
          <w:tcPr>
            <w:tcW w:w="80" w:type="dxa"/>
            <w:vAlign w:val="bottom"/>
            <w:shd w:val="clear" w:color="auto" w:fill="CCEEFF"/>
          </w:tcPr>
          <w:p>
            <w:pPr>
              <w:spacing w:after="0"/>
              <w:rPr>
                <w:sz w:val="9"/>
                <w:szCs w:val="9"/>
                <w:color w:val="auto"/>
              </w:rPr>
            </w:pPr>
          </w:p>
        </w:tc>
        <w:tc>
          <w:tcPr>
            <w:tcW w:w="32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Borders>
              <w:left w:val="single" w:sz="8" w:color="CCEEFF"/>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527.8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89"/>
              </w:rPr>
              <w:t>19</w:t>
            </w:r>
          </w:p>
        </w:tc>
        <w:tc>
          <w:tcPr>
            <w:tcW w:w="100" w:type="dxa"/>
            <w:vAlign w:val="bottom"/>
            <w:shd w:val="clear" w:color="auto" w:fill="CCEEFF"/>
          </w:tcPr>
          <w:p>
            <w:pPr>
              <w:spacing w:after="0"/>
              <w:rPr>
                <w:sz w:val="9"/>
                <w:szCs w:val="9"/>
                <w:color w:val="auto"/>
              </w:rPr>
            </w:pPr>
          </w:p>
        </w:tc>
        <w:tc>
          <w:tcPr>
            <w:tcW w:w="326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Interest income(b)</w:t>
            </w:r>
          </w:p>
        </w:tc>
        <w:tc>
          <w:tcPr>
            <w:tcW w:w="1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83"/>
              </w:rPr>
              <w:t>3,565.6</w:t>
            </w:r>
          </w:p>
        </w:tc>
        <w:tc>
          <w:tcPr>
            <w:tcW w:w="18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3,333.8</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2,806.0</w:t>
            </w:r>
          </w:p>
        </w:tc>
        <w:tc>
          <w:tcPr>
            <w:tcW w:w="18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2,316.1</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2,142.9</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29"/>
              <w:spacing w:after="0" w:line="106"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198.0</w:t>
            </w:r>
          </w:p>
        </w:tc>
        <w:tc>
          <w:tcPr>
            <w:tcW w:w="80" w:type="dxa"/>
            <w:vAlign w:val="bottom"/>
          </w:tcPr>
          <w:p>
            <w:pPr>
              <w:spacing w:after="0"/>
              <w:rPr>
                <w:sz w:val="9"/>
                <w:szCs w:val="9"/>
                <w:color w:val="auto"/>
              </w:rPr>
            </w:pPr>
          </w:p>
        </w:tc>
        <w:tc>
          <w:tcPr>
            <w:tcW w:w="32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502.2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Arial" w:cs="Arial" w:eastAsia="Arial" w:hAnsi="Arial"/>
                <w:sz w:val="10"/>
                <w:szCs w:val="10"/>
                <w:color w:val="auto"/>
                <w:w w:val="89"/>
              </w:rPr>
              <w:t>51</w:t>
            </w:r>
          </w:p>
        </w:tc>
        <w:tc>
          <w:tcPr>
            <w:tcW w:w="100" w:type="dxa"/>
            <w:vAlign w:val="bottom"/>
          </w:tcPr>
          <w:p>
            <w:pPr>
              <w:spacing w:after="0"/>
              <w:rPr>
                <w:sz w:val="9"/>
                <w:szCs w:val="9"/>
                <w:color w:val="auto"/>
              </w:rPr>
            </w:pPr>
          </w:p>
        </w:tc>
        <w:tc>
          <w:tcPr>
            <w:tcW w:w="3260" w:type="dxa"/>
            <w:vAlign w:val="bottom"/>
          </w:tcPr>
          <w:p>
            <w:pPr>
              <w:ind w:left="80"/>
              <w:spacing w:after="0" w:line="106" w:lineRule="exact"/>
              <w:rPr>
                <w:sz w:val="20"/>
                <w:szCs w:val="20"/>
                <w:color w:val="auto"/>
              </w:rPr>
            </w:pPr>
            <w:r>
              <w:rPr>
                <w:rFonts w:ascii="Arial" w:cs="Arial" w:eastAsia="Arial" w:hAnsi="Arial"/>
                <w:sz w:val="10"/>
                <w:szCs w:val="10"/>
                <w:color w:val="auto"/>
              </w:rPr>
              <w:t>Interest expense</w:t>
            </w:r>
          </w:p>
        </w:tc>
        <w:tc>
          <w:tcPr>
            <w:tcW w:w="1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83"/>
              </w:rPr>
              <w:t>1,694.</w:t>
            </w:r>
            <w:r>
              <w:rPr>
                <w:rFonts w:ascii="Arial" w:cs="Arial" w:eastAsia="Arial" w:hAnsi="Arial"/>
                <w:sz w:val="10"/>
                <w:szCs w:val="10"/>
                <w:u w:val="single" w:color="auto"/>
                <w:color w:val="auto"/>
                <w:w w:val="83"/>
              </w:rPr>
              <w:t>6</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1,496.</w:t>
            </w:r>
            <w:r>
              <w:rPr>
                <w:rFonts w:ascii="Arial" w:cs="Arial" w:eastAsia="Arial" w:hAnsi="Arial"/>
                <w:sz w:val="10"/>
                <w:szCs w:val="10"/>
                <w:u w:val="single" w:color="auto"/>
                <w:color w:val="auto"/>
              </w:rPr>
              <w:t>6</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994.4</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564.2</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527.8</w:t>
            </w:r>
          </w:p>
        </w:tc>
        <w:tc>
          <w:tcPr>
            <w:tcW w:w="160" w:type="dxa"/>
            <w:vAlign w:val="bottom"/>
          </w:tcPr>
          <w:p>
            <w:pPr>
              <w:spacing w:after="0"/>
              <w:rPr>
                <w:sz w:val="9"/>
                <w:szCs w:val="9"/>
                <w:color w:val="auto"/>
              </w:rPr>
            </w:pPr>
          </w:p>
        </w:tc>
        <w:tc>
          <w:tcPr>
            <w:tcW w:w="940" w:type="dxa"/>
            <w:vAlign w:val="bottom"/>
            <w:gridSpan w:val="2"/>
          </w:tcPr>
          <w:p>
            <w:pPr>
              <w:jc w:val="center"/>
              <w:ind w:left="29"/>
              <w:spacing w:after="0" w:line="106" w:lineRule="exact"/>
              <w:rPr>
                <w:sz w:val="20"/>
                <w:szCs w:val="20"/>
                <w:color w:val="auto"/>
              </w:rPr>
            </w:pPr>
            <w:r>
              <w:rPr>
                <w:rFonts w:ascii="Arial" w:cs="Arial" w:eastAsia="Arial" w:hAnsi="Arial"/>
                <w:sz w:val="10"/>
                <w:szCs w:val="10"/>
                <w:color w:val="auto"/>
                <w:w w:val="8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33.9</w:t>
            </w:r>
          </w:p>
        </w:tc>
        <w:tc>
          <w:tcPr>
            <w:tcW w:w="80" w:type="dxa"/>
            <w:vAlign w:val="bottom"/>
            <w:shd w:val="clear" w:color="auto" w:fill="CCEEFF"/>
          </w:tcPr>
          <w:p>
            <w:pPr>
              <w:spacing w:after="0"/>
              <w:rPr>
                <w:sz w:val="9"/>
                <w:szCs w:val="9"/>
                <w:color w:val="auto"/>
              </w:rPr>
            </w:pPr>
          </w:p>
        </w:tc>
        <w:tc>
          <w:tcPr>
            <w:tcW w:w="32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left w:val="single" w:sz="8" w:color="CCEEFF"/>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25.6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326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Net interest income(b)</w:t>
            </w: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83"/>
              </w:rPr>
              <w:t>1,871.0</w:t>
            </w:r>
          </w:p>
        </w:tc>
        <w:tc>
          <w:tcPr>
            <w:tcW w:w="18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1,837.2</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1,811.6</w:t>
            </w:r>
          </w:p>
        </w:tc>
        <w:tc>
          <w:tcPr>
            <w:tcW w:w="18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1,751.9</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1,615.1</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left="49"/>
              <w:spacing w:after="0" w:line="106" w:lineRule="exact"/>
              <w:rPr>
                <w:sz w:val="20"/>
                <w:szCs w:val="20"/>
                <w:color w:val="auto"/>
              </w:rPr>
            </w:pPr>
            <w:r>
              <w:rPr>
                <w:rFonts w:ascii="Arial" w:cs="Arial" w:eastAsia="Arial" w:hAnsi="Arial"/>
                <w:sz w:val="10"/>
                <w:szCs w:val="10"/>
                <w:color w:val="auto"/>
                <w:w w:val="71"/>
              </w:rPr>
              <w:t>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112.0</w:t>
            </w:r>
          </w:p>
        </w:tc>
        <w:tc>
          <w:tcPr>
            <w:tcW w:w="80" w:type="dxa"/>
            <w:vAlign w:val="bottom"/>
          </w:tcPr>
          <w:p>
            <w:pPr>
              <w:spacing w:after="0"/>
              <w:rPr>
                <w:sz w:val="9"/>
                <w:szCs w:val="9"/>
                <w:color w:val="auto"/>
              </w:rPr>
            </w:pPr>
          </w:p>
        </w:tc>
        <w:tc>
          <w:tcPr>
            <w:tcW w:w="32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140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(9)</w:t>
            </w:r>
          </w:p>
        </w:tc>
        <w:tc>
          <w:tcPr>
            <w:tcW w:w="3260" w:type="dxa"/>
            <w:vAlign w:val="bottom"/>
          </w:tcPr>
          <w:p>
            <w:pPr>
              <w:ind w:left="80"/>
              <w:spacing w:after="0" w:line="106" w:lineRule="exact"/>
              <w:rPr>
                <w:sz w:val="20"/>
                <w:szCs w:val="20"/>
                <w:color w:val="auto"/>
              </w:rPr>
            </w:pPr>
            <w:r>
              <w:rPr>
                <w:rFonts w:ascii="Arial" w:cs="Arial" w:eastAsia="Arial" w:hAnsi="Arial"/>
                <w:sz w:val="10"/>
                <w:szCs w:val="10"/>
                <w:color w:val="auto"/>
              </w:rPr>
              <w:t>Less: provision for credit losses</w:t>
            </w:r>
          </w:p>
        </w:tc>
        <w:tc>
          <w:tcPr>
            <w:tcW w:w="1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192.0</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80.0</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88.0</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95.0</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131.0</w:t>
            </w:r>
          </w:p>
        </w:tc>
        <w:tc>
          <w:tcPr>
            <w:tcW w:w="160" w:type="dxa"/>
            <w:vAlign w:val="bottom"/>
          </w:tcPr>
          <w:p>
            <w:pPr>
              <w:spacing w:after="0"/>
              <w:rPr>
                <w:sz w:val="9"/>
                <w:szCs w:val="9"/>
                <w:color w:val="auto"/>
              </w:rPr>
            </w:pPr>
          </w:p>
        </w:tc>
        <w:tc>
          <w:tcPr>
            <w:tcW w:w="940" w:type="dxa"/>
            <w:vAlign w:val="bottom"/>
            <w:gridSpan w:val="2"/>
          </w:tcPr>
          <w:p>
            <w:pPr>
              <w:jc w:val="center"/>
              <w:ind w:left="49"/>
              <w:spacing w:after="0" w:line="106" w:lineRule="exact"/>
              <w:rPr>
                <w:sz w:val="20"/>
                <w:szCs w:val="20"/>
                <w:color w:val="auto"/>
              </w:rPr>
            </w:pPr>
            <w:r>
              <w:rPr>
                <w:rFonts w:ascii="Arial" w:cs="Arial" w:eastAsia="Arial" w:hAnsi="Arial"/>
                <w:sz w:val="10"/>
                <w:szCs w:val="10"/>
                <w:color w:val="auto"/>
                <w:w w:val="71"/>
              </w:rPr>
              <w:t>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(128.7)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59"/>
              <w:spacing w:after="0" w:line="106"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left w:val="single" w:sz="8" w:color="CCEEFF"/>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30.7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w w:val="99"/>
              </w:rPr>
              <w:t>—</w:t>
            </w:r>
          </w:p>
        </w:tc>
        <w:tc>
          <w:tcPr>
            <w:tcW w:w="326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Gain (loss) on bank investment securities</w:t>
            </w:r>
          </w:p>
        </w:tc>
        <w:tc>
          <w:tcPr>
            <w:tcW w:w="1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(126.1)</w:t>
            </w: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2.6</w:t>
            </w:r>
          </w:p>
        </w:tc>
        <w:tc>
          <w:tcPr>
            <w:tcW w:w="160" w:type="dxa"/>
            <w:vAlign w:val="bottom"/>
            <w:shd w:val="clear" w:color="auto" w:fill="CCEEFF"/>
          </w:tcPr>
          <w:p>
            <w:pPr>
              <w:spacing w:after="0"/>
              <w:rPr>
                <w:sz w:val="9"/>
                <w:szCs w:val="9"/>
                <w:color w:val="auto"/>
              </w:rPr>
            </w:pPr>
          </w:p>
        </w:tc>
        <w:tc>
          <w:tcPr>
            <w:tcW w:w="740" w:type="dxa"/>
            <w:vAlign w:val="bottom"/>
            <w:gridSpan w:val="4"/>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(28.1)</w:t>
            </w: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2.9</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06"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15.8</w:t>
            </w:r>
          </w:p>
        </w:tc>
        <w:tc>
          <w:tcPr>
            <w:tcW w:w="80" w:type="dxa"/>
            <w:vAlign w:val="bottom"/>
          </w:tcPr>
          <w:p>
            <w:pPr>
              <w:spacing w:after="0"/>
              <w:rPr>
                <w:sz w:val="9"/>
                <w:szCs w:val="9"/>
                <w:color w:val="auto"/>
              </w:rPr>
            </w:pPr>
          </w:p>
        </w:tc>
        <w:tc>
          <w:tcPr>
            <w:tcW w:w="32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65.4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100" w:type="dxa"/>
            <w:vAlign w:val="bottom"/>
          </w:tcPr>
          <w:p>
            <w:pPr>
              <w:spacing w:after="0"/>
              <w:rPr>
                <w:sz w:val="9"/>
                <w:szCs w:val="9"/>
                <w:color w:val="auto"/>
              </w:rPr>
            </w:pPr>
          </w:p>
        </w:tc>
        <w:tc>
          <w:tcPr>
            <w:tcW w:w="3260" w:type="dxa"/>
            <w:vAlign w:val="bottom"/>
          </w:tcPr>
          <w:p>
            <w:pPr>
              <w:ind w:left="80"/>
              <w:spacing w:after="0" w:line="106" w:lineRule="exact"/>
              <w:rPr>
                <w:sz w:val="20"/>
                <w:szCs w:val="20"/>
                <w:color w:val="auto"/>
              </w:rPr>
            </w:pPr>
            <w:r>
              <w:rPr>
                <w:rFonts w:ascii="Arial" w:cs="Arial" w:eastAsia="Arial" w:hAnsi="Arial"/>
                <w:sz w:val="10"/>
                <w:szCs w:val="10"/>
                <w:color w:val="auto"/>
              </w:rPr>
              <w:t>Other income</w:t>
            </w:r>
          </w:p>
        </w:tc>
        <w:tc>
          <w:tcPr>
            <w:tcW w:w="1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83"/>
              </w:rPr>
              <w:t>1,059.1</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1,043.2</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977.8</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940.1</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828.6</w:t>
            </w:r>
          </w:p>
        </w:tc>
        <w:tc>
          <w:tcPr>
            <w:tcW w:w="160" w:type="dxa"/>
            <w:vAlign w:val="bottom"/>
          </w:tcPr>
          <w:p>
            <w:pPr>
              <w:spacing w:after="0"/>
              <w:rPr>
                <w:sz w:val="9"/>
                <w:szCs w:val="9"/>
                <w:color w:val="auto"/>
              </w:rPr>
            </w:pPr>
          </w:p>
        </w:tc>
        <w:tc>
          <w:tcPr>
            <w:tcW w:w="940" w:type="dxa"/>
            <w:vAlign w:val="bottom"/>
            <w:gridSpan w:val="2"/>
          </w:tcPr>
          <w:p>
            <w:pPr>
              <w:jc w:val="center"/>
              <w:ind w:left="29"/>
              <w:spacing w:after="0" w:line="106" w:lineRule="exact"/>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6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Less:</w:t>
            </w: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35.0</w:t>
            </w:r>
          </w:p>
        </w:tc>
        <w:tc>
          <w:tcPr>
            <w:tcW w:w="80" w:type="dxa"/>
            <w:vAlign w:val="bottom"/>
          </w:tcPr>
          <w:p>
            <w:pPr>
              <w:spacing w:after="0"/>
              <w:rPr>
                <w:sz w:val="9"/>
                <w:szCs w:val="9"/>
                <w:color w:val="auto"/>
              </w:rPr>
            </w:pPr>
          </w:p>
        </w:tc>
        <w:tc>
          <w:tcPr>
            <w:tcW w:w="32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51.1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Arial" w:cs="Arial" w:eastAsia="Arial" w:hAnsi="Arial"/>
                <w:sz w:val="10"/>
                <w:szCs w:val="10"/>
                <w:color w:val="auto"/>
              </w:rPr>
              <w:t>6</w:t>
            </w:r>
          </w:p>
        </w:tc>
        <w:tc>
          <w:tcPr>
            <w:tcW w:w="100" w:type="dxa"/>
            <w:vAlign w:val="bottom"/>
          </w:tcPr>
          <w:p>
            <w:pPr>
              <w:spacing w:after="0"/>
              <w:rPr>
                <w:sz w:val="9"/>
                <w:szCs w:val="9"/>
                <w:color w:val="auto"/>
              </w:rPr>
            </w:pPr>
          </w:p>
        </w:tc>
        <w:tc>
          <w:tcPr>
            <w:tcW w:w="3260" w:type="dxa"/>
            <w:vAlign w:val="bottom"/>
          </w:tcPr>
          <w:p>
            <w:pPr>
              <w:ind w:left="120"/>
              <w:spacing w:after="0" w:line="106" w:lineRule="exact"/>
              <w:rPr>
                <w:sz w:val="20"/>
                <w:szCs w:val="20"/>
                <w:color w:val="auto"/>
              </w:rPr>
            </w:pPr>
            <w:r>
              <w:rPr>
                <w:rFonts w:ascii="Arial" w:cs="Arial" w:eastAsia="Arial" w:hAnsi="Arial"/>
                <w:sz w:val="10"/>
                <w:szCs w:val="10"/>
                <w:color w:val="auto"/>
              </w:rPr>
              <w:t>Salaries and employee benefits</w:t>
            </w:r>
          </w:p>
        </w:tc>
        <w:tc>
          <w:tcPr>
            <w:tcW w:w="1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908.3</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873.3</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822.2</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806.6</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740.3</w:t>
            </w:r>
          </w:p>
        </w:tc>
        <w:tc>
          <w:tcPr>
            <w:tcW w:w="160" w:type="dxa"/>
            <w:vAlign w:val="bottom"/>
          </w:tcPr>
          <w:p>
            <w:pPr>
              <w:spacing w:after="0"/>
              <w:rPr>
                <w:sz w:val="9"/>
                <w:szCs w:val="9"/>
                <w:color w:val="auto"/>
              </w:rPr>
            </w:pPr>
          </w:p>
        </w:tc>
        <w:tc>
          <w:tcPr>
            <w:tcW w:w="940" w:type="dxa"/>
            <w:vAlign w:val="bottom"/>
            <w:gridSpan w:val="2"/>
          </w:tcPr>
          <w:p>
            <w:pPr>
              <w:jc w:val="center"/>
              <w:ind w:left="29"/>
              <w:spacing w:after="0" w:line="106" w:lineRule="exact"/>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40.9</w:t>
            </w:r>
          </w:p>
        </w:tc>
        <w:tc>
          <w:tcPr>
            <w:tcW w:w="80" w:type="dxa"/>
            <w:vAlign w:val="bottom"/>
            <w:shd w:val="clear" w:color="auto" w:fill="CCEEFF"/>
          </w:tcPr>
          <w:p>
            <w:pPr>
              <w:spacing w:after="0"/>
              <w:rPr>
                <w:sz w:val="9"/>
                <w:szCs w:val="9"/>
                <w:color w:val="auto"/>
              </w:rPr>
            </w:pPr>
          </w:p>
        </w:tc>
        <w:tc>
          <w:tcPr>
            <w:tcW w:w="180" w:type="dxa"/>
            <w:vAlign w:val="bottom"/>
            <w:gridSpan w:val="2"/>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left w:val="single" w:sz="8" w:color="CCEEFF"/>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15.5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9"/>
                <w:szCs w:val="9"/>
                <w:color w:val="auto"/>
              </w:rPr>
            </w:pPr>
          </w:p>
        </w:tc>
        <w:tc>
          <w:tcPr>
            <w:tcW w:w="326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Other expense</w:t>
            </w:r>
          </w:p>
        </w:tc>
        <w:tc>
          <w:tcPr>
            <w:tcW w:w="18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719.3</w:t>
            </w:r>
          </w:p>
        </w:tc>
        <w:tc>
          <w:tcPr>
            <w:tcW w:w="180" w:type="dxa"/>
            <w:vAlign w:val="bottom"/>
            <w:shd w:val="clear" w:color="auto" w:fill="CCEEFF"/>
          </w:tcPr>
          <w:p>
            <w:pPr>
              <w:spacing w:after="0"/>
              <w:rPr>
                <w:sz w:val="9"/>
                <w:szCs w:val="9"/>
                <w:color w:val="auto"/>
              </w:rPr>
            </w:pPr>
          </w:p>
        </w:tc>
        <w:tc>
          <w:tcPr>
            <w:tcW w:w="260" w:type="dxa"/>
            <w:vAlign w:val="bottom"/>
            <w:gridSpan w:val="2"/>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678.4</w:t>
            </w:r>
          </w:p>
        </w:tc>
        <w:tc>
          <w:tcPr>
            <w:tcW w:w="160" w:type="dxa"/>
            <w:vAlign w:val="bottom"/>
            <w:shd w:val="clear" w:color="auto" w:fill="CCEEFF"/>
          </w:tcPr>
          <w:p>
            <w:pPr>
              <w:spacing w:after="0"/>
              <w:rPr>
                <w:sz w:val="9"/>
                <w:szCs w:val="9"/>
                <w:color w:val="auto"/>
              </w:rPr>
            </w:pPr>
          </w:p>
        </w:tc>
        <w:tc>
          <w:tcPr>
            <w:tcW w:w="260" w:type="dxa"/>
            <w:vAlign w:val="bottom"/>
            <w:gridSpan w:val="2"/>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662.9</w:t>
            </w:r>
          </w:p>
        </w:tc>
        <w:tc>
          <w:tcPr>
            <w:tcW w:w="180" w:type="dxa"/>
            <w:vAlign w:val="bottom"/>
            <w:shd w:val="clear" w:color="auto" w:fill="CCEEFF"/>
          </w:tcPr>
          <w:p>
            <w:pPr>
              <w:spacing w:after="0"/>
              <w:rPr>
                <w:sz w:val="9"/>
                <w:szCs w:val="9"/>
                <w:color w:val="auto"/>
              </w:rPr>
            </w:pPr>
          </w:p>
        </w:tc>
        <w:tc>
          <w:tcPr>
            <w:tcW w:w="240" w:type="dxa"/>
            <w:vAlign w:val="bottom"/>
            <w:gridSpan w:val="2"/>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709.5</w:t>
            </w:r>
          </w:p>
        </w:tc>
        <w:tc>
          <w:tcPr>
            <w:tcW w:w="160" w:type="dxa"/>
            <w:vAlign w:val="bottom"/>
            <w:shd w:val="clear" w:color="auto" w:fill="CCEEFF"/>
          </w:tcPr>
          <w:p>
            <w:pPr>
              <w:spacing w:after="0"/>
              <w:rPr>
                <w:sz w:val="9"/>
                <w:szCs w:val="9"/>
                <w:color w:val="auto"/>
              </w:rPr>
            </w:pPr>
          </w:p>
        </w:tc>
        <w:tc>
          <w:tcPr>
            <w:tcW w:w="260" w:type="dxa"/>
            <w:vAlign w:val="bottom"/>
            <w:gridSpan w:val="2"/>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708.0</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left="49"/>
              <w:spacing w:after="0" w:line="106" w:lineRule="exact"/>
              <w:rPr>
                <w:sz w:val="20"/>
                <w:szCs w:val="20"/>
                <w:color w:val="auto"/>
              </w:rPr>
            </w:pPr>
            <w:r>
              <w:rPr>
                <w:rFonts w:ascii="Arial" w:cs="Arial" w:eastAsia="Arial" w:hAnsi="Arial"/>
                <w:sz w:val="10"/>
                <w:szCs w:val="10"/>
                <w:color w:val="auto"/>
                <w:w w:val="71"/>
              </w:rPr>
              <w:t>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(266.9)</w:t>
            </w:r>
          </w:p>
        </w:tc>
        <w:tc>
          <w:tcPr>
            <w:tcW w:w="180" w:type="dxa"/>
            <w:vAlign w:val="bottom"/>
            <w:gridSpan w:val="2"/>
          </w:tcPr>
          <w:p>
            <w:pPr>
              <w:spacing w:after="0"/>
              <w:rPr>
                <w:sz w:val="9"/>
                <w:szCs w:val="9"/>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4"/>
              </w:rPr>
              <w:t>(21)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63.1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00" w:type="dxa"/>
            <w:vAlign w:val="bottom"/>
          </w:tcPr>
          <w:p>
            <w:pPr>
              <w:spacing w:after="0"/>
              <w:rPr>
                <w:sz w:val="9"/>
                <w:szCs w:val="9"/>
                <w:color w:val="auto"/>
              </w:rPr>
            </w:pPr>
          </w:p>
        </w:tc>
        <w:tc>
          <w:tcPr>
            <w:tcW w:w="3260" w:type="dxa"/>
            <w:vAlign w:val="bottom"/>
          </w:tcPr>
          <w:p>
            <w:pPr>
              <w:ind w:left="80"/>
              <w:spacing w:after="0" w:line="106" w:lineRule="exact"/>
              <w:rPr>
                <w:sz w:val="20"/>
                <w:szCs w:val="20"/>
                <w:color w:val="auto"/>
              </w:rPr>
            </w:pPr>
            <w:r>
              <w:rPr>
                <w:rFonts w:ascii="Arial" w:cs="Arial" w:eastAsia="Arial" w:hAnsi="Arial"/>
                <w:sz w:val="10"/>
                <w:szCs w:val="10"/>
                <w:color w:val="auto"/>
              </w:rPr>
              <w:t>Income before income taxes</w:t>
            </w:r>
          </w:p>
        </w:tc>
        <w:tc>
          <w:tcPr>
            <w:tcW w:w="1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984.4</w:t>
            </w:r>
          </w:p>
        </w:tc>
        <w:tc>
          <w:tcPr>
            <w:tcW w:w="18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83"/>
              </w:rPr>
              <w:t>1,251.3</w:t>
            </w: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w w:val="83"/>
              </w:rPr>
              <w:t>1,188.2</w:t>
            </w:r>
          </w:p>
        </w:tc>
        <w:tc>
          <w:tcPr>
            <w:tcW w:w="1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w w:val="89"/>
              </w:rPr>
              <w:t>1,083.8</w:t>
            </w: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866.9</w:t>
            </w:r>
          </w:p>
        </w:tc>
        <w:tc>
          <w:tcPr>
            <w:tcW w:w="160" w:type="dxa"/>
            <w:vAlign w:val="bottom"/>
          </w:tcPr>
          <w:p>
            <w:pPr>
              <w:spacing w:after="0"/>
              <w:rPr>
                <w:sz w:val="9"/>
                <w:szCs w:val="9"/>
                <w:color w:val="auto"/>
              </w:rPr>
            </w:pPr>
          </w:p>
        </w:tc>
        <w:tc>
          <w:tcPr>
            <w:tcW w:w="940" w:type="dxa"/>
            <w:vAlign w:val="bottom"/>
            <w:gridSpan w:val="2"/>
          </w:tcPr>
          <w:p>
            <w:pPr>
              <w:jc w:val="center"/>
              <w:ind w:left="49"/>
              <w:spacing w:after="0" w:line="106" w:lineRule="exact"/>
              <w:rPr>
                <w:sz w:val="20"/>
                <w:szCs w:val="20"/>
                <w:color w:val="auto"/>
              </w:rPr>
            </w:pPr>
            <w:r>
              <w:rPr>
                <w:rFonts w:ascii="Arial" w:cs="Arial" w:eastAsia="Arial" w:hAnsi="Arial"/>
                <w:sz w:val="10"/>
                <w:szCs w:val="10"/>
                <w:color w:val="auto"/>
                <w:w w:val="71"/>
              </w:rPr>
              <w:t>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6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Less:</w:t>
            </w: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32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Arial" w:cs="Arial" w:eastAsia="Arial" w:hAnsi="Arial"/>
                <w:sz w:val="10"/>
                <w:szCs w:val="10"/>
                <w:color w:val="auto"/>
                <w:w w:val="89"/>
              </w:rPr>
              <w:t>14</w:t>
            </w:r>
          </w:p>
        </w:tc>
        <w:tc>
          <w:tcPr>
            <w:tcW w:w="100" w:type="dxa"/>
            <w:vAlign w:val="bottom"/>
          </w:tcPr>
          <w:p>
            <w:pPr>
              <w:spacing w:after="0"/>
              <w:rPr>
                <w:sz w:val="9"/>
                <w:szCs w:val="9"/>
                <w:color w:val="auto"/>
              </w:rPr>
            </w:pPr>
          </w:p>
        </w:tc>
        <w:tc>
          <w:tcPr>
            <w:tcW w:w="3260" w:type="dxa"/>
            <w:vAlign w:val="bottom"/>
          </w:tcPr>
          <w:p>
            <w:pPr>
              <w:ind w:left="120"/>
              <w:spacing w:after="0" w:line="106" w:lineRule="exact"/>
              <w:rPr>
                <w:sz w:val="20"/>
                <w:szCs w:val="20"/>
                <w:color w:val="auto"/>
              </w:rPr>
            </w:pPr>
            <w:r>
              <w:rPr>
                <w:rFonts w:ascii="Arial" w:cs="Arial" w:eastAsia="Arial" w:hAnsi="Arial"/>
                <w:sz w:val="10"/>
                <w:szCs w:val="10"/>
                <w:color w:val="auto"/>
              </w:rPr>
              <w:t>Taxable-equivalent adjustment(b)</w:t>
            </w:r>
          </w:p>
        </w:tc>
        <w:tc>
          <w:tcPr>
            <w:tcW w:w="18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20.8</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19.7</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17.3</w:t>
            </w:r>
          </w:p>
        </w:tc>
        <w:tc>
          <w:tcPr>
            <w:tcW w:w="18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17.3</w:t>
            </w:r>
          </w:p>
        </w:tc>
        <w:tc>
          <w:tcPr>
            <w:tcW w:w="160" w:type="dxa"/>
            <w:vAlign w:val="bottom"/>
          </w:tcPr>
          <w:p>
            <w:pPr>
              <w:spacing w:after="0"/>
              <w:rPr>
                <w:sz w:val="9"/>
                <w:szCs w:val="9"/>
                <w:color w:val="auto"/>
              </w:rPr>
            </w:pPr>
          </w:p>
        </w:tc>
        <w:tc>
          <w:tcPr>
            <w:tcW w:w="5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16.3</w:t>
            </w:r>
          </w:p>
        </w:tc>
        <w:tc>
          <w:tcPr>
            <w:tcW w:w="160" w:type="dxa"/>
            <w:vAlign w:val="bottom"/>
          </w:tcPr>
          <w:p>
            <w:pPr>
              <w:spacing w:after="0"/>
              <w:rPr>
                <w:sz w:val="9"/>
                <w:szCs w:val="9"/>
                <w:color w:val="auto"/>
              </w:rPr>
            </w:pPr>
          </w:p>
        </w:tc>
        <w:tc>
          <w:tcPr>
            <w:tcW w:w="940" w:type="dxa"/>
            <w:vAlign w:val="bottom"/>
            <w:gridSpan w:val="2"/>
          </w:tcPr>
          <w:p>
            <w:pPr>
              <w:jc w:val="center"/>
              <w:ind w:left="49"/>
              <w:spacing w:after="0" w:line="106" w:lineRule="exact"/>
              <w:rPr>
                <w:sz w:val="20"/>
                <w:szCs w:val="20"/>
                <w:color w:val="auto"/>
              </w:rPr>
            </w:pPr>
            <w:r>
              <w:rPr>
                <w:rFonts w:ascii="Arial" w:cs="Arial" w:eastAsia="Arial" w:hAnsi="Arial"/>
                <w:sz w:val="10"/>
                <w:szCs w:val="10"/>
                <w:color w:val="auto"/>
                <w:w w:val="71"/>
              </w:rPr>
              <w:t>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(83.2)</w:t>
            </w:r>
          </w:p>
        </w:tc>
        <w:tc>
          <w:tcPr>
            <w:tcW w:w="420" w:type="dxa"/>
            <w:vAlign w:val="bottom"/>
            <w:gridSpan w:val="4"/>
            <w:shd w:val="clear" w:color="auto" w:fill="CCEEFF"/>
          </w:tcPr>
          <w:p>
            <w:pPr>
              <w:jc w:val="right"/>
              <w:ind w:right="19"/>
              <w:spacing w:after="0" w:line="106" w:lineRule="exact"/>
              <w:rPr>
                <w:sz w:val="20"/>
                <w:szCs w:val="20"/>
                <w:color w:val="auto"/>
              </w:rPr>
            </w:pPr>
            <w:r>
              <w:rPr>
                <w:rFonts w:ascii="Arial" w:cs="Arial" w:eastAsia="Arial" w:hAnsi="Arial"/>
                <w:sz w:val="10"/>
                <w:szCs w:val="10"/>
                <w:color w:val="auto"/>
              </w:rPr>
              <w:t>(21)</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left w:val="single" w:sz="8" w:color="CCEEFF"/>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326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Income taxes</w:t>
            </w: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309.3</w:t>
            </w:r>
          </w:p>
        </w:tc>
        <w:tc>
          <w:tcPr>
            <w:tcW w:w="18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392.4</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388.7</w:t>
            </w:r>
          </w:p>
        </w:tc>
        <w:tc>
          <w:tcPr>
            <w:tcW w:w="18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344.0</w:t>
            </w:r>
          </w:p>
        </w:tc>
        <w:tc>
          <w:tcPr>
            <w:tcW w:w="160" w:type="dxa"/>
            <w:vAlign w:val="bottom"/>
            <w:shd w:val="clear" w:color="auto" w:fill="CCEEFF"/>
          </w:tcPr>
          <w:p>
            <w:pPr>
              <w:spacing w:after="0"/>
              <w:rPr>
                <w:sz w:val="9"/>
                <w:szCs w:val="9"/>
                <w:color w:val="auto"/>
              </w:rPr>
            </w:pPr>
          </w:p>
        </w:tc>
        <w:tc>
          <w:tcPr>
            <w:tcW w:w="560" w:type="dxa"/>
            <w:vAlign w:val="bottom"/>
            <w:gridSpan w:val="3"/>
            <w:shd w:val="clear" w:color="auto" w:fill="CCEEFF"/>
          </w:tcPr>
          <w:p>
            <w:pPr>
              <w:jc w:val="right"/>
              <w:spacing w:after="0" w:line="106" w:lineRule="exact"/>
              <w:rPr>
                <w:sz w:val="20"/>
                <w:szCs w:val="20"/>
                <w:color w:val="auto"/>
              </w:rPr>
            </w:pPr>
            <w:r>
              <w:rPr>
                <w:rFonts w:ascii="Arial" w:cs="Arial" w:eastAsia="Arial" w:hAnsi="Arial"/>
                <w:sz w:val="10"/>
                <w:szCs w:val="10"/>
                <w:color w:val="auto"/>
              </w:rPr>
              <w:t>276.7</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center"/>
              <w:ind w:left="49"/>
              <w:spacing w:after="0" w:line="106" w:lineRule="exact"/>
              <w:rPr>
                <w:sz w:val="20"/>
                <w:szCs w:val="20"/>
                <w:color w:val="auto"/>
              </w:rPr>
            </w:pPr>
            <w:r>
              <w:rPr>
                <w:rFonts w:ascii="Arial" w:cs="Arial" w:eastAsia="Arial" w:hAnsi="Arial"/>
                <w:sz w:val="10"/>
                <w:szCs w:val="10"/>
                <w:color w:val="auto"/>
                <w:w w:val="7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26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vMerge w:val="restart"/>
          </w:tcPr>
          <w:p>
            <w:pPr>
              <w:ind w:left="80"/>
              <w:spacing w:after="0"/>
              <w:rPr>
                <w:sz w:val="20"/>
                <w:szCs w:val="20"/>
                <w:color w:val="auto"/>
              </w:rPr>
            </w:pPr>
            <w:r>
              <w:rPr>
                <w:rFonts w:ascii="Arial" w:cs="Arial" w:eastAsia="Arial" w:hAnsi="Arial"/>
                <w:sz w:val="10"/>
                <w:szCs w:val="10"/>
                <w:color w:val="auto"/>
              </w:rPr>
              <w:t>Net income</w:t>
            </w:r>
          </w:p>
        </w:tc>
        <w:tc>
          <w:tcPr>
            <w:tcW w:w="1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restart"/>
          </w:tcPr>
          <w:p>
            <w:pPr>
              <w:jc w:val="right"/>
              <w:ind w:right="229"/>
              <w:spacing w:after="0"/>
              <w:rPr>
                <w:sz w:val="20"/>
                <w:szCs w:val="20"/>
                <w:color w:val="auto"/>
              </w:rPr>
            </w:pPr>
            <w:r>
              <w:rPr>
                <w:rFonts w:ascii="Arial" w:cs="Arial" w:eastAsia="Arial" w:hAnsi="Arial"/>
                <w:sz w:val="10"/>
                <w:szCs w:val="10"/>
                <w:color w:val="auto"/>
              </w:rPr>
              <w:t>7 %</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5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(184.9)</w:t>
            </w:r>
          </w:p>
        </w:tc>
        <w:tc>
          <w:tcPr>
            <w:tcW w:w="180" w:type="dxa"/>
            <w:vAlign w:val="bottom"/>
            <w:gridSpan w:val="2"/>
            <w:vMerge w:val="continue"/>
          </w:tcPr>
          <w:p>
            <w:pPr>
              <w:spacing w:after="0"/>
              <w:rPr>
                <w:sz w:val="9"/>
                <w:szCs w:val="9"/>
                <w:color w:val="auto"/>
              </w:rPr>
            </w:pPr>
          </w:p>
        </w:tc>
        <w:tc>
          <w:tcPr>
            <w:tcW w:w="140" w:type="dxa"/>
            <w:vAlign w:val="bottom"/>
          </w:tcPr>
          <w:p>
            <w:pPr>
              <w:jc w:val="right"/>
              <w:spacing w:after="0" w:line="106" w:lineRule="exact"/>
              <w:rPr>
                <w:sz w:val="20"/>
                <w:szCs w:val="20"/>
                <w:color w:val="auto"/>
              </w:rPr>
            </w:pPr>
            <w:r>
              <w:rPr>
                <w:rFonts w:ascii="Arial" w:cs="Arial" w:eastAsia="Arial" w:hAnsi="Arial"/>
                <w:sz w:val="10"/>
                <w:szCs w:val="10"/>
                <w:color w:val="auto"/>
                <w:w w:val="82"/>
              </w:rPr>
              <w:t>(22</w:t>
            </w:r>
          </w:p>
        </w:tc>
        <w:tc>
          <w:tcPr>
            <w:tcW w:w="10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57.0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10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654.3</w:t>
            </w:r>
          </w:p>
        </w:tc>
        <w:tc>
          <w:tcPr>
            <w:tcW w:w="18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839.2</w:t>
            </w:r>
          </w:p>
        </w:tc>
        <w:tc>
          <w:tcPr>
            <w:tcW w:w="1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782.2</w:t>
            </w:r>
          </w:p>
        </w:tc>
        <w:tc>
          <w:tcPr>
            <w:tcW w:w="18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722.5</w:t>
            </w:r>
          </w:p>
        </w:tc>
        <w:tc>
          <w:tcPr>
            <w:tcW w:w="1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573.9</w:t>
            </w: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80" w:hanging="239"/>
        <w:spacing w:after="0"/>
        <w:tabs>
          <w:tab w:leader="none" w:pos="118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Changes were calculated from unrounded amounts.</w:t>
      </w:r>
    </w:p>
    <w:p>
      <w:pPr>
        <w:spacing w:after="0" w:line="13" w:lineRule="exact"/>
        <w:rPr>
          <w:rFonts w:ascii="Arial" w:cs="Arial" w:eastAsia="Arial" w:hAnsi="Arial"/>
          <w:sz w:val="13"/>
          <w:szCs w:val="13"/>
          <w:i w:val="1"/>
          <w:iCs w:val="1"/>
          <w:color w:val="auto"/>
        </w:rPr>
      </w:pPr>
    </w:p>
    <w:p>
      <w:pPr>
        <w:ind w:left="1180" w:right="180" w:hanging="239"/>
        <w:spacing w:after="0" w:line="251" w:lineRule="auto"/>
        <w:tabs>
          <w:tab w:leader="none" w:pos="118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 for 2007, 2006, 2005 and 2004, and 36% for 2003.</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Supplemental Reporting of Non-GAAP Results of Operations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a result of business combinations and other acquisitions, the Company had intangible assets consisting of goodwill and core deposit and other intangible assets totaling</w:t>
      </w:r>
    </w:p>
    <w:p>
      <w:pPr>
        <w:spacing w:after="0" w:line="15" w:lineRule="exact"/>
        <w:rPr>
          <w:sz w:val="20"/>
          <w:szCs w:val="20"/>
          <w:color w:val="auto"/>
        </w:rPr>
      </w:pPr>
    </w:p>
    <w:p>
      <w:pPr>
        <w:ind w:left="680" w:right="80"/>
        <w:spacing w:after="0" w:line="244" w:lineRule="auto"/>
        <w:rPr>
          <w:sz w:val="20"/>
          <w:szCs w:val="20"/>
          <w:color w:val="auto"/>
        </w:rPr>
      </w:pPr>
      <w:r>
        <w:rPr>
          <w:rFonts w:ascii="Arial" w:cs="Arial" w:eastAsia="Arial" w:hAnsi="Arial"/>
          <w:sz w:val="14"/>
          <w:szCs w:val="14"/>
          <w:color w:val="auto"/>
        </w:rPr>
        <w:t>$3.4 billion at December 31, 2007, $3.2 billion at December 31, 2006 and $3.0 billion at December 31, 2005. Included in such intangible assets was goodwill of $3.2 billion at December 31, 2007 and $2.9 billion at each of December 31, 2006 and 2005. Amortization of core deposit and other intangible assets, after tax effect, totaled $40 million, $38 million and $35 million during 2007, 2006 and 2005, respectively.</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M&amp;T consistently provides supplemental reporting of its results on a “net operating” or “tangible” basis, in which M&amp;T excludes the after-tax effect of amortization of core deposit and other intangible assets (and the related goodwill, core deposit intangible and other intangible asset balances, net of applicable deferred tax amounts, when calculating certain performance ratios) and expenses associated with integrating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2" w:lineRule="exact"/>
        <w:rPr>
          <w:sz w:val="20"/>
          <w:szCs w:val="20"/>
          <w:color w:val="auto"/>
        </w:rPr>
      </w:pPr>
    </w:p>
    <w:p>
      <w:pPr>
        <w:ind w:left="680" w:right="260" w:firstLine="599"/>
        <w:spacing w:after="0" w:line="244" w:lineRule="auto"/>
        <w:rPr>
          <w:sz w:val="20"/>
          <w:szCs w:val="20"/>
          <w:color w:val="auto"/>
        </w:rPr>
      </w:pPr>
      <w:r>
        <w:rPr>
          <w:rFonts w:ascii="Arial" w:cs="Arial" w:eastAsia="Arial" w:hAnsi="Arial"/>
          <w:sz w:val="14"/>
          <w:szCs w:val="14"/>
          <w:color w:val="auto"/>
        </w:rPr>
        <w:t>Net operating income totaled $704 million in 2007, compared with $881 million in 2006. Diluted net operating earnings per share in 2007 declined 17% to $6.40 from $7.73 in 2006. Net operating income and diluted net operating earnings per share were $817 million and $7.03, respectively, during 2005.</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Reconciliations of net income and diluted earnings per share with net operating income and diluted net operating earnings per share are presented in table 2.</w:t>
      </w:r>
    </w:p>
    <w:p>
      <w:pPr>
        <w:spacing w:after="0" w:line="15" w:lineRule="exact"/>
        <w:rPr>
          <w:sz w:val="20"/>
          <w:szCs w:val="20"/>
          <w:color w:val="auto"/>
        </w:rPr>
      </w:pPr>
    </w:p>
    <w:p>
      <w:pPr>
        <w:ind w:left="680" w:right="180" w:firstLine="599"/>
        <w:spacing w:after="0" w:line="255" w:lineRule="auto"/>
        <w:rPr>
          <w:sz w:val="20"/>
          <w:szCs w:val="20"/>
          <w:color w:val="auto"/>
        </w:rPr>
      </w:pPr>
      <w:r>
        <w:rPr>
          <w:rFonts w:ascii="Arial" w:cs="Arial" w:eastAsia="Arial" w:hAnsi="Arial"/>
          <w:sz w:val="14"/>
          <w:szCs w:val="14"/>
          <w:color w:val="auto"/>
        </w:rPr>
        <w:t>Net operating income expressed as a rate of return on average tangible assets was 1.27% in 2007, compared with 1.67% in 2006 and 1.60% in 2005. Net operating return on average tangible common equity was 22.58% in 2007, compared with 29.55% and 29.06% in 2006 and 2005,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Reconciliations of average assets and equity with average tangible assets and average tangible equity are also presented in table 2.</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w:t>
      </w:r>
    </w:p>
    <w:p>
      <w:pPr>
        <w:spacing w:after="0" w:line="51"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Income statement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i w:val="1"/>
                <w:iCs w:val="1"/>
                <w:color w:val="auto"/>
              </w:rPr>
              <w:t>In thousands, except per share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654,259</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839,189</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782,183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Merger-related expenses(a)</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operating income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703,820</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880,655</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816,865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3"/>
          </w:tcPr>
          <w:p>
            <w:pPr>
              <w:spacing w:after="0"/>
              <w:rPr>
                <w:sz w:val="20"/>
                <w:szCs w:val="20"/>
                <w:color w:val="auto"/>
              </w:rPr>
            </w:pPr>
            <w:r>
              <w:rPr>
                <w:rFonts w:ascii="Arial" w:cs="Arial" w:eastAsia="Arial" w:hAnsi="Arial"/>
                <w:sz w:val="12"/>
                <w:szCs w:val="12"/>
                <w:b w:val="1"/>
                <w:bCs w:val="1"/>
                <w:color w:val="auto"/>
              </w:rPr>
              <w:t>Earnings per share</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earnings per common share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Amortization of core deposit and other intangible assets(a)</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Merger-related expenses(a)</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80" w:type="dxa"/>
            <w:vAlign w:val="bottom"/>
            <w:gridSpan w:val="2"/>
          </w:tcPr>
          <w:p>
            <w:pPr>
              <w:ind w:left="100"/>
              <w:spacing w:after="0"/>
              <w:rPr>
                <w:sz w:val="20"/>
                <w:szCs w:val="20"/>
                <w:color w:val="auto"/>
              </w:rPr>
            </w:pPr>
            <w:r>
              <w:rPr>
                <w:rFonts w:ascii="Arial" w:cs="Arial" w:eastAsia="Arial" w:hAnsi="Arial"/>
                <w:sz w:val="12"/>
                <w:szCs w:val="12"/>
                <w:color w:val="auto"/>
              </w:rPr>
              <w:t>Diluted net operating earnings per share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6.40</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7.73</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expense</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Other expense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1,627,689</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1,551,751</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1,485,142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(66,486)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(63,008)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(56,805)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Merger-related expenses</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(14,887)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(4,997)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Noninterest operating expense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1,546,316</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1,483,746</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1,428,337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3"/>
          </w:tcPr>
          <w:p>
            <w:pPr>
              <w:spacing w:after="0"/>
              <w:rPr>
                <w:sz w:val="20"/>
                <w:szCs w:val="20"/>
                <w:color w:val="auto"/>
              </w:rPr>
            </w:pPr>
            <w:r>
              <w:rPr>
                <w:rFonts w:ascii="Arial" w:cs="Arial" w:eastAsia="Arial" w:hAnsi="Arial"/>
                <w:sz w:val="12"/>
                <w:szCs w:val="12"/>
                <w:b w:val="1"/>
                <w:bCs w:val="1"/>
                <w:color w:val="auto"/>
              </w:rPr>
              <w:t>Merger-related expenses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Salaries and employee benefits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Equipment and net occupancy</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postage and supplies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Other costs of operations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14,887</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4,997</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7400" w:type="dxa"/>
            <w:vAlign w:val="bottom"/>
            <w:gridSpan w:val="3"/>
          </w:tcPr>
          <w:p>
            <w:pPr>
              <w:spacing w:after="0"/>
              <w:rPr>
                <w:sz w:val="20"/>
                <w:szCs w:val="20"/>
                <w:color w:val="auto"/>
              </w:rPr>
            </w:pPr>
            <w:r>
              <w:rPr>
                <w:rFonts w:ascii="Arial" w:cs="Arial" w:eastAsia="Arial" w:hAnsi="Arial"/>
                <w:sz w:val="12"/>
                <w:szCs w:val="12"/>
                <w:b w:val="1"/>
                <w:bCs w:val="1"/>
                <w:color w:val="auto"/>
              </w:rPr>
              <w:t>Balance sheet data</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In millions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b w:val="1"/>
                <w:bCs w:val="1"/>
                <w:color w:val="auto"/>
              </w:rPr>
              <w:t>Average assets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Average assets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58,545</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55,839</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(2,933)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(2,908)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Core deposit and other intangible assets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Deferred taxes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Average tangible assets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55,415</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52,778</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3"/>
          </w:tcPr>
          <w:p>
            <w:pPr>
              <w:spacing w:after="0"/>
              <w:rPr>
                <w:sz w:val="20"/>
                <w:szCs w:val="20"/>
                <w:color w:val="auto"/>
              </w:rPr>
            </w:pPr>
            <w:r>
              <w:rPr>
                <w:rFonts w:ascii="Arial" w:cs="Arial" w:eastAsia="Arial" w:hAnsi="Arial"/>
                <w:sz w:val="12"/>
                <w:szCs w:val="12"/>
                <w:b w:val="1"/>
                <w:bCs w:val="1"/>
                <w:color w:val="auto"/>
              </w:rPr>
              <w:t>Average equity</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Average equity</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6,041</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(2,933)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(2,908)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Core deposit and other intangible assets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Deferred taxes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Average tangible equity</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3,117</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2,980</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3"/>
          </w:tcPr>
          <w:p>
            <w:pPr>
              <w:spacing w:after="0"/>
              <w:rPr>
                <w:sz w:val="20"/>
                <w:szCs w:val="20"/>
                <w:color w:val="auto"/>
              </w:rPr>
            </w:pPr>
            <w:r>
              <w:rPr>
                <w:rFonts w:ascii="Arial" w:cs="Arial" w:eastAsia="Arial" w:hAnsi="Arial"/>
                <w:sz w:val="12"/>
                <w:szCs w:val="12"/>
                <w:b w:val="1"/>
                <w:bCs w:val="1"/>
                <w:color w:val="auto"/>
              </w:rPr>
              <w:t>At end of year</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64,876</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57,065</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55,146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80" w:type="dxa"/>
            <w:vAlign w:val="bottom"/>
            <w:gridSpan w:val="2"/>
          </w:tcPr>
          <w:p>
            <w:pPr>
              <w:ind w:left="100"/>
              <w:spacing w:after="0"/>
              <w:rPr>
                <w:sz w:val="20"/>
                <w:szCs w:val="20"/>
                <w:color w:val="auto"/>
              </w:rPr>
            </w:pPr>
            <w:r>
              <w:rPr>
                <w:rFonts w:ascii="Arial" w:cs="Arial" w:eastAsia="Arial" w:hAnsi="Arial"/>
                <w:sz w:val="12"/>
                <w:szCs w:val="12"/>
                <w:color w:val="auto"/>
              </w:rPr>
              <w:t>Total tangible assets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61,467</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53,936</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52,176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equity</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Total equity</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6,485</w:t>
            </w:r>
          </w:p>
        </w:tc>
        <w:tc>
          <w:tcPr>
            <w:tcW w:w="10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6,281</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5,876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gridSpan w:val="2"/>
          </w:tcPr>
          <w:p>
            <w:pPr>
              <w:ind w:left="100"/>
              <w:spacing w:after="0"/>
              <w:rPr>
                <w:sz w:val="20"/>
                <w:szCs w:val="20"/>
                <w:color w:val="auto"/>
              </w:rPr>
            </w:pPr>
            <w:r>
              <w:rPr>
                <w:rFonts w:ascii="Arial" w:cs="Arial" w:eastAsia="Arial" w:hAnsi="Arial"/>
                <w:sz w:val="12"/>
                <w:szCs w:val="12"/>
                <w:color w:val="auto"/>
              </w:rPr>
              <w:t>Total tangible equity</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3,076</w:t>
            </w: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3,152</w:t>
            </w:r>
          </w:p>
        </w:tc>
        <w:tc>
          <w:tcPr>
            <w:tcW w:w="1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2,906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After any related tax effect.</w:t>
      </w:r>
    </w:p>
    <w:p>
      <w:pPr>
        <w:spacing w:after="0" w:line="16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Net Interest Income/Lending and Funding Activities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interest income expressed on a taxable-equivalent basis increased 2% to $1.87 billion in 2007 from $1.84 billion in 2006, largely the result of growth in average earning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assets. Such assets aggregated $52.0 billion in 2007, 5% higher than $49.7 billion in 2006. Growth in average loan and lease balances outstanding, which rose 7% to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$44.1 billion in 2007 from $41.4 billion in 2006, was the leading factor in that improvement, partially offset by a decline of $717 million, or 9%, in average balances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investment securities. A lower net interest margin, which declined to 3.60% in 2007 from 3.70% in 2006, partially offset the positive impact on taxable-equivalent net interest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resulting from growth in average earning assets.</w:t>
      </w:r>
    </w:p>
    <w:p>
      <w:pPr>
        <w:spacing w:after="0" w:line="3"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The Company experienced growth in all major loan categories in 2007, particularly during the second half of the year. Average commercial loans and leases increased 8% to $12.2 billion in 2007 from $11.3 billion in 2006. Commercial real estate loans averaged $15.7 billion in 2007, up 4% from $15.1 billion in 2006, due, in part, to higher average balances of construction loans. Average residential real estate loans rose 20% in 2007 to $6.0 billion from $5.0 billion in 2006. In March 2007, the Company transferred $883 million of Alt-A residential real estate loans from the Company’s held-for-sale loan portfolio to its held-for-investment portfolio. Residential real estate loans held for sale averaged $1.1 billion in 2007 and $1.5 billion during 2006. Consumer loans and leases averaged $10.2 billion in 2007, up 2% from $10.0 billion in 2006, due in part to growth in the automobile loan portfolio. Annualized growth experienced during 2007’s fourth quarter as compared with the third quarter of 2007 for average commercial loans and leases, commercial real estate loans, residential real estate loans and consumer loans and leases were 8%, 22%, 6% and 14%, respectively, excluding the impact of the fourth quarter acquisition transactions.</w:t>
      </w:r>
    </w:p>
    <w:p>
      <w:pPr>
        <w:spacing w:after="0" w:line="3"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Reflecting growth in average earning assets that was largely offset by a narrowing of the net interest margin, taxable-equivalent net interest income increased 1% to $1.84 billion in 2006 from $1.81 billion in 2005. Average earning assets increased 3% to $49.7 billion in 2006 from $48.1 billion in 2005. That growth resulted from a 5% increase in average outstanding balances of loans and leases of $1.9 billion, offset in part by a 5% decline in average outstanding balances of investment securities of</w:t>
      </w:r>
    </w:p>
    <w:p>
      <w:pPr>
        <w:spacing w:after="0" w:line="1" w:lineRule="exact"/>
        <w:rPr>
          <w:sz w:val="20"/>
          <w:szCs w:val="20"/>
          <w:color w:val="auto"/>
        </w:rPr>
      </w:pPr>
    </w:p>
    <w:p>
      <w:pPr>
        <w:ind w:left="680" w:right="200"/>
        <w:spacing w:after="0" w:line="244" w:lineRule="auto"/>
        <w:rPr>
          <w:sz w:val="20"/>
          <w:szCs w:val="20"/>
          <w:color w:val="auto"/>
        </w:rPr>
      </w:pPr>
      <w:r>
        <w:rPr>
          <w:rFonts w:ascii="Arial" w:cs="Arial" w:eastAsia="Arial" w:hAnsi="Arial"/>
          <w:sz w:val="14"/>
          <w:szCs w:val="14"/>
          <w:color w:val="auto"/>
        </w:rPr>
        <w:t>$441 million. The positive impact of higher average earning assets on taxable-equivalent net interest income was largely offset by a narrowing of the Company’s net interest margin, which declined to 3.70% in 2006 from 3.77% in 2005.</w:t>
      </w:r>
    </w:p>
    <w:p>
      <w:pPr>
        <w:spacing w:after="0" w:line="1"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Average loans and leases outstanding aggregated $41.4 billion in 2006, up 5% from $39.5 billion in 2005. The higher average outstanding loan balances were the result of growth in commercial loans and leases, commercial real estate loans and residential real estate loans. Average commercial loans and leases rose 8% to $11.3 billion in 2006 from $10.5 billion in 2005. Commercial real estate loans averaged $15.1 billion during 2006, 5% higher than $14.3 billion in 2005, reflecting a $336 million rise in construction loans to developers of residential real estate properties. The Company’s residential real estate loan portfolio averaged $5.0 billion in 2006, up 28% from</w:t>
      </w:r>
    </w:p>
    <w:p>
      <w:pPr>
        <w:spacing w:after="0" w:line="1" w:lineRule="exact"/>
        <w:rPr>
          <w:sz w:val="20"/>
          <w:szCs w:val="20"/>
          <w:color w:val="auto"/>
        </w:rPr>
      </w:pPr>
    </w:p>
    <w:p>
      <w:pPr>
        <w:ind w:left="680" w:right="80"/>
        <w:spacing w:after="0" w:line="246" w:lineRule="auto"/>
        <w:rPr>
          <w:sz w:val="20"/>
          <w:szCs w:val="20"/>
          <w:color w:val="auto"/>
        </w:rPr>
      </w:pPr>
      <w:r>
        <w:rPr>
          <w:rFonts w:ascii="Arial" w:cs="Arial" w:eastAsia="Arial" w:hAnsi="Arial"/>
          <w:sz w:val="14"/>
          <w:szCs w:val="14"/>
          <w:color w:val="auto"/>
        </w:rPr>
        <w:t>$3.9 billion in 2005. Included in that portfolio were loans held for sale, which averaged $1.5 billion in 2006, 19% above the $1.2 billion averaged in 2005. Excluding such loans, average residential real estate loans increased $861 million from 2005 to 2006. That increase was largely the result of the Company’s decision to retain higher levels of residential real estate loans having certain characteristics, due to narrowing margins available in the marketplace when selling such loans and the lack of availability of investment securities to acquire that met the Company’s desired characteristics and provided suitable returns. Consumer loans and leases averaged $10.0 billion in 2006, down 7% from $10.8 billion in 2005. That decline was the result of lower average balances of automobile loans and leases, which decreased 22% to $2.9 billion in 2006 from $3.7 billion in 2005, reflecting the Company’s decision to allow such balances to decline rather than matching interest rates offered by competitors. During late 2006, the interest rate environment relating to the Company’s automobile lending business improved and from September 30 to December 31, outstanding balances of such loans increased slightly.</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AVERAGE BALANCE SHEETS AND TAXABLE-EQUIVALENT RATES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9"/>
              </w:rPr>
              <w:t>2007</w:t>
            </w: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2006</w:t>
            </w: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2005</w:t>
            </w: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2004</w:t>
            </w: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8"/>
                <w:szCs w:val="8"/>
                <w:b w:val="1"/>
                <w:bCs w:val="1"/>
                <w:color w:val="auto"/>
              </w:rPr>
              <w:t>2003</w:t>
            </w: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tcPr>
          <w:p>
            <w:pPr>
              <w:jc w:val="right"/>
              <w:ind w:right="200"/>
              <w:spacing w:after="0" w:line="67" w:lineRule="exact"/>
              <w:rPr>
                <w:sz w:val="20"/>
                <w:szCs w:val="20"/>
                <w:color w:val="auto"/>
              </w:rPr>
            </w:pPr>
            <w:r>
              <w:rPr>
                <w:rFonts w:ascii="Arial" w:cs="Arial" w:eastAsia="Arial" w:hAnsi="Arial"/>
                <w:sz w:val="6"/>
                <w:szCs w:val="6"/>
                <w:b w:val="1"/>
                <w:bCs w:val="1"/>
                <w:color w:val="auto"/>
              </w:rPr>
              <w:t>Average</w:t>
            </w: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jc w:val="center"/>
              <w:spacing w:after="0" w:line="67" w:lineRule="exact"/>
              <w:rPr>
                <w:sz w:val="20"/>
                <w:szCs w:val="20"/>
                <w:color w:val="auto"/>
              </w:rPr>
            </w:pPr>
            <w:r>
              <w:rPr>
                <w:rFonts w:ascii="Arial" w:cs="Arial" w:eastAsia="Arial" w:hAnsi="Arial"/>
                <w:sz w:val="6"/>
                <w:szCs w:val="6"/>
                <w:b w:val="1"/>
                <w:bCs w:val="1"/>
                <w:color w:val="auto"/>
              </w:rPr>
              <w:t>Average</w:t>
            </w:r>
          </w:p>
        </w:tc>
        <w:tc>
          <w:tcPr>
            <w:tcW w:w="200" w:type="dxa"/>
            <w:vAlign w:val="bottom"/>
          </w:tcPr>
          <w:p>
            <w:pPr>
              <w:spacing w:after="0"/>
              <w:rPr>
                <w:sz w:val="5"/>
                <w:szCs w:val="5"/>
                <w:color w:val="auto"/>
              </w:rPr>
            </w:pPr>
          </w:p>
        </w:tc>
        <w:tc>
          <w:tcPr>
            <w:tcW w:w="520" w:type="dxa"/>
            <w:vAlign w:val="bottom"/>
            <w:gridSpan w:val="2"/>
          </w:tcPr>
          <w:p>
            <w:pPr>
              <w:jc w:val="right"/>
              <w:ind w:right="220"/>
              <w:spacing w:after="0" w:line="67" w:lineRule="exact"/>
              <w:rPr>
                <w:sz w:val="20"/>
                <w:szCs w:val="20"/>
                <w:color w:val="auto"/>
              </w:rPr>
            </w:pPr>
            <w:r>
              <w:rPr>
                <w:rFonts w:ascii="Arial" w:cs="Arial" w:eastAsia="Arial" w:hAnsi="Arial"/>
                <w:sz w:val="6"/>
                <w:szCs w:val="6"/>
                <w:b w:val="1"/>
                <w:bCs w:val="1"/>
                <w:color w:val="auto"/>
              </w:rPr>
              <w:t>Average</w:t>
            </w: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180" w:type="dxa"/>
            <w:vAlign w:val="bottom"/>
          </w:tcPr>
          <w:p>
            <w:pPr>
              <w:spacing w:after="0"/>
              <w:rPr>
                <w:sz w:val="5"/>
                <w:szCs w:val="5"/>
                <w:color w:val="auto"/>
              </w:rPr>
            </w:pPr>
          </w:p>
        </w:tc>
        <w:tc>
          <w:tcPr>
            <w:tcW w:w="520" w:type="dxa"/>
            <w:vAlign w:val="bottom"/>
            <w:gridSpan w:val="2"/>
          </w:tcPr>
          <w:p>
            <w:pPr>
              <w:ind w:left="40"/>
              <w:spacing w:after="0" w:line="67" w:lineRule="exact"/>
              <w:rPr>
                <w:sz w:val="20"/>
                <w:szCs w:val="20"/>
                <w:color w:val="auto"/>
              </w:rPr>
            </w:pPr>
            <w:r>
              <w:rPr>
                <w:rFonts w:ascii="Arial" w:cs="Arial" w:eastAsia="Arial" w:hAnsi="Arial"/>
                <w:sz w:val="6"/>
                <w:szCs w:val="6"/>
                <w:b w:val="1"/>
                <w:bCs w:val="1"/>
                <w:color w:val="auto"/>
              </w:rPr>
              <w:t>Average</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180" w:type="dxa"/>
            <w:vAlign w:val="bottom"/>
          </w:tcPr>
          <w:p>
            <w:pPr>
              <w:spacing w:after="0"/>
              <w:rPr>
                <w:sz w:val="5"/>
                <w:szCs w:val="5"/>
                <w:color w:val="auto"/>
              </w:rPr>
            </w:pPr>
          </w:p>
        </w:tc>
        <w:tc>
          <w:tcPr>
            <w:tcW w:w="520" w:type="dxa"/>
            <w:vAlign w:val="bottom"/>
            <w:gridSpan w:val="2"/>
          </w:tcPr>
          <w:p>
            <w:pPr>
              <w:ind w:left="40"/>
              <w:spacing w:after="0" w:line="67" w:lineRule="exact"/>
              <w:rPr>
                <w:sz w:val="20"/>
                <w:szCs w:val="20"/>
                <w:color w:val="auto"/>
              </w:rPr>
            </w:pPr>
            <w:r>
              <w:rPr>
                <w:rFonts w:ascii="Arial" w:cs="Arial" w:eastAsia="Arial" w:hAnsi="Arial"/>
                <w:sz w:val="6"/>
                <w:szCs w:val="6"/>
                <w:b w:val="1"/>
                <w:bCs w:val="1"/>
                <w:color w:val="auto"/>
              </w:rPr>
              <w:t>Average</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180" w:type="dxa"/>
            <w:vAlign w:val="bottom"/>
          </w:tcPr>
          <w:p>
            <w:pPr>
              <w:spacing w:after="0"/>
              <w:rPr>
                <w:sz w:val="5"/>
                <w:szCs w:val="5"/>
                <w:color w:val="auto"/>
              </w:rPr>
            </w:pPr>
          </w:p>
        </w:tc>
        <w:tc>
          <w:tcPr>
            <w:tcW w:w="440" w:type="dxa"/>
            <w:vAlign w:val="bottom"/>
            <w:gridSpan w:val="2"/>
          </w:tcPr>
          <w:p>
            <w:pPr>
              <w:jc w:val="right"/>
              <w:ind w:right="120"/>
              <w:spacing w:after="0" w:line="67" w:lineRule="exact"/>
              <w:rPr>
                <w:sz w:val="20"/>
                <w:szCs w:val="20"/>
                <w:color w:val="auto"/>
              </w:rPr>
            </w:pPr>
            <w:r>
              <w:rPr>
                <w:rFonts w:ascii="Arial" w:cs="Arial" w:eastAsia="Arial" w:hAnsi="Arial"/>
                <w:sz w:val="6"/>
                <w:szCs w:val="6"/>
                <w:b w:val="1"/>
                <w:bCs w:val="1"/>
                <w:color w:val="auto"/>
              </w:rPr>
              <w:t>Average</w:t>
            </w: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8"/>
                <w:szCs w:val="8"/>
                <w:b w:val="1"/>
                <w:bCs w:val="1"/>
                <w:color w:val="auto"/>
                <w:w w:val="84"/>
              </w:rPr>
              <w:t>Balance</w:t>
            </w: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w w:val="89"/>
              </w:rPr>
              <w:t>Interest</w:t>
            </w:r>
          </w:p>
        </w:tc>
        <w:tc>
          <w:tcPr>
            <w:tcW w:w="180" w:type="dxa"/>
            <w:vAlign w:val="bottom"/>
          </w:tcPr>
          <w:p>
            <w:pPr>
              <w:spacing w:after="0"/>
              <w:rPr>
                <w:sz w:val="8"/>
                <w:szCs w:val="8"/>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200" w:type="dxa"/>
            <w:vAlign w:val="bottom"/>
          </w:tcPr>
          <w:p>
            <w:pPr>
              <w:spacing w:after="0"/>
              <w:rPr>
                <w:sz w:val="8"/>
                <w:szCs w:val="8"/>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8"/>
                <w:szCs w:val="8"/>
                <w:b w:val="1"/>
                <w:bCs w:val="1"/>
                <w:color w:val="auto"/>
                <w:w w:val="91"/>
              </w:rPr>
              <w:t>Balance</w:t>
            </w:r>
          </w:p>
        </w:tc>
        <w:tc>
          <w:tcPr>
            <w:tcW w:w="18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80" w:type="dxa"/>
            <w:vAlign w:val="bottom"/>
          </w:tcPr>
          <w:p>
            <w:pPr>
              <w:spacing w:after="0"/>
              <w:rPr>
                <w:sz w:val="8"/>
                <w:szCs w:val="8"/>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8"/>
                <w:szCs w:val="8"/>
                <w:b w:val="1"/>
                <w:bCs w:val="1"/>
                <w:color w:val="auto"/>
                <w:w w:val="91"/>
              </w:rPr>
              <w:t>Balance</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60" w:type="dxa"/>
            <w:vAlign w:val="bottom"/>
          </w:tcPr>
          <w:p>
            <w:pPr>
              <w:spacing w:after="0"/>
              <w:rPr>
                <w:sz w:val="8"/>
                <w:szCs w:val="8"/>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8"/>
                <w:szCs w:val="8"/>
                <w:b w:val="1"/>
                <w:bCs w:val="1"/>
                <w:color w:val="auto"/>
                <w:w w:val="91"/>
              </w:rPr>
              <w:t>Balance</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80" w:type="dxa"/>
            <w:vAlign w:val="bottom"/>
          </w:tcPr>
          <w:p>
            <w:pPr>
              <w:spacing w:after="0"/>
              <w:rPr>
                <w:sz w:val="8"/>
                <w:szCs w:val="8"/>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8"/>
                <w:szCs w:val="8"/>
                <w:b w:val="1"/>
                <w:bCs w:val="1"/>
                <w:color w:val="auto"/>
                <w:w w:val="91"/>
              </w:rPr>
              <w:t>Balance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6"/>
              </w:rPr>
              <w:t>Interest</w:t>
            </w:r>
          </w:p>
        </w:tc>
        <w:tc>
          <w:tcPr>
            <w:tcW w:w="40" w:type="dxa"/>
            <w:vAlign w:val="bottom"/>
          </w:tcPr>
          <w:p>
            <w:pPr>
              <w:spacing w:after="0"/>
              <w:rPr>
                <w:sz w:val="8"/>
                <w:szCs w:val="8"/>
                <w:color w:val="auto"/>
              </w:rPr>
            </w:pPr>
          </w:p>
        </w:tc>
        <w:tc>
          <w:tcPr>
            <w:tcW w:w="260" w:type="dxa"/>
            <w:vAlign w:val="bottom"/>
            <w:tcBorders>
              <w:bottom w:val="single" w:sz="8" w:color="auto"/>
            </w:tcBorders>
          </w:tcPr>
          <w:p>
            <w:pPr>
              <w:jc w:val="right"/>
              <w:ind w:right="25"/>
              <w:spacing w:after="0"/>
              <w:rPr>
                <w:sz w:val="20"/>
                <w:szCs w:val="20"/>
                <w:color w:val="auto"/>
              </w:rPr>
            </w:pPr>
            <w:r>
              <w:rPr>
                <w:rFonts w:ascii="Arial" w:cs="Arial" w:eastAsia="Arial" w:hAnsi="Arial"/>
                <w:sz w:val="8"/>
                <w:szCs w:val="8"/>
                <w:b w:val="1"/>
                <w:bCs w:val="1"/>
                <w:color w:val="auto"/>
              </w:rPr>
              <w:t>Rate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9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0" w:type="dxa"/>
            <w:vAlign w:val="bottom"/>
            <w:gridSpan w:val="8"/>
          </w:tcPr>
          <w:p>
            <w:pPr>
              <w:jc w:val="right"/>
              <w:ind w:right="140"/>
              <w:spacing w:after="0" w:line="89" w:lineRule="exact"/>
              <w:rPr>
                <w:sz w:val="20"/>
                <w:szCs w:val="20"/>
                <w:color w:val="auto"/>
              </w:rPr>
            </w:pPr>
            <w:r>
              <w:rPr>
                <w:rFonts w:ascii="Arial" w:cs="Arial" w:eastAsia="Arial" w:hAnsi="Arial"/>
                <w:sz w:val="8"/>
                <w:szCs w:val="8"/>
                <w:b w:val="1"/>
                <w:bCs w:val="1"/>
                <w:color w:val="auto"/>
                <w:w w:val="93"/>
              </w:rPr>
              <w:t>(Average balance in millions; interest in thousands)</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b w:val="1"/>
                <w:bCs w:val="1"/>
                <w:color w:val="auto"/>
              </w:rPr>
              <w:t>A</w:t>
            </w:r>
            <w:r>
              <w:rPr>
                <w:rFonts w:ascii="Arial" w:cs="Arial" w:eastAsia="Arial" w:hAnsi="Arial"/>
                <w:sz w:val="5"/>
                <w:szCs w:val="5"/>
                <w:b w:val="1"/>
                <w:bCs w:val="1"/>
                <w:color w:val="auto"/>
              </w:rPr>
              <w:t>SSETS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Earning assets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Loans and leases, net of unearned discount(a)</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Commercial, financial, etc.</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12,177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871,743</w:t>
            </w:r>
          </w:p>
        </w:tc>
        <w:tc>
          <w:tcPr>
            <w:tcW w:w="640" w:type="dxa"/>
            <w:vAlign w:val="bottom"/>
            <w:gridSpan w:val="3"/>
          </w:tcPr>
          <w:p>
            <w:pPr>
              <w:jc w:val="right"/>
              <w:ind w:right="120"/>
              <w:spacing w:after="0" w:line="87" w:lineRule="exact"/>
              <w:rPr>
                <w:sz w:val="20"/>
                <w:szCs w:val="20"/>
                <w:color w:val="auto"/>
              </w:rPr>
            </w:pPr>
            <w:r>
              <w:rPr>
                <w:rFonts w:ascii="Arial" w:cs="Arial" w:eastAsia="Arial" w:hAnsi="Arial"/>
                <w:sz w:val="8"/>
                <w:szCs w:val="8"/>
                <w:color w:val="auto"/>
              </w:rPr>
              <w:t>7.16%</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11,319</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802,451</w:t>
            </w:r>
          </w:p>
        </w:tc>
        <w:tc>
          <w:tcPr>
            <w:tcW w:w="640" w:type="dxa"/>
            <w:vAlign w:val="bottom"/>
            <w:gridSpan w:val="3"/>
          </w:tcPr>
          <w:p>
            <w:pPr>
              <w:jc w:val="right"/>
              <w:ind w:right="120"/>
              <w:spacing w:after="0" w:line="87" w:lineRule="exact"/>
              <w:rPr>
                <w:sz w:val="20"/>
                <w:szCs w:val="20"/>
                <w:color w:val="auto"/>
              </w:rPr>
            </w:pPr>
            <w:r>
              <w:rPr>
                <w:rFonts w:ascii="Arial" w:cs="Arial" w:eastAsia="Arial" w:hAnsi="Arial"/>
                <w:sz w:val="8"/>
                <w:szCs w:val="8"/>
                <w:color w:val="auto"/>
              </w:rPr>
              <w:t>7.09%</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10,455</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589,644</w:t>
            </w:r>
          </w:p>
        </w:tc>
        <w:tc>
          <w:tcPr>
            <w:tcW w:w="460" w:type="dxa"/>
            <w:vAlign w:val="bottom"/>
            <w:gridSpan w:val="2"/>
          </w:tcPr>
          <w:p>
            <w:pPr>
              <w:jc w:val="right"/>
              <w:ind w:right="120"/>
              <w:spacing w:after="0" w:line="87" w:lineRule="exact"/>
              <w:rPr>
                <w:sz w:val="20"/>
                <w:szCs w:val="20"/>
                <w:color w:val="auto"/>
              </w:rPr>
            </w:pPr>
            <w:r>
              <w:rPr>
                <w:rFonts w:ascii="Arial" w:cs="Arial" w:eastAsia="Arial" w:hAnsi="Arial"/>
                <w:sz w:val="8"/>
                <w:szCs w:val="8"/>
                <w:color w:val="auto"/>
              </w:rPr>
              <w:t>5.64%</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9,534</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410,258</w:t>
            </w:r>
          </w:p>
        </w:tc>
        <w:tc>
          <w:tcPr>
            <w:tcW w:w="440" w:type="dxa"/>
            <w:vAlign w:val="bottom"/>
            <w:gridSpan w:val="2"/>
          </w:tcPr>
          <w:p>
            <w:pPr>
              <w:jc w:val="right"/>
              <w:ind w:right="120"/>
              <w:spacing w:after="0" w:line="87" w:lineRule="exact"/>
              <w:rPr>
                <w:sz w:val="20"/>
                <w:szCs w:val="20"/>
                <w:color w:val="auto"/>
              </w:rPr>
            </w:pPr>
            <w:r>
              <w:rPr>
                <w:rFonts w:ascii="Arial" w:cs="Arial" w:eastAsia="Arial" w:hAnsi="Arial"/>
                <w:sz w:val="8"/>
                <w:szCs w:val="8"/>
                <w:color w:val="auto"/>
              </w:rPr>
              <w:t>4.30%</w:t>
            </w: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8,523</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358,629</w:t>
            </w:r>
          </w:p>
        </w:tc>
        <w:tc>
          <w:tcPr>
            <w:tcW w:w="380" w:type="dxa"/>
            <w:vAlign w:val="bottom"/>
            <w:gridSpan w:val="3"/>
          </w:tcPr>
          <w:p>
            <w:pPr>
              <w:jc w:val="right"/>
              <w:ind w:right="20"/>
              <w:spacing w:after="0" w:line="87" w:lineRule="exact"/>
              <w:rPr>
                <w:sz w:val="20"/>
                <w:szCs w:val="20"/>
                <w:color w:val="auto"/>
              </w:rPr>
            </w:pPr>
            <w:r>
              <w:rPr>
                <w:rFonts w:ascii="Arial" w:cs="Arial" w:eastAsia="Arial" w:hAnsi="Arial"/>
                <w:sz w:val="8"/>
                <w:szCs w:val="8"/>
                <w:color w:val="auto"/>
              </w:rPr>
              <w:t>4.21%</w:t>
            </w: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Real estate — commercial</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15,748</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w w:val="89"/>
              </w:rPr>
              <w:t>1,157,156</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7.35</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15,096</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1,104,518</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7.32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14,341</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941,017</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6.56</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13,264</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763,134</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5.75</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11,573</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706,022</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6.10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Real estate — consumer</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6,015</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384,101</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6.39</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5,015</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319,858</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6.38</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3,925</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235,364</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6.00</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3,111</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184,125</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5.92</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3,777</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232,454</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6.15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Consumer</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10,190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757,876</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7.44</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10,003</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712,484</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7.12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10,808</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664,509</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6.15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11,220</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626,255</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5.58</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10,098</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607,909</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6.02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60"/>
              <w:spacing w:after="0"/>
              <w:rPr>
                <w:sz w:val="20"/>
                <w:szCs w:val="20"/>
                <w:color w:val="auto"/>
              </w:rPr>
            </w:pPr>
            <w:r>
              <w:rPr>
                <w:rFonts w:ascii="Arial" w:cs="Arial" w:eastAsia="Arial" w:hAnsi="Arial"/>
                <w:sz w:val="8"/>
                <w:szCs w:val="8"/>
                <w:color w:val="auto"/>
              </w:rPr>
              <w:t>Total loans and leases, net</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44,130</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w w:val="89"/>
              </w:rPr>
              <w:t>3,170,876</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7.19</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41,433</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2,939,311</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7.09</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39,529</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2,430,534</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6.15</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37,129</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1,983,772</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5.34</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33,971</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1,905,014</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5.61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shd w:val="clear" w:color="auto" w:fill="CCEEFF"/>
          </w:tcPr>
          <w:p>
            <w:pPr>
              <w:spacing w:after="0" w:line="86" w:lineRule="exact"/>
              <w:rPr>
                <w:sz w:val="20"/>
                <w:szCs w:val="20"/>
                <w:color w:val="auto"/>
              </w:rPr>
            </w:pPr>
            <w:r>
              <w:rPr>
                <w:rFonts w:ascii="Arial" w:cs="Arial" w:eastAsia="Arial" w:hAnsi="Arial"/>
                <w:sz w:val="8"/>
                <w:szCs w:val="8"/>
                <w:color w:val="auto"/>
              </w:rPr>
              <w:t>Interest-bearing deposits at banks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9</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300</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6" w:lineRule="exact"/>
              <w:rPr>
                <w:sz w:val="20"/>
                <w:szCs w:val="20"/>
                <w:color w:val="auto"/>
              </w:rPr>
            </w:pPr>
            <w:r>
              <w:rPr>
                <w:rFonts w:ascii="Arial" w:cs="Arial" w:eastAsia="Arial" w:hAnsi="Arial"/>
                <w:sz w:val="8"/>
                <w:szCs w:val="8"/>
                <w:color w:val="auto"/>
              </w:rPr>
              <w:t>3.36</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12</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372</w:t>
            </w:r>
          </w:p>
        </w:tc>
        <w:tc>
          <w:tcPr>
            <w:tcW w:w="46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3.01</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10</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169</w:t>
            </w:r>
          </w:p>
        </w:tc>
        <w:tc>
          <w:tcPr>
            <w:tcW w:w="2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1.64</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13</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65</w:t>
            </w:r>
          </w:p>
        </w:tc>
        <w:tc>
          <w:tcPr>
            <w:tcW w:w="2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.51</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14</w:t>
            </w:r>
          </w:p>
        </w:tc>
        <w:tc>
          <w:tcPr>
            <w:tcW w:w="4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147</w:t>
            </w:r>
          </w:p>
        </w:tc>
        <w:tc>
          <w:tcPr>
            <w:tcW w:w="3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1.03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Federal funds sold and agreements to resell securities</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432</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23,835</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5.52</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81</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5,597</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6.91</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23</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808</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3.55</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134</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1.60</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147</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1,875</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1.28</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Trading account</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62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744</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1.20</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90</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2,446</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2.71</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80</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1,544</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1.92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53</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418</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.79</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55</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647</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1.18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Investment securities(b)</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U.S. Treasury and federal agencies</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2,274</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100,611</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4.42</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2,884</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121,669</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4.22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3,479</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134,528</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3.87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4,169</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158,953</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3.81</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2,599</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106,209</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4.09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Obligations of states and political subdivisions</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119</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8,619</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7.23</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157</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10,223</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6.53</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180</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10,860</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6.04</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218</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15,017</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6.90</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251</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15,827</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6.30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4,925</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260,661</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5.29</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4,995</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254,142</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5.09</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4,817</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227,562</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4.72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3,610</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157,703</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4.37</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2,494</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113,159</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4.54</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60"/>
              <w:spacing w:after="0"/>
              <w:rPr>
                <w:sz w:val="20"/>
                <w:szCs w:val="20"/>
                <w:color w:val="auto"/>
              </w:rPr>
            </w:pPr>
            <w:r>
              <w:rPr>
                <w:rFonts w:ascii="Arial" w:cs="Arial" w:eastAsia="Arial" w:hAnsi="Arial"/>
                <w:sz w:val="8"/>
                <w:szCs w:val="8"/>
                <w:color w:val="auto"/>
              </w:rPr>
              <w:t>Total investment securities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7,318</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369,891</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5.05</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8,036</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386,034</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4.80</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8,476</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372,950</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4.40</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7,997</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331,673</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4.15</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5,344</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235,195</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4.40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shd w:val="clear" w:color="auto" w:fill="CCEEFF"/>
          </w:tcPr>
          <w:p>
            <w:pPr>
              <w:ind w:left="160"/>
              <w:spacing w:after="0" w:line="86" w:lineRule="exact"/>
              <w:rPr>
                <w:sz w:val="20"/>
                <w:szCs w:val="20"/>
                <w:color w:val="auto"/>
              </w:rPr>
            </w:pPr>
            <w:r>
              <w:rPr>
                <w:rFonts w:ascii="Arial" w:cs="Arial" w:eastAsia="Arial" w:hAnsi="Arial"/>
                <w:sz w:val="8"/>
                <w:szCs w:val="8"/>
                <w:i w:val="1"/>
                <w:iCs w:val="1"/>
                <w:color w:val="auto"/>
              </w:rPr>
              <w:t>Total earning assets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51,951</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9"/>
              </w:rPr>
              <w:t>3,565,646</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6" w:lineRule="exact"/>
              <w:rPr>
                <w:sz w:val="20"/>
                <w:szCs w:val="20"/>
                <w:color w:val="auto"/>
              </w:rPr>
            </w:pPr>
            <w:r>
              <w:rPr>
                <w:rFonts w:ascii="Arial" w:cs="Arial" w:eastAsia="Arial" w:hAnsi="Arial"/>
                <w:sz w:val="8"/>
                <w:szCs w:val="8"/>
                <w:color w:val="auto"/>
              </w:rPr>
              <w:t>6.86</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49,652</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3,333,760</w:t>
            </w:r>
          </w:p>
        </w:tc>
        <w:tc>
          <w:tcPr>
            <w:tcW w:w="46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6.71</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48,118</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2,806,005</w:t>
            </w:r>
          </w:p>
        </w:tc>
        <w:tc>
          <w:tcPr>
            <w:tcW w:w="2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5.83</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45,200</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2,316,062</w:t>
            </w:r>
          </w:p>
        </w:tc>
        <w:tc>
          <w:tcPr>
            <w:tcW w:w="2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5.13</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39,531</w:t>
            </w:r>
          </w:p>
        </w:tc>
        <w:tc>
          <w:tcPr>
            <w:tcW w:w="4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2,142,878</w:t>
            </w:r>
          </w:p>
        </w:tc>
        <w:tc>
          <w:tcPr>
            <w:tcW w:w="3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5.42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8"/>
                <w:szCs w:val="8"/>
                <w:color w:val="auto"/>
              </w:rPr>
              <w:t>Allowance for credit losses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140"/>
              <w:spacing w:after="0" w:line="86" w:lineRule="exact"/>
              <w:rPr>
                <w:sz w:val="20"/>
                <w:szCs w:val="20"/>
                <w:color w:val="auto"/>
              </w:rPr>
            </w:pPr>
            <w:r>
              <w:rPr>
                <w:rFonts w:ascii="Arial" w:cs="Arial" w:eastAsia="Arial" w:hAnsi="Arial"/>
                <w:sz w:val="8"/>
                <w:szCs w:val="8"/>
                <w:color w:val="auto"/>
              </w:rPr>
              <w:t>(677)</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(646)</w:t>
            </w: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(638)</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40"/>
              <w:spacing w:after="0" w:line="86" w:lineRule="exact"/>
              <w:rPr>
                <w:sz w:val="20"/>
                <w:szCs w:val="20"/>
                <w:color w:val="auto"/>
              </w:rPr>
            </w:pPr>
            <w:r>
              <w:rPr>
                <w:rFonts w:ascii="Arial" w:cs="Arial" w:eastAsia="Arial" w:hAnsi="Arial"/>
                <w:sz w:val="8"/>
                <w:szCs w:val="8"/>
                <w:color w:val="auto"/>
              </w:rPr>
              <w:t>(626)</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(574)</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Cash and due from banks</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1,271</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1,346</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1,400</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1,599</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1,542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Other assets</w:t>
            </w: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6,000</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5,487</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5,255</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5,344</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4,850</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80" w:type="dxa"/>
            <w:vAlign w:val="bottom"/>
            <w:gridSpan w:val="2"/>
            <w:shd w:val="clear" w:color="auto" w:fill="CCEEFF"/>
          </w:tcPr>
          <w:p>
            <w:pPr>
              <w:ind w:left="160"/>
              <w:spacing w:after="0" w:line="86" w:lineRule="exact"/>
              <w:rPr>
                <w:sz w:val="20"/>
                <w:szCs w:val="20"/>
                <w:color w:val="auto"/>
              </w:rPr>
            </w:pPr>
            <w:r>
              <w:rPr>
                <w:rFonts w:ascii="Arial" w:cs="Arial" w:eastAsia="Arial" w:hAnsi="Arial"/>
                <w:sz w:val="8"/>
                <w:szCs w:val="8"/>
                <w:color w:val="auto"/>
              </w:rPr>
              <w:t>Total assets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58,545</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55,839</w:t>
            </w: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54,135</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51,517</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45,349</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80" w:type="dxa"/>
            <w:vAlign w:val="bottom"/>
            <w:gridSpan w:val="2"/>
          </w:tcPr>
          <w:p>
            <w:pPr>
              <w:spacing w:after="0"/>
              <w:rPr>
                <w:sz w:val="20"/>
                <w:szCs w:val="20"/>
                <w:color w:val="auto"/>
              </w:rPr>
            </w:pPr>
            <w:r>
              <w:rPr>
                <w:rFonts w:ascii="Arial" w:cs="Arial" w:eastAsia="Arial" w:hAnsi="Arial"/>
                <w:sz w:val="8"/>
                <w:szCs w:val="8"/>
                <w:b w:val="1"/>
                <w:bCs w:val="1"/>
                <w:color w:val="auto"/>
              </w:rPr>
              <w:t>Liabilities and Stockholders’ Equity</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Interest-bearing liabilities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Interest-bearing deposits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NOW accounts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461</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4,638</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1.01</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435</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3,461</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.79</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400</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2,182</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550</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1,802</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.33</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1,021</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3,613</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Savings deposits</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14,985</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250,313</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1.67</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14,401</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201,543</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1.40</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14,889</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139,445</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.94</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15,305</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92,064</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.60</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13,278</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102,190</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.77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Time deposits</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10,597</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496,378</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4.68</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12,420</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551,514</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4.44</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9,158</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294,782</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3.22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6,948</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154,722</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2.23</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6,638</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159,700</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2.41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Deposits at foreign office</w:t>
            </w:r>
          </w:p>
        </w:tc>
        <w:tc>
          <w:tcPr>
            <w:tcW w:w="4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4,185</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207,990</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4.97</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3,610</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178,348</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4.94</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3,819</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120,122</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3.15</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3,136</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43,034</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1.37</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1,445</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14,991</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1.04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shd w:val="clear" w:color="auto" w:fill="CCEEFF"/>
          </w:tcPr>
          <w:p>
            <w:pPr>
              <w:ind w:left="160"/>
              <w:spacing w:after="0" w:line="86" w:lineRule="exact"/>
              <w:rPr>
                <w:sz w:val="20"/>
                <w:szCs w:val="20"/>
                <w:color w:val="auto"/>
              </w:rPr>
            </w:pPr>
            <w:r>
              <w:rPr>
                <w:rFonts w:ascii="Arial" w:cs="Arial" w:eastAsia="Arial" w:hAnsi="Arial"/>
                <w:sz w:val="8"/>
                <w:szCs w:val="8"/>
                <w:color w:val="auto"/>
              </w:rPr>
              <w:t>Total interest-bearing deposits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30,228</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959,319</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6" w:lineRule="exact"/>
              <w:rPr>
                <w:sz w:val="20"/>
                <w:szCs w:val="20"/>
                <w:color w:val="auto"/>
              </w:rPr>
            </w:pPr>
            <w:r>
              <w:rPr>
                <w:rFonts w:ascii="Arial" w:cs="Arial" w:eastAsia="Arial" w:hAnsi="Arial"/>
                <w:sz w:val="8"/>
                <w:szCs w:val="8"/>
                <w:color w:val="auto"/>
              </w:rPr>
              <w:t>3.17</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30,866</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934,866</w:t>
            </w:r>
          </w:p>
        </w:tc>
        <w:tc>
          <w:tcPr>
            <w:tcW w:w="46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3.03</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28,266</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556,531</w:t>
            </w:r>
          </w:p>
        </w:tc>
        <w:tc>
          <w:tcPr>
            <w:tcW w:w="2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1.97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25,939</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291,622</w:t>
            </w:r>
          </w:p>
        </w:tc>
        <w:tc>
          <w:tcPr>
            <w:tcW w:w="2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1.12</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22,382</w:t>
            </w:r>
          </w:p>
        </w:tc>
        <w:tc>
          <w:tcPr>
            <w:tcW w:w="4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280,494</w:t>
            </w:r>
          </w:p>
        </w:tc>
        <w:tc>
          <w:tcPr>
            <w:tcW w:w="3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1.25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8"/>
                <w:szCs w:val="8"/>
                <w:color w:val="auto"/>
              </w:rPr>
              <w:t>Short-term borrowings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5,386</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274,079</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5.09</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4,530</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227,850</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5.03</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4,890</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157,853</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3.23</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5,142</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71,172</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1.38</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4,331</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49,064</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1.13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Long-term borrowings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8,428</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461,178</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5.47</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6,013</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333,836</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5.55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6,411</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279,967</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4.37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5,832</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201,366</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3.45</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6,018</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198,252</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3.29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60"/>
              <w:spacing w:after="0"/>
              <w:rPr>
                <w:sz w:val="20"/>
                <w:szCs w:val="20"/>
                <w:color w:val="auto"/>
              </w:rPr>
            </w:pPr>
            <w:r>
              <w:rPr>
                <w:rFonts w:ascii="Arial" w:cs="Arial" w:eastAsia="Arial" w:hAnsi="Arial"/>
                <w:sz w:val="8"/>
                <w:szCs w:val="8"/>
                <w:i w:val="1"/>
                <w:iCs w:val="1"/>
                <w:color w:val="auto"/>
              </w:rPr>
              <w:t>Total interest-bearing liabilities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44,042</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w w:val="89"/>
              </w:rPr>
              <w:t>1,694,576</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3.85</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41,409</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1,496,552</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3.61</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39,567</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994,351</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2.51</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36,913</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564,160</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1.53</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32,731</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527,810</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1.61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80" w:type="dxa"/>
            <w:vAlign w:val="bottom"/>
            <w:gridSpan w:val="2"/>
            <w:shd w:val="clear" w:color="auto" w:fill="CCEEFF"/>
          </w:tcPr>
          <w:p>
            <w:pPr>
              <w:spacing w:after="0" w:line="86" w:lineRule="exact"/>
              <w:rPr>
                <w:sz w:val="20"/>
                <w:szCs w:val="20"/>
                <w:color w:val="auto"/>
              </w:rPr>
            </w:pPr>
            <w:r>
              <w:rPr>
                <w:rFonts w:ascii="Arial" w:cs="Arial" w:eastAsia="Arial" w:hAnsi="Arial"/>
                <w:sz w:val="8"/>
                <w:szCs w:val="8"/>
                <w:color w:val="auto"/>
              </w:rPr>
              <w:t>Noninterest-bearing deposits</w:t>
            </w:r>
          </w:p>
        </w:tc>
        <w:tc>
          <w:tcPr>
            <w:tcW w:w="4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7,400</w:t>
            </w:r>
          </w:p>
        </w:tc>
        <w:tc>
          <w:tcPr>
            <w:tcW w:w="16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7,555</w:t>
            </w:r>
          </w:p>
        </w:tc>
        <w:tc>
          <w:tcPr>
            <w:tcW w:w="18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8,050</w:t>
            </w:r>
          </w:p>
        </w:tc>
        <w:tc>
          <w:tcPr>
            <w:tcW w:w="18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8,039</w:t>
            </w:r>
          </w:p>
        </w:tc>
        <w:tc>
          <w:tcPr>
            <w:tcW w:w="18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6,801</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Other liabilities</w:t>
            </w: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856</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834</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720</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864</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876</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80" w:type="dxa"/>
            <w:vAlign w:val="bottom"/>
            <w:gridSpan w:val="2"/>
            <w:shd w:val="clear" w:color="auto" w:fill="CCEEFF"/>
          </w:tcPr>
          <w:p>
            <w:pPr>
              <w:ind w:left="80"/>
              <w:spacing w:after="0" w:line="86" w:lineRule="exact"/>
              <w:rPr>
                <w:sz w:val="20"/>
                <w:szCs w:val="20"/>
                <w:color w:val="auto"/>
              </w:rPr>
            </w:pPr>
            <w:r>
              <w:rPr>
                <w:rFonts w:ascii="Arial" w:cs="Arial" w:eastAsia="Arial" w:hAnsi="Arial"/>
                <w:sz w:val="8"/>
                <w:szCs w:val="8"/>
                <w:color w:val="auto"/>
              </w:rPr>
              <w:t>Total liabilities</w:t>
            </w:r>
          </w:p>
        </w:tc>
        <w:tc>
          <w:tcPr>
            <w:tcW w:w="4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52,298</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49,798</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48,337</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45,816</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40,408</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80" w:type="dxa"/>
            <w:vAlign w:val="bottom"/>
            <w:gridSpan w:val="2"/>
          </w:tcPr>
          <w:p>
            <w:pPr>
              <w:spacing w:after="0" w:line="86" w:lineRule="exact"/>
              <w:rPr>
                <w:sz w:val="20"/>
                <w:szCs w:val="20"/>
                <w:color w:val="auto"/>
              </w:rPr>
            </w:pPr>
            <w:r>
              <w:rPr>
                <w:rFonts w:ascii="Arial" w:cs="Arial" w:eastAsia="Arial" w:hAnsi="Arial"/>
                <w:sz w:val="8"/>
                <w:szCs w:val="8"/>
                <w:color w:val="auto"/>
              </w:rPr>
              <w:t>Stockholders’ equity</w:t>
            </w: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6,247</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6,041</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5,798</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5,701</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4,941</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80" w:type="dxa"/>
            <w:vAlign w:val="bottom"/>
            <w:gridSpan w:val="2"/>
            <w:shd w:val="clear" w:color="auto" w:fill="CCEEFF"/>
          </w:tcPr>
          <w:p>
            <w:pPr>
              <w:ind w:left="80"/>
              <w:spacing w:after="0" w:line="86" w:lineRule="exact"/>
              <w:rPr>
                <w:sz w:val="20"/>
                <w:szCs w:val="20"/>
                <w:color w:val="auto"/>
              </w:rPr>
            </w:pPr>
            <w:r>
              <w:rPr>
                <w:rFonts w:ascii="Arial" w:cs="Arial" w:eastAsia="Arial" w:hAnsi="Arial"/>
                <w:sz w:val="8"/>
                <w:szCs w:val="8"/>
                <w:color w:val="auto"/>
              </w:rPr>
              <w:t>Total liabilities and stockholders’ equity</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58,545</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55,839</w:t>
            </w: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54,135</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51,517</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45,349</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80" w:type="dxa"/>
            <w:vAlign w:val="bottom"/>
            <w:gridSpan w:val="2"/>
          </w:tcPr>
          <w:p>
            <w:pPr>
              <w:spacing w:after="0"/>
              <w:rPr>
                <w:sz w:val="20"/>
                <w:szCs w:val="20"/>
                <w:color w:val="auto"/>
              </w:rPr>
            </w:pPr>
            <w:r>
              <w:rPr>
                <w:rFonts w:ascii="Arial" w:cs="Arial" w:eastAsia="Arial" w:hAnsi="Arial"/>
                <w:sz w:val="8"/>
                <w:szCs w:val="8"/>
                <w:color w:val="auto"/>
              </w:rPr>
              <w:t>Net interest spread</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8"/>
                <w:szCs w:val="8"/>
                <w:color w:val="auto"/>
              </w:rPr>
              <w:t>3.01</w:t>
            </w: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gridSpan w:val="2"/>
          </w:tcPr>
          <w:p>
            <w:pPr>
              <w:jc w:val="right"/>
              <w:spacing w:after="0"/>
              <w:rPr>
                <w:sz w:val="20"/>
                <w:szCs w:val="20"/>
                <w:color w:val="auto"/>
              </w:rPr>
            </w:pPr>
            <w:r>
              <w:rPr>
                <w:rFonts w:ascii="Arial" w:cs="Arial" w:eastAsia="Arial" w:hAnsi="Arial"/>
                <w:sz w:val="8"/>
                <w:szCs w:val="8"/>
                <w:color w:val="auto"/>
              </w:rPr>
              <w:t>3.10</w:t>
            </w: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3.32</w:t>
            </w: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jc w:val="right"/>
              <w:spacing w:after="0"/>
              <w:rPr>
                <w:sz w:val="20"/>
                <w:szCs w:val="20"/>
                <w:color w:val="auto"/>
              </w:rPr>
            </w:pPr>
            <w:r>
              <w:rPr>
                <w:rFonts w:ascii="Arial" w:cs="Arial" w:eastAsia="Arial" w:hAnsi="Arial"/>
                <w:sz w:val="8"/>
                <w:szCs w:val="8"/>
                <w:color w:val="auto"/>
              </w:rPr>
              <w:t>3.60</w:t>
            </w: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gridSpan w:val="2"/>
          </w:tcPr>
          <w:p>
            <w:pPr>
              <w:jc w:val="right"/>
              <w:spacing w:after="0"/>
              <w:rPr>
                <w:sz w:val="20"/>
                <w:szCs w:val="20"/>
                <w:color w:val="auto"/>
              </w:rPr>
            </w:pPr>
            <w:r>
              <w:rPr>
                <w:rFonts w:ascii="Arial" w:cs="Arial" w:eastAsia="Arial" w:hAnsi="Arial"/>
                <w:sz w:val="8"/>
                <w:szCs w:val="8"/>
                <w:color w:val="auto"/>
              </w:rPr>
              <w:t>3.81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Contribution of interest-free funds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.59</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.60</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8"/>
                <w:szCs w:val="8"/>
                <w:color w:val="auto"/>
              </w:rPr>
              <w:t>Net interest income/margin on earning assets</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w w:val="89"/>
              </w:rPr>
              <w:t>1,871,070</w:t>
            </w:r>
          </w:p>
        </w:tc>
        <w:tc>
          <w:tcPr>
            <w:tcW w:w="180" w:type="dxa"/>
            <w:vAlign w:val="bottom"/>
          </w:tcPr>
          <w:p>
            <w:pPr>
              <w:spacing w:after="0"/>
              <w:rPr>
                <w:sz w:val="8"/>
                <w:szCs w:val="8"/>
                <w:color w:val="auto"/>
              </w:rPr>
            </w:pPr>
          </w:p>
        </w:tc>
        <w:tc>
          <w:tcPr>
            <w:tcW w:w="460" w:type="dxa"/>
            <w:vAlign w:val="bottom"/>
            <w:gridSpan w:val="2"/>
          </w:tcPr>
          <w:p>
            <w:pPr>
              <w:jc w:val="right"/>
              <w:ind w:right="120"/>
              <w:spacing w:after="0" w:line="86" w:lineRule="exact"/>
              <w:rPr>
                <w:sz w:val="20"/>
                <w:szCs w:val="20"/>
                <w:color w:val="auto"/>
              </w:rPr>
            </w:pPr>
            <w:r>
              <w:rPr>
                <w:rFonts w:ascii="Arial" w:cs="Arial" w:eastAsia="Arial" w:hAnsi="Arial"/>
                <w:sz w:val="8"/>
                <w:szCs w:val="8"/>
                <w:color w:val="auto"/>
              </w:rPr>
              <w:t>3.60%</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1,837,208</w:t>
            </w:r>
          </w:p>
        </w:tc>
        <w:tc>
          <w:tcPr>
            <w:tcW w:w="640" w:type="dxa"/>
            <w:vAlign w:val="bottom"/>
            <w:gridSpan w:val="3"/>
          </w:tcPr>
          <w:p>
            <w:pPr>
              <w:jc w:val="right"/>
              <w:ind w:right="120"/>
              <w:spacing w:after="0" w:line="86" w:lineRule="exact"/>
              <w:rPr>
                <w:sz w:val="20"/>
                <w:szCs w:val="20"/>
                <w:color w:val="auto"/>
              </w:rPr>
            </w:pPr>
            <w:r>
              <w:rPr>
                <w:rFonts w:ascii="Arial" w:cs="Arial" w:eastAsia="Arial" w:hAnsi="Arial"/>
                <w:sz w:val="8"/>
                <w:szCs w:val="8"/>
                <w:color w:val="auto"/>
              </w:rPr>
              <w:t>3.70%</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1,811,654</w:t>
            </w:r>
          </w:p>
        </w:tc>
        <w:tc>
          <w:tcPr>
            <w:tcW w:w="460" w:type="dxa"/>
            <w:vAlign w:val="bottom"/>
            <w:gridSpan w:val="2"/>
          </w:tcPr>
          <w:p>
            <w:pPr>
              <w:jc w:val="right"/>
              <w:ind w:right="120"/>
              <w:spacing w:after="0" w:line="86" w:lineRule="exact"/>
              <w:rPr>
                <w:sz w:val="20"/>
                <w:szCs w:val="20"/>
                <w:color w:val="auto"/>
              </w:rPr>
            </w:pPr>
            <w:r>
              <w:rPr>
                <w:rFonts w:ascii="Arial" w:cs="Arial" w:eastAsia="Arial" w:hAnsi="Arial"/>
                <w:sz w:val="8"/>
                <w:szCs w:val="8"/>
                <w:color w:val="auto"/>
              </w:rPr>
              <w:t>3.77%</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1,751,902</w:t>
            </w:r>
          </w:p>
        </w:tc>
        <w:tc>
          <w:tcPr>
            <w:tcW w:w="440" w:type="dxa"/>
            <w:vAlign w:val="bottom"/>
            <w:gridSpan w:val="2"/>
          </w:tcPr>
          <w:p>
            <w:pPr>
              <w:jc w:val="right"/>
              <w:ind w:right="120"/>
              <w:spacing w:after="0" w:line="86" w:lineRule="exact"/>
              <w:rPr>
                <w:sz w:val="20"/>
                <w:szCs w:val="20"/>
                <w:color w:val="auto"/>
              </w:rPr>
            </w:pPr>
            <w:r>
              <w:rPr>
                <w:rFonts w:ascii="Arial" w:cs="Arial" w:eastAsia="Arial" w:hAnsi="Arial"/>
                <w:sz w:val="8"/>
                <w:szCs w:val="8"/>
                <w:color w:val="auto"/>
              </w:rPr>
              <w:t>3.88%</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1,615,068</w:t>
            </w:r>
          </w:p>
        </w:tc>
        <w:tc>
          <w:tcPr>
            <w:tcW w:w="380" w:type="dxa"/>
            <w:vAlign w:val="bottom"/>
            <w:gridSpan w:val="3"/>
          </w:tcPr>
          <w:p>
            <w:pPr>
              <w:jc w:val="right"/>
              <w:ind w:right="20"/>
              <w:spacing w:after="0" w:line="86" w:lineRule="exact"/>
              <w:rPr>
                <w:sz w:val="20"/>
                <w:szCs w:val="20"/>
                <w:color w:val="auto"/>
              </w:rPr>
            </w:pPr>
            <w:r>
              <w:rPr>
                <w:rFonts w:ascii="Arial" w:cs="Arial" w:eastAsia="Arial" w:hAnsi="Arial"/>
                <w:sz w:val="8"/>
                <w:szCs w:val="8"/>
                <w:color w:val="auto"/>
              </w:rPr>
              <w:t>4.09%</w:t>
            </w:r>
          </w:p>
        </w:tc>
        <w:tc>
          <w:tcPr>
            <w:tcW w:w="0" w:type="dxa"/>
            <w:vAlign w:val="bottom"/>
          </w:tcPr>
          <w:p>
            <w:pPr>
              <w:spacing w:after="0"/>
              <w:rPr>
                <w:sz w:val="1"/>
                <w:szCs w:val="1"/>
                <w:color w:val="auto"/>
              </w:rPr>
            </w:pPr>
          </w:p>
        </w:tc>
      </w:tr>
      <w:tr>
        <w:trPr>
          <w:trHeight w:val="106"/>
        </w:trPr>
        <w:tc>
          <w:tcPr>
            <w:tcW w:w="92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0" w:hanging="254"/>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Includes nonaccrual loans.</w:t>
      </w:r>
    </w:p>
    <w:p>
      <w:pPr>
        <w:spacing w:after="0" w:line="43" w:lineRule="exact"/>
        <w:rPr>
          <w:rFonts w:ascii="Arial" w:cs="Arial" w:eastAsia="Arial" w:hAnsi="Arial"/>
          <w:sz w:val="13"/>
          <w:szCs w:val="13"/>
          <w:color w:val="auto"/>
        </w:rPr>
      </w:pPr>
    </w:p>
    <w:p>
      <w:pPr>
        <w:ind w:left="340" w:hanging="261"/>
        <w:spacing w:after="0"/>
        <w:tabs>
          <w:tab w:leader="none" w:pos="34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available for sale securities at amortized cost.</w:t>
      </w:r>
    </w:p>
    <w:p>
      <w:pPr>
        <w:spacing w:after="0" w:line="161" w:lineRule="exact"/>
        <w:rPr>
          <w:sz w:val="20"/>
          <w:szCs w:val="20"/>
          <w:color w:val="auto"/>
        </w:rPr>
      </w:pPr>
    </w:p>
    <w:p>
      <w:pPr>
        <w:ind w:left="11360"/>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9234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Table 4 summarizes average loans and leases outstanding in 2007 and percentage changes in the major components of the portfolio over the past two years.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44"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AVERAGE LOANS AND LEASES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(Net of unearned discount)</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2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Percent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53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2006 to 2007</w:t>
            </w:r>
          </w:p>
        </w:tc>
        <w:tc>
          <w:tcPr>
            <w:tcW w:w="780" w:type="dxa"/>
            <w:vAlign w:val="bottom"/>
            <w:tcBorders>
              <w:top w:val="single" w:sz="8" w:color="auto"/>
            </w:tcBorders>
          </w:tcPr>
          <w:p>
            <w:pPr>
              <w:jc w:val="right"/>
              <w:ind w:right="51"/>
              <w:spacing w:after="0" w:line="96" w:lineRule="exact"/>
              <w:rPr>
                <w:sz w:val="20"/>
                <w:szCs w:val="20"/>
                <w:color w:val="auto"/>
              </w:rPr>
            </w:pPr>
            <w:r>
              <w:rPr>
                <w:rFonts w:ascii="Arial" w:cs="Arial" w:eastAsia="Arial" w:hAnsi="Arial"/>
                <w:sz w:val="10"/>
                <w:szCs w:val="10"/>
                <w:b w:val="1"/>
                <w:bCs w:val="1"/>
                <w:color w:val="auto"/>
              </w:rPr>
              <w:t>2005 to 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193"/>
              <w:spacing w:after="0"/>
              <w:rPr>
                <w:sz w:val="20"/>
                <w:szCs w:val="20"/>
                <w:color w:val="auto"/>
              </w:rPr>
            </w:pPr>
            <w:r>
              <w:rPr>
                <w:rFonts w:ascii="Arial" w:cs="Arial" w:eastAsia="Arial" w:hAnsi="Arial"/>
                <w:sz w:val="10"/>
                <w:szCs w:val="10"/>
                <w:b w:val="1"/>
                <w:bCs w:val="1"/>
                <w:color w:val="auto"/>
              </w:rPr>
              <w:t>(Dollars in millions)</w:t>
            </w: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24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12,177</w:t>
            </w:r>
          </w:p>
        </w:tc>
        <w:tc>
          <w:tcPr>
            <w:tcW w:w="4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Real estate — commercial</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15,748</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Real estate — consumer</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6,015</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Consumer</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Automobile</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auto"/>
              </w:rPr>
              <w:t>Home equity lines</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4,167</w:t>
            </w:r>
          </w:p>
        </w:tc>
        <w:tc>
          <w:tcPr>
            <w:tcW w:w="4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Home equity loans</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auto"/>
              </w:rPr>
              <w:t>Other</w:t>
            </w: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consumer</w:t>
            </w:r>
          </w:p>
        </w:tc>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10,190</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tcPr>
          <w:p>
            <w:pPr>
              <w:ind w:left="120"/>
              <w:spacing w:after="0"/>
              <w:rPr>
                <w:sz w:val="20"/>
                <w:szCs w:val="20"/>
                <w:color w:val="auto"/>
              </w:rPr>
            </w:pPr>
            <w:r>
              <w:rPr>
                <w:rFonts w:ascii="Arial" w:cs="Arial" w:eastAsia="Arial" w:hAnsi="Arial"/>
                <w:sz w:val="14"/>
                <w:szCs w:val="14"/>
                <w:color w:val="auto"/>
              </w:rPr>
              <w:t>Total</w:t>
            </w:r>
          </w:p>
        </w:tc>
        <w:tc>
          <w:tcPr>
            <w:tcW w:w="2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44,130</w:t>
            </w:r>
          </w:p>
        </w:tc>
        <w:tc>
          <w:tcPr>
            <w:tcW w:w="4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4287520</wp:posOffset>
            </wp:positionH>
            <wp:positionV relativeFrom="paragraph">
              <wp:posOffset>-3175</wp:posOffset>
            </wp:positionV>
            <wp:extent cx="240792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7920" cy="18415"/>
                    </a:xfrm>
                    <a:prstGeom prst="rect">
                      <a:avLst/>
                    </a:prstGeom>
                    <a:noFill/>
                  </pic:spPr>
                </pic:pic>
              </a:graphicData>
            </a:graphic>
          </wp:anchor>
        </w:drawing>
      </w:r>
    </w:p>
    <w:p>
      <w:pPr>
        <w:ind w:left="680" w:firstLine="599"/>
        <w:spacing w:after="0" w:line="247" w:lineRule="auto"/>
        <w:rPr>
          <w:sz w:val="20"/>
          <w:szCs w:val="20"/>
          <w:color w:val="auto"/>
        </w:rPr>
      </w:pPr>
      <w:r>
        <w:rPr>
          <w:rFonts w:ascii="Arial" w:cs="Arial" w:eastAsia="Arial" w:hAnsi="Arial"/>
          <w:sz w:val="14"/>
          <w:szCs w:val="14"/>
          <w:color w:val="auto"/>
        </w:rPr>
        <w:t>Commercial loans and leases, excluding loans secured by real estate, aggregated $13.1 billion at December 31, 2007, representing 27% of total loans and leases. Approximately $259 million of commercial loans were obtained in the December 2007 acquisition transactions. Table 5 presents information on commercial loans and leases as of December 31, 2007 relating to geographic area, size, and whether the loans are secured by collateral or unsecured. Of the $13.1 billion of commercial loans and leases outstanding at the end of 2007, approximately $10.4 billion, or 80%, were secured, while 51%, 23% and 12% were granted to businesses in New York State, Pennsylvania and Maryland, respectively. The Company provides financing for leases to commercial customers, primarily for equipment. Commercial leases included in total commercial loans and leases at December 31, 2007 aggregated $1.4 billion, of which 47% were secured by collateral located in New York State, 13% were secured by collateral in Maryland and another 11% were secured by collateral in Pennsylvania.</w:t>
      </w:r>
    </w:p>
    <w:p>
      <w:pPr>
        <w:spacing w:after="0" w:line="1" w:lineRule="exact"/>
        <w:rPr>
          <w:sz w:val="20"/>
          <w:szCs w:val="20"/>
          <w:color w:val="auto"/>
        </w:rPr>
      </w:pPr>
    </w:p>
    <w:p>
      <w:pPr>
        <w:ind w:left="680" w:right="80" w:firstLine="599"/>
        <w:spacing w:after="0" w:line="248" w:lineRule="auto"/>
        <w:rPr>
          <w:sz w:val="20"/>
          <w:szCs w:val="20"/>
          <w:color w:val="auto"/>
        </w:rPr>
      </w:pPr>
      <w:r>
        <w:rPr>
          <w:rFonts w:ascii="Arial" w:cs="Arial" w:eastAsia="Arial" w:hAnsi="Arial"/>
          <w:sz w:val="14"/>
          <w:szCs w:val="14"/>
          <w:color w:val="auto"/>
        </w:rPr>
        <w:t>International loans included in commercial loans and leases totaled $107 million and $176 million at December 31, 2007 and 2006, respectively. The Company participates in the insurance and guarantee programs of the Export-Import Bank of the United States. These programs provide U.S. government repayment coverage of 90% to 100% on loans supporting foreign borrowers’ purchases of U.S. goods and services. The loans generally range from $1 million to $10 million. The outstanding balances of loans under these programs at December 31, 2007 and 2006 were $95 million and $143 million, respectively.</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COMMERCIAL LOANS AND LEASES, NET OF UNEARNED DISCOUNT</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i w:val="1"/>
          <w:iCs w:val="1"/>
          <w:color w:val="auto"/>
        </w:rPr>
        <w:t>(Excluding Loans Secured by Real Estate)</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2007</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0"/>
                <w:szCs w:val="10"/>
                <w:b w:val="1"/>
                <w:bCs w:val="1"/>
                <w:color w:val="auto"/>
                <w:w w:val="89"/>
              </w:rPr>
              <w:t>Outstandings</w:t>
            </w:r>
          </w:p>
        </w:tc>
        <w:tc>
          <w:tcPr>
            <w:tcW w:w="380" w:type="dxa"/>
            <w:vAlign w:val="bottom"/>
            <w:vMerge w:val="restart"/>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0"/>
                <w:szCs w:val="10"/>
                <w:b w:val="1"/>
                <w:bCs w:val="1"/>
                <w:color w:val="auto"/>
                <w:w w:val="95"/>
              </w:rPr>
              <w:t>Percent of Dollars Outstanding by Loan Size</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99"/>
              </w:rPr>
              <w:t>$0-1</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$1-5</w:t>
            </w:r>
          </w:p>
        </w:tc>
        <w:tc>
          <w:tcPr>
            <w:tcW w:w="420" w:type="dxa"/>
            <w:vAlign w:val="bottom"/>
          </w:tcPr>
          <w:p>
            <w:pPr>
              <w:spacing w:after="0"/>
              <w:rPr>
                <w:sz w:val="8"/>
                <w:szCs w:val="8"/>
                <w:color w:val="auto"/>
              </w:rPr>
            </w:pPr>
          </w:p>
        </w:tc>
        <w:tc>
          <w:tcPr>
            <w:tcW w:w="2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u w:val="single" w:color="auto"/>
                <w:color w:val="auto"/>
                <w:w w:val="85"/>
              </w:rPr>
              <w:t>$</w:t>
            </w:r>
            <w:r>
              <w:rPr>
                <w:rFonts w:ascii="Arial" w:cs="Arial" w:eastAsia="Arial" w:hAnsi="Arial"/>
                <w:sz w:val="10"/>
                <w:szCs w:val="10"/>
                <w:b w:val="1"/>
                <w:bCs w:val="1"/>
                <w:color w:val="auto"/>
                <w:w w:val="85"/>
              </w:rPr>
              <w:t>5-10</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u w:val="single" w:color="auto"/>
                <w:color w:val="auto"/>
                <w:w w:val="89"/>
              </w:rPr>
              <w:t>$</w:t>
            </w:r>
            <w:r>
              <w:rPr>
                <w:rFonts w:ascii="Arial" w:cs="Arial" w:eastAsia="Arial" w:hAnsi="Arial"/>
                <w:sz w:val="10"/>
                <w:szCs w:val="10"/>
                <w:b w:val="1"/>
                <w:bCs w:val="1"/>
                <w:color w:val="auto"/>
                <w:w w:val="89"/>
              </w:rPr>
              <w:t>10-15</w:t>
            </w:r>
          </w:p>
        </w:tc>
        <w:tc>
          <w:tcPr>
            <w:tcW w:w="420" w:type="dxa"/>
            <w:vAlign w:val="bottom"/>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u w:val="single" w:color="auto"/>
                <w:color w:val="auto"/>
                <w:w w:val="88"/>
              </w:rPr>
              <w:t>$</w:t>
            </w:r>
            <w:r>
              <w:rPr>
                <w:rFonts w:ascii="Arial" w:cs="Arial" w:eastAsia="Arial" w:hAnsi="Arial"/>
                <w:sz w:val="10"/>
                <w:szCs w:val="10"/>
                <w:b w:val="1"/>
                <w:bCs w:val="1"/>
                <w:color w:val="auto"/>
                <w:w w:val="88"/>
              </w:rPr>
              <w:t>15+</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(Dollars in</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w w:val="97"/>
              </w:rPr>
              <w:t>millions)</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New York State</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Secured</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4,655</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920" w:type="dxa"/>
            <w:vAlign w:val="bottom"/>
            <w:gridSpan w:val="3"/>
          </w:tcPr>
          <w:p>
            <w:pPr>
              <w:jc w:val="right"/>
              <w:ind w:right="249"/>
              <w:spacing w:after="0"/>
              <w:rPr>
                <w:sz w:val="20"/>
                <w:szCs w:val="20"/>
                <w:color w:val="auto"/>
              </w:rPr>
            </w:pPr>
            <w:r>
              <w:rPr>
                <w:rFonts w:ascii="Arial" w:cs="Arial" w:eastAsia="Arial" w:hAnsi="Arial"/>
                <w:sz w:val="14"/>
                <w:szCs w:val="14"/>
                <w:color w:val="auto"/>
              </w:rPr>
              <w:t>23%</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Unsecured</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Leases</w:t>
            </w: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3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New York State</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6,712</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w:t>
            </w:r>
          </w:p>
        </w:tc>
        <w:tc>
          <w:tcPr>
            <w:tcW w:w="92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33%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60" w:type="dxa"/>
            <w:vAlign w:val="bottom"/>
            <w:gridSpan w:val="2"/>
          </w:tcPr>
          <w:p>
            <w:pPr>
              <w:ind w:left="680"/>
              <w:spacing w:after="0"/>
              <w:rPr>
                <w:sz w:val="20"/>
                <w:szCs w:val="20"/>
                <w:color w:val="auto"/>
              </w:rPr>
            </w:pPr>
            <w:r>
              <w:rPr>
                <w:rFonts w:ascii="Arial" w:cs="Arial" w:eastAsia="Arial" w:hAnsi="Arial"/>
                <w:sz w:val="14"/>
                <w:szCs w:val="14"/>
                <w:color w:val="auto"/>
              </w:rPr>
              <w:t>Pennsylvania</w:t>
            </w:r>
          </w:p>
        </w:tc>
        <w:tc>
          <w:tcPr>
            <w:tcW w:w="17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Secured</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92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25%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Unsecured</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514</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Leases</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Pennsylvania</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3,059</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33%</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Maryland</w:t>
            </w:r>
          </w:p>
        </w:tc>
        <w:tc>
          <w:tcPr>
            <w:tcW w:w="17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Secured</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1,008</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920" w:type="dxa"/>
            <w:vAlign w:val="bottom"/>
            <w:gridSpan w:val="3"/>
          </w:tcPr>
          <w:p>
            <w:pPr>
              <w:jc w:val="right"/>
              <w:ind w:right="249"/>
              <w:spacing w:after="0"/>
              <w:rPr>
                <w:sz w:val="20"/>
                <w:szCs w:val="20"/>
                <w:color w:val="auto"/>
              </w:rPr>
            </w:pPr>
            <w:r>
              <w:rPr>
                <w:rFonts w:ascii="Arial" w:cs="Arial" w:eastAsia="Arial" w:hAnsi="Arial"/>
                <w:sz w:val="14"/>
                <w:szCs w:val="14"/>
                <w:color w:val="auto"/>
              </w:rPr>
              <w:t>18%</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8%</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Unsecured</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Leases</w:t>
            </w: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3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Maryland</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92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24%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60" w:type="dxa"/>
            <w:vAlign w:val="bottom"/>
            <w:gridSpan w:val="2"/>
          </w:tcPr>
          <w:p>
            <w:pPr>
              <w:ind w:left="680"/>
              <w:spacing w:after="0"/>
              <w:rPr>
                <w:sz w:val="20"/>
                <w:szCs w:val="20"/>
                <w:color w:val="auto"/>
              </w:rPr>
            </w:pPr>
            <w:r>
              <w:rPr>
                <w:rFonts w:ascii="Arial" w:cs="Arial" w:eastAsia="Arial" w:hAnsi="Arial"/>
                <w:sz w:val="14"/>
                <w:szCs w:val="14"/>
                <w:color w:val="auto"/>
              </w:rPr>
              <w:t>Other</w:t>
            </w:r>
          </w:p>
        </w:tc>
        <w:tc>
          <w:tcPr>
            <w:tcW w:w="17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Secured</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92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17%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Unsecured</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Leases</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other</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1,717</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29%</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15%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commercial loans and leases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13,106</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92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31%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41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Loans secured by real estate, including outstanding balances of home equity loans and lines of credit which the Company classifies as consumer loans, represented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61% of the loan and lease portfolio during 2007, compared with 62% in 2006 and 60% in 2005. At December 31, 2007, the Company held approximately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$17.4 billion of commercial real estate loans, $6.2 billion of consumer real estate loans secured by one-to-four family residential properties (including $774 million of loans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held for sale) and $5.5 billion of outstanding balances of home equity loans and lines of credit, compared with $15.4 billion, $6.0 billion and $5.4 billion, respectively, at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2006. Loans obtained in the December 2007 acquisition transactions included $343 million of commercial real estate loans, $1.1 billion of consumer real estate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loans secured by one-to-four family residential mortgages and $269 million of outstanding home equity loans and lines of credit.</w:t>
      </w:r>
    </w:p>
    <w:p>
      <w:pPr>
        <w:spacing w:after="0" w:line="3"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A significant portion of commercial real estate loans originated by the Company are secured by properties in the New York City metropolitan area, including areas in neighboring states generally considered to be within commuting distance of New York City, and other areas of New York State where the Company operates. Commercial real estate loans are also originated through the Company’s offices in Pennsylvania, Maryland, Virginia, Washington, D.C., Oregon, West Virginia and other states. 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 current market rate of interest. The Company also originates fixed-rate commercial real estate loans with maturities of greater than five years, generally having original maturity terms of approximately ten years, and adjustable-rate commercial real estate loans. Excluding construction loans, adjustable-rate commercial real estate loans represented approximately 49% of the commercial real estate loan portfolio as of December 31, 2007. Table 6 presents commercial real estate loans by geographic area, type of collateral and size of the loans outstanding at December 31, 2007. Of the $6.0 billion of commercial real estate loans in the New York City metropolitan area, approximately 28% were secured by multifamily residential properties, 44% by retail space and 9% by office space. The Company’s experience has been that office space and retail properties tend to demonstrate more volatile fluctuations in value through economic cycles and changing economic conditions than do multifamily residential properties. Approximately 57% of the aggregate dollar amount of New York City-area loans were for loans with outstanding balances of $10 million or less, while loans of more than $15 million made up approximately 34% of the total.</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6</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COMMERCIAL REAL ESTATE LOANS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i w:val="1"/>
          <w:iCs w:val="1"/>
          <w:color w:val="auto"/>
        </w:rPr>
        <w:t>(Net of unearned discount)</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2007</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0"/>
                <w:szCs w:val="10"/>
                <w:b w:val="1"/>
                <w:bCs w:val="1"/>
                <w:color w:val="auto"/>
                <w:w w:val="89"/>
              </w:rPr>
              <w:t>Outstandings</w:t>
            </w:r>
          </w:p>
        </w:tc>
        <w:tc>
          <w:tcPr>
            <w:tcW w:w="380" w:type="dxa"/>
            <w:vAlign w:val="bottom"/>
            <w:vMerge w:val="restart"/>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0"/>
                <w:szCs w:val="10"/>
                <w:b w:val="1"/>
                <w:bCs w:val="1"/>
                <w:color w:val="auto"/>
                <w:w w:val="95"/>
              </w:rPr>
              <w:t>Percent of Dollars Outstanding by Loan Size</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99"/>
              </w:rPr>
              <w:t>$0-1</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89"/>
              </w:rPr>
              <w:t>$1-5</w:t>
            </w:r>
          </w:p>
        </w:tc>
        <w:tc>
          <w:tcPr>
            <w:tcW w:w="420" w:type="dxa"/>
            <w:vAlign w:val="bottom"/>
          </w:tcPr>
          <w:p>
            <w:pPr>
              <w:spacing w:after="0"/>
              <w:rPr>
                <w:sz w:val="8"/>
                <w:szCs w:val="8"/>
                <w:color w:val="auto"/>
              </w:rPr>
            </w:pPr>
          </w:p>
        </w:tc>
        <w:tc>
          <w:tcPr>
            <w:tcW w:w="2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u w:val="single" w:color="auto"/>
                <w:color w:val="auto"/>
                <w:w w:val="85"/>
              </w:rPr>
              <w:t>$</w:t>
            </w:r>
            <w:r>
              <w:rPr>
                <w:rFonts w:ascii="Arial" w:cs="Arial" w:eastAsia="Arial" w:hAnsi="Arial"/>
                <w:sz w:val="10"/>
                <w:szCs w:val="10"/>
                <w:b w:val="1"/>
                <w:bCs w:val="1"/>
                <w:color w:val="auto"/>
                <w:w w:val="85"/>
              </w:rPr>
              <w:t>5-10</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u w:val="single" w:color="auto"/>
                <w:color w:val="auto"/>
                <w:w w:val="89"/>
              </w:rPr>
              <w:t>$</w:t>
            </w:r>
            <w:r>
              <w:rPr>
                <w:rFonts w:ascii="Arial" w:cs="Arial" w:eastAsia="Arial" w:hAnsi="Arial"/>
                <w:sz w:val="10"/>
                <w:szCs w:val="10"/>
                <w:b w:val="1"/>
                <w:bCs w:val="1"/>
                <w:color w:val="auto"/>
                <w:w w:val="89"/>
              </w:rPr>
              <w:t>10-15</w:t>
            </w:r>
          </w:p>
        </w:tc>
        <w:tc>
          <w:tcPr>
            <w:tcW w:w="420" w:type="dxa"/>
            <w:vAlign w:val="bottom"/>
          </w:tcPr>
          <w:p>
            <w:pPr>
              <w:spacing w:after="0"/>
              <w:rPr>
                <w:sz w:val="8"/>
                <w:szCs w:val="8"/>
                <w:color w:val="auto"/>
              </w:rPr>
            </w:pPr>
          </w:p>
        </w:tc>
        <w:tc>
          <w:tcPr>
            <w:tcW w:w="2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u w:val="single" w:color="auto"/>
                <w:color w:val="auto"/>
                <w:w w:val="88"/>
              </w:rPr>
              <w:t>$</w:t>
            </w:r>
            <w:r>
              <w:rPr>
                <w:rFonts w:ascii="Arial" w:cs="Arial" w:eastAsia="Arial" w:hAnsi="Arial"/>
                <w:sz w:val="10"/>
                <w:szCs w:val="10"/>
                <w:b w:val="1"/>
                <w:bCs w:val="1"/>
                <w:color w:val="auto"/>
                <w:w w:val="88"/>
              </w:rPr>
              <w:t>15+</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(Dollars in</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w w:val="97"/>
              </w:rPr>
              <w:t>millions)</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Metropolitan New York City</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Apartments/Multifamily</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1,707</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920" w:type="dxa"/>
            <w:vAlign w:val="bottom"/>
            <w:gridSpan w:val="3"/>
          </w:tcPr>
          <w:p>
            <w:pPr>
              <w:jc w:val="right"/>
              <w:ind w:right="249"/>
              <w:spacing w:after="0"/>
              <w:rPr>
                <w:sz w:val="20"/>
                <w:szCs w:val="20"/>
                <w:color w:val="auto"/>
              </w:rPr>
            </w:pPr>
            <w:r>
              <w:rPr>
                <w:rFonts w:ascii="Arial" w:cs="Arial" w:eastAsia="Arial" w:hAnsi="Arial"/>
                <w:sz w:val="14"/>
                <w:szCs w:val="14"/>
                <w:color w:val="auto"/>
              </w:rPr>
              <w:t>10%</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Retail/Services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2,654</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272</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Metropolitan New York City</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6,004</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31%</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Other New York State</w:t>
            </w:r>
          </w:p>
        </w:tc>
        <w:tc>
          <w:tcPr>
            <w:tcW w:w="17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Apartments/Multifamily</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920" w:type="dxa"/>
            <w:vAlign w:val="bottom"/>
            <w:gridSpan w:val="3"/>
          </w:tcPr>
          <w:p>
            <w:pPr>
              <w:jc w:val="right"/>
              <w:ind w:right="249"/>
              <w:spacing w:after="0"/>
              <w:rPr>
                <w:sz w:val="20"/>
                <w:szCs w:val="20"/>
                <w:color w:val="auto"/>
              </w:rPr>
            </w:pPr>
            <w:r>
              <w:rPr>
                <w:rFonts w:ascii="Arial" w:cs="Arial" w:eastAsia="Arial" w:hAnsi="Arial"/>
                <w:sz w:val="14"/>
                <w:szCs w:val="14"/>
                <w:color w:val="auto"/>
              </w:rPr>
              <w:t>2%</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Retail/Services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433</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other New York State</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4,055</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39%</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Pennsylvania</w:t>
            </w:r>
          </w:p>
        </w:tc>
        <w:tc>
          <w:tcPr>
            <w:tcW w:w="17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Apartments/Multifamily</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920" w:type="dxa"/>
            <w:vAlign w:val="bottom"/>
            <w:gridSpan w:val="3"/>
          </w:tcPr>
          <w:p>
            <w:pPr>
              <w:jc w:val="right"/>
              <w:ind w:right="249"/>
              <w:spacing w:after="0"/>
              <w:rPr>
                <w:sz w:val="20"/>
                <w:szCs w:val="20"/>
                <w:color w:val="auto"/>
              </w:rPr>
            </w:pPr>
            <w:r>
              <w:rPr>
                <w:rFonts w:ascii="Arial" w:cs="Arial" w:eastAsia="Arial" w:hAnsi="Arial"/>
                <w:sz w:val="14"/>
                <w:szCs w:val="14"/>
                <w:color w:val="auto"/>
              </w:rPr>
              <w:t>2%</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Retail/Services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787</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452</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Pennsylvania</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2,618</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36%</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Maryland</w:t>
            </w:r>
          </w:p>
        </w:tc>
        <w:tc>
          <w:tcPr>
            <w:tcW w:w="17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Apartments/Multifamily</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Retail/Services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425</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Maryland</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2,151</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28%</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7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Apartments/Multifamily</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920" w:type="dxa"/>
            <w:vAlign w:val="bottom"/>
            <w:gridSpan w:val="3"/>
          </w:tcPr>
          <w:p>
            <w:pPr>
              <w:jc w:val="right"/>
              <w:ind w:right="249"/>
              <w:spacing w:after="0"/>
              <w:rPr>
                <w:sz w:val="20"/>
                <w:szCs w:val="20"/>
                <w:color w:val="auto"/>
              </w:rPr>
            </w:pPr>
            <w:r>
              <w:rPr>
                <w:rFonts w:ascii="Arial" w:cs="Arial" w:eastAsia="Arial" w:hAnsi="Arial"/>
                <w:sz w:val="14"/>
                <w:szCs w:val="14"/>
                <w:color w:val="auto"/>
              </w:rPr>
              <w:t>2%</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Retail/Services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1,083</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w:t>
            </w: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36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7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other</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2,600</w:t>
            </w:r>
          </w:p>
        </w:tc>
        <w:tc>
          <w:tcPr>
            <w:tcW w:w="3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660" w:type="dxa"/>
            <w:vAlign w:val="bottom"/>
            <w:gridSpan w:val="2"/>
          </w:tcPr>
          <w:p>
            <w:pPr>
              <w:jc w:val="right"/>
              <w:ind w:right="249"/>
              <w:spacing w:after="0"/>
              <w:rPr>
                <w:sz w:val="20"/>
                <w:szCs w:val="20"/>
                <w:color w:val="auto"/>
              </w:rPr>
            </w:pPr>
            <w:r>
              <w:rPr>
                <w:rFonts w:ascii="Arial" w:cs="Arial" w:eastAsia="Arial" w:hAnsi="Arial"/>
                <w:sz w:val="14"/>
                <w:szCs w:val="14"/>
                <w:color w:val="auto"/>
              </w:rPr>
              <w:t>22%</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commercial real estate loans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17,428</w:t>
            </w:r>
          </w:p>
        </w:tc>
        <w:tc>
          <w:tcPr>
            <w:tcW w:w="3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w:t>
            </w:r>
          </w:p>
        </w:tc>
        <w:tc>
          <w:tcPr>
            <w:tcW w:w="92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32%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43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60" w:firstLine="599"/>
        <w:spacing w:after="0" w:line="248" w:lineRule="auto"/>
        <w:rPr>
          <w:sz w:val="20"/>
          <w:szCs w:val="20"/>
          <w:color w:val="auto"/>
        </w:rPr>
      </w:pPr>
      <w:r>
        <w:rPr>
          <w:rFonts w:ascii="Arial" w:cs="Arial" w:eastAsia="Arial" w:hAnsi="Arial"/>
          <w:sz w:val="14"/>
          <w:szCs w:val="14"/>
          <w:color w:val="auto"/>
        </w:rPr>
        <w:t>Commercial real estate loans secured by properties located in other parts of New York State, Pennsylvania, Maryland and other areas tend to have a greater diversity of collateral types and include a significant amount of lending to customers who use the mortgaged property in their trade or business. Approximately 70% of the aggregate dollar amount of commercial real estate loans in New York State secured by properties located outside of the metropolitan New York City area were for loans with outstanding balances of $5 million or less. Of the outstanding balances of commercial real estate loans in Pennsylvania and Maryland, approximately 72% and 51%, respectively, were for loans with outstanding balances of $5 million or less.</w:t>
      </w:r>
    </w:p>
    <w:p>
      <w:pPr>
        <w:ind w:left="680" w:right="20" w:firstLine="599"/>
        <w:spacing w:after="0" w:line="244" w:lineRule="auto"/>
        <w:rPr>
          <w:sz w:val="20"/>
          <w:szCs w:val="20"/>
          <w:color w:val="auto"/>
        </w:rPr>
      </w:pPr>
      <w:r>
        <w:rPr>
          <w:rFonts w:ascii="Arial" w:cs="Arial" w:eastAsia="Arial" w:hAnsi="Arial"/>
          <w:sz w:val="14"/>
          <w:szCs w:val="14"/>
          <w:color w:val="auto"/>
        </w:rPr>
        <w:t>Commercial real estate loans secured by properties located outside of Pennsylvania, Maryland, New York State and areas of states neighboring New York considered to be part of the New York City metropolitan area, comprised 15% of total commercial real estate loans as of December 31, 2007.</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Commercial real estate construction loans presented in table 6 totaled $3.0 billion at December 31, 2007, or 6% of total loans and leases. Approximately 94% of those construction loans had adjustable interest rates. Included in such loans at December 31, 2007 were $1.5 billion of loans to developers of residential real estate properties.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1"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M&amp;T Realty Capital Corporation, one of the Company’s commercial real estate lending subsidiaries, participates in the FNMA Delegated Underwriting and Servicing (“DUS”) program, pursuant to which commercial real estate loans are originated in accordance with terms and conditions specified by FNMA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At December 31, 2007 and 2006, approximately $1.0 billion and $939 million, respectively, of commercial real estate loan balances serviced for others had been sold with recourse. There have been no material losses incurred as a result of those recourse arrangements. Commercial real estate loans held for sale at December 31, 2007 and 2006 aggregated $79 million and $49 million, respectively. At December 31, 2007 and 2006, commercial real estate loans serviced for other investors by the Company were $5.3 billion and $4.9 billion, respectively. Those serviced loans are not included in the Company’s consolidated balance sheet.</w:t>
      </w:r>
    </w:p>
    <w:p>
      <w:pPr>
        <w:spacing w:after="0" w:line="2"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Real estate loans secured by one-to-four family residential properties were $6.2 billion at December 31, 2007, including approximately 33% secured by properties located in New York State, 14% secured by properties located in Pennsylvania and 10% secured by properties located in Maryland. At December 31, 2007, $774 million of residential real estate loans were held for sale, compared with $1.9 billion at December 31, 2006. That decline in residential real estate loans held for sale resulted largely from the Company’s decision during 2007 to not actively participate in the Alt-A market. As already discussed, in March 2007 the Company transferred $883 million of Alt-A loans secured by residential real estate properties from its held-for-sale portfolio to its held-for-investment loan portfolio. The Company’s portfolio of Alt-A loans held for investment at December 31, 2007 totaled $1.2 billion, compared with $584 million and $75 million at December 31, 2006 and 2005, respectively. Loans to individuals to finance the construction of one-to-four family residential properties totaled $417 million at December 31, 2007, or approximately 1% of total loans and leases, compared with $693 million or 2% at December 31, 2006.</w:t>
      </w:r>
    </w:p>
    <w:p>
      <w:pPr>
        <w:spacing w:after="0" w:line="3"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Consumer loans and leases comprised approximately 23% of the average loan portfolio during 2007, down from 24% in 2006 and 27% in 2005. The two largest components of the consumer loan portfolio are outstanding balances of home equity lines of credit and automobile loans and leases. Average balances of home equity lines of credit outstanding represented approximately 9% of average loans outstanding in 2007 and 10% in 2006. Automobile loans and leases represented approximately 7% of the Company’s average loan portfolio during each of 2007 and 2006. No other consumer loan product represented more than 4% of average loans outstanding in 2007. Approximately 53% of home equity lines of credit outstanding at December 31, 2007 were secured by properties in New York State, and 20% and 21% were secured by properties in Pennsylvania and Maryland, respectively. Average outstanding balances on home equity lines of credit were approximately $4.2 billion in each of 2007 and 2006. At December 31, 2007, 34% and 24% of the automobile loan and lease portfolio were to customers residing</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line="247" w:lineRule="auto"/>
        <w:rPr>
          <w:sz w:val="20"/>
          <w:szCs w:val="20"/>
          <w:color w:val="auto"/>
        </w:rPr>
      </w:pPr>
      <w:r>
        <w:rPr>
          <w:rFonts w:ascii="Arial" w:cs="Arial" w:eastAsia="Arial" w:hAnsi="Arial"/>
          <w:sz w:val="14"/>
          <w:szCs w:val="14"/>
          <w:color w:val="auto"/>
        </w:rPr>
        <w:t>in New York State and Pennsylvania, respectively. Although automobile loans and leases have generally been originated through dealers, all applications submitted through dealers are subject to the Company’s normal underwriting and loan approval procedures. From mid-2004 until late 2006, the Company experienced a general slowdown in its automobile loan origination business, resulting from increased competition from other lenders, including financing incentives offered by automobile manufacturers. Throughout that period, the Company chose not to match the pricing being offered by many competitors. Since late 2006, the pricing as it relates to those loans improved such that the Company began actively originating automobile loans, which resulted in outstanding balances in this portfolio increasing to $3.8 billion at December 31, 2007 from $2.7 billion at December 31, 2006.</w:t>
      </w:r>
    </w:p>
    <w:p>
      <w:pPr>
        <w:spacing w:after="0" w:line="2" w:lineRule="exact"/>
        <w:rPr>
          <w:sz w:val="20"/>
          <w:szCs w:val="20"/>
          <w:color w:val="auto"/>
        </w:rPr>
      </w:pPr>
    </w:p>
    <w:p>
      <w:pPr>
        <w:ind w:left="680" w:right="300" w:firstLine="599"/>
        <w:spacing w:after="0" w:line="263" w:lineRule="auto"/>
        <w:rPr>
          <w:sz w:val="20"/>
          <w:szCs w:val="20"/>
          <w:color w:val="auto"/>
        </w:rPr>
      </w:pPr>
      <w:r>
        <w:rPr>
          <w:rFonts w:ascii="Arial" w:cs="Arial" w:eastAsia="Arial" w:hAnsi="Arial"/>
          <w:sz w:val="13"/>
          <w:szCs w:val="13"/>
          <w:color w:val="auto"/>
        </w:rPr>
        <w:t>The Company ceased origination of automobile leases during 2003. Automobile leases outstanding averaged approximately $15 million in 2007, compared with $53 million in 2006 and $137 million in 2005. At December 31, 2007 and 2006, outstanding automobile leases totaled $5 million and $29 million, respectively.</w:t>
      </w:r>
    </w:p>
    <w:p>
      <w:pPr>
        <w:ind w:left="680" w:right="120" w:firstLine="599"/>
        <w:spacing w:after="0" w:line="249" w:lineRule="auto"/>
        <w:rPr>
          <w:sz w:val="20"/>
          <w:szCs w:val="20"/>
          <w:color w:val="auto"/>
        </w:rPr>
      </w:pPr>
      <w:r>
        <w:rPr>
          <w:rFonts w:ascii="Arial" w:cs="Arial" w:eastAsia="Arial" w:hAnsi="Arial"/>
          <w:sz w:val="14"/>
          <w:szCs w:val="14"/>
          <w:color w:val="auto"/>
        </w:rPr>
        <w:t>Table 7 presents the composition of the Company’s loan and lease portfolio at the end of 2007, including outstanding balances to businesses and consumers in New York State, Pennsylvania, Maryland and other states. Approximately 49% of total loans and leases at December 31, 2007 were to New York State customers, while 19% and 12% were to Pennsylvania and Maryland customers, respectively.</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7</w:t>
      </w:r>
    </w:p>
    <w:p>
      <w:pPr>
        <w:spacing w:after="0" w:line="244"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LOANS AND LEASES, NET OF UNEARNED DISCOUNT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2007</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Percent of Dollars Outstanding</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Outstandings</w:t>
            </w:r>
          </w:p>
        </w:tc>
        <w:tc>
          <w:tcPr>
            <w:tcW w:w="74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New York</w:t>
            </w:r>
          </w:p>
        </w:tc>
        <w:tc>
          <w:tcPr>
            <w:tcW w:w="300" w:type="dxa"/>
            <w:vAlign w:val="bottom"/>
          </w:tcPr>
          <w:p>
            <w:pPr>
              <w:spacing w:after="0"/>
              <w:rPr>
                <w:sz w:val="6"/>
                <w:szCs w:val="6"/>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Pennsylvania</w:t>
            </w:r>
          </w:p>
        </w:tc>
        <w:tc>
          <w:tcPr>
            <w:tcW w:w="10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Maryland</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9"/>
              </w:rPr>
              <w:t>Other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State</w:t>
            </w:r>
          </w:p>
        </w:tc>
        <w:tc>
          <w:tcPr>
            <w:tcW w:w="300" w:type="dxa"/>
            <w:vAlign w:val="bottom"/>
            <w:vMerge w:val="restart"/>
          </w:tcPr>
          <w:p>
            <w:pPr>
              <w:spacing w:after="0"/>
              <w:rPr>
                <w:sz w:val="20"/>
                <w:szCs w:val="20"/>
                <w:color w:val="auto"/>
              </w:rPr>
            </w:pPr>
            <w:r>
              <w:rPr>
                <w:rFonts w:ascii="Arial" w:cs="Arial" w:eastAsia="Arial" w:hAnsi="Arial"/>
                <w:sz w:val="10"/>
                <w:szCs w:val="10"/>
                <w:b w:val="1"/>
                <w:bCs w:val="1"/>
                <w:color w:val="auto"/>
                <w:w w:val="75"/>
              </w:rPr>
              <w:t>(Dollars</w:t>
            </w:r>
          </w:p>
        </w:tc>
        <w:tc>
          <w:tcPr>
            <w:tcW w:w="122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in millions)</w:t>
            </w: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Residential</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6,191</w:t>
            </w:r>
          </w:p>
        </w:tc>
        <w:tc>
          <w:tcPr>
            <w:tcW w:w="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33%</w:t>
            </w:r>
          </w:p>
        </w:tc>
        <w:tc>
          <w:tcPr>
            <w:tcW w:w="1520" w:type="dxa"/>
            <w:vAlign w:val="bottom"/>
            <w:gridSpan w:val="3"/>
          </w:tcPr>
          <w:p>
            <w:pPr>
              <w:ind w:left="960"/>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ind w:left="440"/>
              <w:spacing w:after="0"/>
              <w:rPr>
                <w:sz w:val="20"/>
                <w:szCs w:val="20"/>
                <w:color w:val="auto"/>
              </w:rPr>
            </w:pPr>
            <w:r>
              <w:rPr>
                <w:rFonts w:ascii="Arial" w:cs="Arial" w:eastAsia="Arial" w:hAnsi="Arial"/>
                <w:sz w:val="14"/>
                <w:szCs w:val="14"/>
                <w:color w:val="auto"/>
              </w:rPr>
              <w:t>10%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17,428</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85"/>
              </w:rPr>
              <w:t>58(a)</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w w:val="76"/>
              </w:rPr>
              <w:t>15</w:t>
            </w: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9"/>
              </w:rPr>
              <w:t>12</w:t>
            </w: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gridSpan w:val="2"/>
            <w:vMerge w:val="restart"/>
          </w:tcPr>
          <w:p>
            <w:pPr>
              <w:ind w:left="240"/>
              <w:spacing w:after="0"/>
              <w:rPr>
                <w:sz w:val="20"/>
                <w:szCs w:val="20"/>
                <w:color w:val="auto"/>
              </w:rPr>
            </w:pPr>
            <w:r>
              <w:rPr>
                <w:rFonts w:ascii="Arial" w:cs="Arial" w:eastAsia="Arial" w:hAnsi="Arial"/>
                <w:sz w:val="14"/>
                <w:szCs w:val="14"/>
                <w:color w:val="auto"/>
              </w:rPr>
              <w:t>Total real estate</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23,619</w:t>
            </w:r>
          </w:p>
        </w:tc>
        <w:tc>
          <w:tcPr>
            <w:tcW w:w="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51%</w:t>
            </w:r>
          </w:p>
        </w:tc>
        <w:tc>
          <w:tcPr>
            <w:tcW w:w="300" w:type="dxa"/>
            <w:vAlign w:val="bottom"/>
            <w:vMerge w:val="continue"/>
          </w:tcPr>
          <w:p>
            <w:pPr>
              <w:spacing w:after="0"/>
              <w:rPr>
                <w:sz w:val="14"/>
                <w:szCs w:val="14"/>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15%</w:t>
            </w:r>
          </w:p>
        </w:tc>
        <w:tc>
          <w:tcPr>
            <w:tcW w:w="1020" w:type="dxa"/>
            <w:vAlign w:val="bottom"/>
            <w:gridSpan w:val="2"/>
          </w:tcPr>
          <w:p>
            <w:pPr>
              <w:ind w:left="440"/>
              <w:spacing w:after="0"/>
              <w:rPr>
                <w:sz w:val="20"/>
                <w:szCs w:val="20"/>
                <w:color w:val="auto"/>
              </w:rPr>
            </w:pPr>
            <w:r>
              <w:rPr>
                <w:rFonts w:ascii="Arial" w:cs="Arial" w:eastAsia="Arial" w:hAnsi="Arial"/>
                <w:sz w:val="14"/>
                <w:szCs w:val="14"/>
                <w:color w:val="auto"/>
              </w:rPr>
              <w:t>12%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11,752</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52%</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Secured or guaranteed</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11,018</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41%</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24%</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tcPr>
          <w:p>
            <w:pPr>
              <w:ind w:left="120"/>
              <w:spacing w:after="0"/>
              <w:rPr>
                <w:sz w:val="20"/>
                <w:szCs w:val="20"/>
                <w:color w:val="auto"/>
              </w:rPr>
            </w:pPr>
            <w:r>
              <w:rPr>
                <w:rFonts w:ascii="Arial" w:cs="Arial" w:eastAsia="Arial" w:hAnsi="Arial"/>
                <w:sz w:val="14"/>
                <w:szCs w:val="14"/>
                <w:color w:val="auto"/>
              </w:rPr>
              <w:t>Unsecured</w:t>
            </w: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400" w:type="dxa"/>
            <w:vAlign w:val="bottom"/>
          </w:tcPr>
          <w:p>
            <w:pPr>
              <w:spacing w:after="0"/>
              <w:rPr>
                <w:sz w:val="14"/>
                <w:szCs w:val="14"/>
                <w:color w:val="auto"/>
              </w:rPr>
            </w:pP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76"/>
              </w:rPr>
              <w:t>45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w w:val="76"/>
              </w:rPr>
              <w:t>29</w:t>
            </w:r>
          </w:p>
        </w:tc>
        <w:tc>
          <w:tcPr>
            <w:tcW w:w="420" w:type="dxa"/>
            <w:vAlign w:val="bottom"/>
          </w:tcPr>
          <w:p>
            <w:pPr>
              <w:spacing w:after="0"/>
              <w:rPr>
                <w:sz w:val="14"/>
                <w:szCs w:val="14"/>
                <w:color w:val="auto"/>
              </w:rPr>
            </w:pP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89"/>
              </w:rPr>
              <w:t>20</w:t>
            </w:r>
          </w:p>
        </w:tc>
        <w:tc>
          <w:tcPr>
            <w:tcW w:w="4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consumer</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11,292</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41%</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24%</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gridSpan w:val="2"/>
            <w:vMerge w:val="restart"/>
          </w:tcPr>
          <w:p>
            <w:pPr>
              <w:ind w:left="380"/>
              <w:spacing w:after="0"/>
              <w:rPr>
                <w:sz w:val="20"/>
                <w:szCs w:val="20"/>
                <w:color w:val="auto"/>
              </w:rPr>
            </w:pPr>
            <w:r>
              <w:rPr>
                <w:rFonts w:ascii="Arial" w:cs="Arial" w:eastAsia="Arial" w:hAnsi="Arial"/>
                <w:sz w:val="14"/>
                <w:szCs w:val="14"/>
                <w:color w:val="auto"/>
              </w:rPr>
              <w:t>Total loans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46,663</w:t>
            </w:r>
          </w:p>
        </w:tc>
        <w:tc>
          <w:tcPr>
            <w:tcW w:w="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49%</w:t>
            </w:r>
          </w:p>
        </w:tc>
        <w:tc>
          <w:tcPr>
            <w:tcW w:w="300" w:type="dxa"/>
            <w:vAlign w:val="bottom"/>
            <w:vMerge w:val="continue"/>
          </w:tcPr>
          <w:p>
            <w:pPr>
              <w:spacing w:after="0"/>
              <w:rPr>
                <w:sz w:val="14"/>
                <w:szCs w:val="14"/>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20%</w:t>
            </w:r>
          </w:p>
        </w:tc>
        <w:tc>
          <w:tcPr>
            <w:tcW w:w="1020" w:type="dxa"/>
            <w:vAlign w:val="bottom"/>
            <w:gridSpan w:val="2"/>
          </w:tcPr>
          <w:p>
            <w:pPr>
              <w:ind w:left="440"/>
              <w:spacing w:after="0"/>
              <w:rPr>
                <w:sz w:val="20"/>
                <w:szCs w:val="20"/>
                <w:color w:val="auto"/>
              </w:rPr>
            </w:pPr>
            <w:r>
              <w:rPr>
                <w:rFonts w:ascii="Arial" w:cs="Arial" w:eastAsia="Arial" w:hAnsi="Arial"/>
                <w:sz w:val="14"/>
                <w:szCs w:val="14"/>
                <w:color w:val="auto"/>
              </w:rPr>
              <w:t>12%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Leases</w:t>
            </w:r>
          </w:p>
        </w:tc>
        <w:tc>
          <w:tcPr>
            <w:tcW w:w="17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w:t>
            </w:r>
          </w:p>
        </w:tc>
        <w:tc>
          <w:tcPr>
            <w:tcW w:w="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47%</w:t>
            </w:r>
          </w:p>
        </w:tc>
        <w:tc>
          <w:tcPr>
            <w:tcW w:w="1520" w:type="dxa"/>
            <w:vAlign w:val="bottom"/>
            <w:gridSpan w:val="3"/>
          </w:tcPr>
          <w:p>
            <w:pPr>
              <w:ind w:left="960"/>
              <w:spacing w:after="0"/>
              <w:rPr>
                <w:sz w:val="20"/>
                <w:szCs w:val="20"/>
                <w:color w:val="auto"/>
              </w:rPr>
            </w:pPr>
            <w:r>
              <w:rPr>
                <w:rFonts w:ascii="Arial" w:cs="Arial" w:eastAsia="Arial" w:hAnsi="Arial"/>
                <w:sz w:val="14"/>
                <w:szCs w:val="14"/>
                <w:color w:val="auto"/>
              </w:rPr>
              <w:t>11%</w:t>
            </w:r>
          </w:p>
        </w:tc>
        <w:tc>
          <w:tcPr>
            <w:tcW w:w="1020" w:type="dxa"/>
            <w:vAlign w:val="bottom"/>
            <w:gridSpan w:val="2"/>
          </w:tcPr>
          <w:p>
            <w:pPr>
              <w:ind w:left="440"/>
              <w:spacing w:after="0"/>
              <w:rPr>
                <w:sz w:val="20"/>
                <w:szCs w:val="20"/>
                <w:color w:val="auto"/>
              </w:rPr>
            </w:pPr>
            <w:r>
              <w:rPr>
                <w:rFonts w:ascii="Arial" w:cs="Arial" w:eastAsia="Arial" w:hAnsi="Arial"/>
                <w:sz w:val="14"/>
                <w:szCs w:val="14"/>
                <w:color w:val="auto"/>
              </w:rPr>
              <w:t>13%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Consumer</w:t>
            </w:r>
          </w:p>
        </w:tc>
        <w:tc>
          <w:tcPr>
            <w:tcW w:w="17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76"/>
              </w:rPr>
              <w:t>18</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w w:val="76"/>
              </w:rPr>
              <w:t>57</w:t>
            </w:r>
          </w:p>
        </w:tc>
        <w:tc>
          <w:tcPr>
            <w:tcW w:w="4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40" w:type="dxa"/>
            <w:vAlign w:val="bottom"/>
            <w:gridSpan w:val="2"/>
          </w:tcPr>
          <w:p>
            <w:pPr>
              <w:ind w:left="240"/>
              <w:spacing w:after="0"/>
              <w:rPr>
                <w:sz w:val="20"/>
                <w:szCs w:val="20"/>
                <w:color w:val="auto"/>
              </w:rPr>
            </w:pPr>
            <w:r>
              <w:rPr>
                <w:rFonts w:ascii="Arial" w:cs="Arial" w:eastAsia="Arial" w:hAnsi="Arial"/>
                <w:sz w:val="14"/>
                <w:szCs w:val="14"/>
                <w:color w:val="auto"/>
              </w:rPr>
              <w:t>Total leases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1,359</w:t>
            </w:r>
          </w:p>
        </w:tc>
        <w:tc>
          <w:tcPr>
            <w:tcW w:w="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46%</w:t>
            </w:r>
          </w:p>
        </w:tc>
        <w:tc>
          <w:tcPr>
            <w:tcW w:w="300" w:type="dxa"/>
            <w:vAlign w:val="bottom"/>
          </w:tcPr>
          <w:p>
            <w:pPr>
              <w:spacing w:after="0"/>
              <w:rPr>
                <w:sz w:val="14"/>
                <w:szCs w:val="14"/>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12%</w:t>
            </w:r>
          </w:p>
        </w:tc>
        <w:tc>
          <w:tcPr>
            <w:tcW w:w="1020" w:type="dxa"/>
            <w:vAlign w:val="bottom"/>
            <w:gridSpan w:val="2"/>
          </w:tcPr>
          <w:p>
            <w:pPr>
              <w:ind w:left="440"/>
              <w:spacing w:after="0"/>
              <w:rPr>
                <w:sz w:val="20"/>
                <w:szCs w:val="20"/>
                <w:color w:val="auto"/>
              </w:rPr>
            </w:pPr>
            <w:r>
              <w:rPr>
                <w:rFonts w:ascii="Arial" w:cs="Arial" w:eastAsia="Arial" w:hAnsi="Arial"/>
                <w:sz w:val="14"/>
                <w:szCs w:val="14"/>
                <w:color w:val="auto"/>
              </w:rPr>
              <w:t>13%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loans and leases</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48,022</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49%</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Includes loans secured by properties located in neighboring states generally considered to be within commuting distance of New York City.</w:t>
      </w:r>
    </w:p>
    <w:p>
      <w:pPr>
        <w:spacing w:after="0" w:line="88" w:lineRule="exact"/>
        <w:rPr>
          <w:sz w:val="20"/>
          <w:szCs w:val="20"/>
          <w:color w:val="auto"/>
        </w:rPr>
      </w:pPr>
    </w:p>
    <w:p>
      <w:pPr>
        <w:ind w:left="680" w:right="260" w:firstLine="599"/>
        <w:spacing w:after="0" w:line="312" w:lineRule="auto"/>
        <w:rPr>
          <w:sz w:val="20"/>
          <w:szCs w:val="20"/>
          <w:color w:val="auto"/>
        </w:rPr>
      </w:pPr>
      <w:r>
        <w:rPr>
          <w:rFonts w:ascii="Arial" w:cs="Arial" w:eastAsia="Arial" w:hAnsi="Arial"/>
          <w:sz w:val="13"/>
          <w:szCs w:val="13"/>
          <w:color w:val="auto"/>
        </w:rPr>
        <w:t>Balances of investment securities averaged $7.3 billion in 2007, compared with $8.0 billion and $8.5 billion in 2006 and 2005, respectively. The declines in such securities during 2007 and 2006 largely reflect net paydowns and maturities of mortgage-backed securities, collateralized mortgage obligations</w:t>
      </w:r>
    </w:p>
    <w:p>
      <w:pPr>
        <w:spacing w:after="0" w:line="99" w:lineRule="exact"/>
        <w:rPr>
          <w:sz w:val="20"/>
          <w:szCs w:val="20"/>
          <w:color w:val="auto"/>
        </w:rPr>
      </w:pPr>
    </w:p>
    <w:p>
      <w:pPr>
        <w:ind w:left="10560"/>
        <w:spacing w:after="0"/>
        <w:rPr>
          <w:sz w:val="20"/>
          <w:szCs w:val="20"/>
          <w:color w:val="auto"/>
        </w:rPr>
      </w:pPr>
      <w:r>
        <w:rPr>
          <w:rFonts w:ascii="Arial" w:cs="Arial" w:eastAsia="Arial" w:hAnsi="Arial"/>
          <w:sz w:val="8"/>
          <w:szCs w:val="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and U.S. federal agency securities. Until the second half of 2007, the Company had allowed the investment securities portfolio to decline as the opportunity to purchase securities at favorable spreads, that is, the difference between the yield earned on a security and the rate paid on funds used to purchase it, had been limited. During the third quarter of 2007, spreads on residential mortgage-backed securities became more favorable and the Company purchased approximately $800 million of collateralized mortgage obligations and other mortgage-backed securities.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or spreads, actual or anticipated prepayments, credit risk associated with a particular security, or as a result of restructuring its investment securities portfolio following completion of a business combination. During December 2007, the Company securitized approximately $950 million of residential real estate loans obtained in the Partners Trust acquisition in a guaranteed mortgage securitization with FNMA. The Company recognized no gain or loss on the transaction as it retained all of the resulting securities, which are held in the available-for-sale investment securities portfolio. As previously discussed, during the fourth quarter of 2007, the Company recognized other-than-temporary impairment charges of $127 million related to collateralized debt obligations. The remaining balance of collateralized debt obligations backed by residential mortgage loans was $4 million at the 2007 year-end. During 2005 the Company recognized an other-than-temporary impairment charge of $29 million related to its holdings of preferred stock of FNMA and FHLMC. The Company regularly reviews its investment securities for declines in value below amortized cost that might be characterized as “other than temporary.” As of December 31, 2007 and 2006, the Company concluded that the remaining declines were temporary in nature. Further discussion of that decision is included herein under the heading “Capital.” Additional information about the investment securities portfolio is included in note 3 of Notes to Financial Statements.</w:t>
      </w:r>
    </w:p>
    <w:p>
      <w:pPr>
        <w:spacing w:after="0" w:line="5"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Other earning assets include deposits at banks, trading account assets, federal funds sold and agreements to resell securities. Those other earning assets in the aggregate averaged $503 million in 2007, $183 million in 2006 and $113 million in 2005. Reflected in those balances were purchases of investment securities under agreements to resell which averaged $417 million and $50 million during 2007 and 2006, respectively. The average balance in 2005 was insignificant. The higher level of resell agreements in 2007 as compared with 2006 was due, in part, to the need to collateralize deposits of municipalities. There were no outstanding resell agreements at December 31, 2007.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 w:lineRule="exact"/>
        <w:rPr>
          <w:sz w:val="20"/>
          <w:szCs w:val="20"/>
          <w:color w:val="auto"/>
        </w:rPr>
      </w:pPr>
    </w:p>
    <w:p>
      <w:pPr>
        <w:ind w:left="680" w:right="20" w:firstLine="599"/>
        <w:spacing w:after="0" w:line="285" w:lineRule="auto"/>
        <w:rPr>
          <w:sz w:val="20"/>
          <w:szCs w:val="20"/>
          <w:color w:val="auto"/>
        </w:rPr>
      </w:pPr>
      <w:r>
        <w:rPr>
          <w:rFonts w:ascii="Arial" w:cs="Arial" w:eastAsia="Arial" w:hAnsi="Arial"/>
          <w:sz w:val="12"/>
          <w:szCs w:val="12"/>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 are also included in core deposits. Core deposits averaged $28.6 billion in 2007, $28.3 billion in 2006 and $27.9 billion in 2005. The Partners Trust and First Horizon acquisition transactions in late-2007 added $2.0 billion of core deposits on the respective acquisition dates, however, the Company’s average core deposits in 2007 only increased</w:t>
      </w:r>
    </w:p>
    <w:p>
      <w:pPr>
        <w:spacing w:after="0" w:line="1" w:lineRule="exact"/>
        <w:rPr>
          <w:sz w:val="20"/>
          <w:szCs w:val="20"/>
          <w:color w:val="auto"/>
        </w:rPr>
      </w:pPr>
    </w:p>
    <w:p>
      <w:pPr>
        <w:ind w:left="680" w:right="60"/>
        <w:spacing w:after="0" w:line="302" w:lineRule="auto"/>
        <w:rPr>
          <w:sz w:val="20"/>
          <w:szCs w:val="20"/>
          <w:color w:val="auto"/>
        </w:rPr>
      </w:pPr>
      <w:r>
        <w:rPr>
          <w:rFonts w:ascii="Arial" w:cs="Arial" w:eastAsia="Arial" w:hAnsi="Arial"/>
          <w:sz w:val="12"/>
          <w:szCs w:val="12"/>
          <w:color w:val="auto"/>
        </w:rPr>
        <w:t>$156 million from those transactions. The previously discussed June 30, 2006 branch acquisition added approximately $880 million to average core deposits during the second half of 2006, or approximately $443 million for the year ended December 31, 2006. The rise in average balances of time deposits less than $100,000 in 2006 as compared with 2005 was partially due to customer response to higher interest rates offered on those products, resulting in a shift of funds from savings and noninterest-bearing deposit accounts to time deposits. Average core deposits of M&amp;T Bank, N.A. were $208 million in 2007, $387 million in 2006 and $216 million in 2005. Funding provided by</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500"/>
        <w:spacing w:after="0" w:line="272" w:lineRule="auto"/>
        <w:rPr>
          <w:sz w:val="20"/>
          <w:szCs w:val="20"/>
          <w:color w:val="auto"/>
        </w:rPr>
      </w:pPr>
      <w:r>
        <w:rPr>
          <w:rFonts w:ascii="Arial" w:cs="Arial" w:eastAsia="Arial" w:hAnsi="Arial"/>
          <w:sz w:val="14"/>
          <w:szCs w:val="14"/>
          <w:color w:val="auto"/>
        </w:rPr>
        <w:t>core deposits represented 55% of average earning assets in 2007, compared with 57% in 2006 and 58% in 2005. Table 8 summarizes average core deposits in 2007 and percentage changes in the components of such deposits over the past two years.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8</w:t>
      </w:r>
    </w:p>
    <w:p>
      <w:pPr>
        <w:spacing w:after="0" w:line="51"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AVERAGE CORE DEPOSITS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rPr>
              <w:t>Percentage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535"/>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2006 to 2007</w:t>
            </w:r>
          </w:p>
        </w:tc>
        <w:tc>
          <w:tcPr>
            <w:tcW w:w="780" w:type="dxa"/>
            <w:vAlign w:val="bottom"/>
            <w:tcBorders>
              <w:top w:val="single" w:sz="8" w:color="auto"/>
            </w:tcBorders>
          </w:tcPr>
          <w:p>
            <w:pPr>
              <w:jc w:val="right"/>
              <w:ind w:right="52"/>
              <w:spacing w:after="0" w:line="96" w:lineRule="exact"/>
              <w:rPr>
                <w:sz w:val="20"/>
                <w:szCs w:val="20"/>
                <w:color w:val="auto"/>
              </w:rPr>
            </w:pPr>
            <w:r>
              <w:rPr>
                <w:rFonts w:ascii="Arial" w:cs="Arial" w:eastAsia="Arial" w:hAnsi="Arial"/>
                <w:sz w:val="10"/>
                <w:szCs w:val="10"/>
                <w:b w:val="1"/>
                <w:bCs w:val="1"/>
                <w:color w:val="auto"/>
              </w:rPr>
              <w:t>2005 to 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(Dollars in millions)</w:t>
            </w: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4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Savings deposits</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14,898</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Time deposits under $100,000</w:t>
            </w:r>
          </w:p>
        </w:tc>
        <w:tc>
          <w:tcPr>
            <w:tcW w:w="2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5,796</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7,400</w:t>
            </w:r>
          </w:p>
        </w:tc>
        <w:tc>
          <w:tcPr>
            <w:tcW w:w="4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28,555</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Additional sources of funding for the Company include domestic time deposits of $100,000 or more, deposits originated through the Company’s offshore branch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 and brokered deposits. Domestic time deposits over $100,000, excluding brokered certificates of deposit, averaged $2.7 billion in 2007, $2.9 billion in 2006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$1.8 billion in 2005. Offshore branch deposits, primarily comprised of accounts with balances of $100,000 or more, averaged $4.2 billion in 2007, $3.6 billion in 2006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$3.8 billion in 2005. Average brokered time deposits totaled $2.1 billion in 2007, compared with $3.5 billion in 2006 and $2.7 billion in 2005, and at December 31, 2007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 totaled $1.8 billion and $2.7 billion, respectively. In connection with the Company’s management of interest rate risk, interest rate swap agreements have been entered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into under which the Company receives a fixed rate of interest and pays a variable rate and that have notional amounts and terms substantially similar to the amounts and terms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$205 million of brokered time deposits. The Company also had brokered money-market deposit accounts, which averaged $87 million, $69 million and $62 million in 2007,</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2006 and 2005, respectively. Offshore branch deposits and brokered deposits have been used by the Company as an alternative to short-term borrowings. Additional amounts of</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offshore branch deposits or brokered deposits may be solicited in the future depending on market conditions, including demand by customers and other investors for those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deposits, and the cost of funds available from alternative sources at the time.</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Company also uses borrowings from banks, securities dealers, various FHLBs, and others as sources of funding. The average balance of short-term borrowings was $5.4 billion in 2007, $4.5 billion in 2006 and $4.9 billion in 2005. Included in short-term borrowings were unsecured federal funds borrowings, which generally mature daily, that averaged $4.6 billion, $3.7 billion and $4.1 billion in 2007, 2006 and 2005, respectively. Overnight federal funds borrowings represent the largest component of short-term borrowings and are obtained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all of which was in use at the 2007, 2006 and 2005 year-ends. The subsidiary, the loans and the borrowings are included in the consolidated financial statements of the Company. The average balance of this borrowing was $437 million in 2007 and $500 million in each of 2006 and 2005. Additional information about M&amp;T Auto Receivables I, LLC and the revolving borrowing agreement is included in note 18 of Notes to Financial Statements. Average short-term borrowings during 2007 included $160 million of borrowings from the FHLB of New York. There were no similar short-term borrowings in 2005 or 2006.</w:t>
      </w:r>
    </w:p>
    <w:p>
      <w:pPr>
        <w:spacing w:after="0" w:line="2" w:lineRule="exact"/>
        <w:rPr>
          <w:sz w:val="20"/>
          <w:szCs w:val="20"/>
          <w:color w:val="auto"/>
        </w:rPr>
      </w:pPr>
    </w:p>
    <w:p>
      <w:pPr>
        <w:ind w:left="680" w:right="240" w:firstLine="599"/>
        <w:spacing w:after="0" w:line="248" w:lineRule="auto"/>
        <w:rPr>
          <w:sz w:val="20"/>
          <w:szCs w:val="20"/>
          <w:color w:val="auto"/>
        </w:rPr>
      </w:pPr>
      <w:r>
        <w:rPr>
          <w:rFonts w:ascii="Arial" w:cs="Arial" w:eastAsia="Arial" w:hAnsi="Arial"/>
          <w:sz w:val="14"/>
          <w:szCs w:val="14"/>
          <w:color w:val="auto"/>
        </w:rPr>
        <w:t>Long-term borrowings averaged $8.4 billion in 2007, $6.0 billion in 2006 and $6.4 billion in 2005. Included in average long-term borrowings were amounts borrowed from the FHLBs of $4.3 billion in 2007 and $3.8 billion in each of 2006 and 2005, and subordinated capital notes of $1.6 billion in 2007, $1.2 billion in 2006 and $1.3 billion in 2005. M&amp;T Bank issued $400 million and $500 million of subordinated notes in December 2007 and 2006, respectively, in part to maintain appropriate regulatory</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capital ratios. The notes issued in December 2007 bear a fixed rate of interest of 6.625% and mature in December 2017. The 2006 notes bear a fixed rate of interest of 5.629% until December 2016 and a floating rate thereafter until maturity in December 2021, at a rate equal to the three-month London Interbank Offered Rate (“LIBOR”) plus .64%. Beginning December 2016, M&amp;T Bank may, at its option and subject to prior regulatory approval, redeem some or all of those notes on any interest payment date. The Company has utilized interest rate swap agreements to modify the repricing characteristics of certain components of long-term debt. Those swap agreements are used to hedge approximately $637 million of fixed rate subordinated notes and $1.5 billion of long-term variable-rate FHLB borrowings. Further information on interest rate swap agreements is provided in note 17 of Notes to Financial Statements. Junior subordinated debentures associated with trust preferred securities that were included in average long-term borrowings were $716 million, $712 million and $711 million in 2007, 2006 and 2005, respectively. Additional information regarding junior subordinated debentures, as well as information regarding contractual maturities of long-term borrowings, is provided in note 9 of Notes to Financial Statements. Also included in long-term borrowings were agreements to repurchase securities, which averaged $1.6 billion, $258 million and $549 million during 2007, 2006 and 2005, respectively. The agreements, which were entered into due to favorable rates available, have various repurchase dates through 2017, however, the contractual maturities of the underlying securities extend beyond such repurchase dates. Long-term borrowings include $300 million of senior notes issued by M&amp;T in May 2007, which averaged $182 million during 2007. Those notes bear a fixed rate of interest of 5.375% and mature in May 2012.</w:t>
      </w:r>
    </w:p>
    <w:p>
      <w:pPr>
        <w:spacing w:after="0" w:line="7"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Changes in the composition of the Company’s earning assets and interest-bearing liabilities as described herein, as well as changes in interest rates and spreads, can impact net interest income. Net interest spread, or the difference between the yield on earning assets and the rate paid on interest-bearing liabilities, declined 9 basis points from 3.10% in 2006 to 3.01% in 2007. The yield on earning assets during 2007 was 6.86%, 15 basis points higher than 6.71% in 2006, while the rate paid on interest-bearing liabilities increased 24 basis points to 3.85% from 3.61% in 2006. The yield on the Company’s earning assets rose 88 basis points in 2006 from 5.83% in 2005, while the rate paid on interest-bearing liabilities in 2006 was up 110 basis points from 2.51% in 2005. As a result, the Company’s net interest spread decreased from 3.32% in 2005 to 3.10% in 2006. During the period from February 2005 until June 29, 2006, the Federal Reserve raised its benchmark overnight federal funds target rate twelve times, each increase representing a 25 basis point increment over the previously effective target rate. Specifically, during 2005, eight increases were initiated, while during the first half of 2006, four increases were initiated. Those rate increases resulted in the rates the Company paid on interest-bearing liabilities, most notably short-term borrowings, rising more rapidly than the yields on earning assets during 2005 and 2006. In September 2007, the Federal Reserve began lowering its federal funds target rate, first by 50 basis points, then two more times during the fourth quarter by 25 basis points. As a result, the rate of increase from 2006 to 2007 for interest rates earned and paid by the Company slowed, and during the final quarter of 2007, those rates actually declined as compared with that year’s third quarter. Contributing to the decline in net interest spread from 2006 to 2007 was the impact of funding the $300 million BLG investment in February 2007 as well as higher rates paid on deposits and variable-rate borrowings that were only partially offset by higher yields on loans and investment securities.</w:t>
      </w:r>
    </w:p>
    <w:p>
      <w:pPr>
        <w:spacing w:after="0" w:line="3" w:lineRule="exact"/>
        <w:rPr>
          <w:sz w:val="20"/>
          <w:szCs w:val="20"/>
          <w:color w:val="auto"/>
        </w:rPr>
      </w:pPr>
    </w:p>
    <w:p>
      <w:pPr>
        <w:ind w:left="680" w:firstLine="599"/>
        <w:spacing w:after="0" w:line="246" w:lineRule="auto"/>
        <w:rPr>
          <w:sz w:val="20"/>
          <w:szCs w:val="20"/>
          <w:color w:val="auto"/>
        </w:rPr>
      </w:pPr>
      <w:r>
        <w:rPr>
          <w:rFonts w:ascii="Arial" w:cs="Arial" w:eastAsia="Arial" w:hAnsi="Arial"/>
          <w:sz w:val="14"/>
          <w:szCs w:val="14"/>
          <w:color w:val="auto"/>
        </w:rPr>
        <w:t>Net interest-free funds consist largely of noninterest-bearing demand deposits and stockholders’ equity, partially offset by bank owned life insurance and non-earning assets, including goodwill, core deposit and other intangible assets and, in 2007, M&amp;T’s investment in BLG. Net interest-free funds averaged $7.9 billion in 2007, compared with $8.2 billion in 2006 and $8.6 billion in 2005. Goodwill and core deposit and other intangible assets averaged $3.2 billion in 2007, $3.1 billion in 2006, and $3.0 billion in 2005. The cash surrender value of bank owned life insurance averaged $1.1 billion in each of 2007 and 2006 and $1.0 billion in 2005. Increases in the cash surrender value of bank owned life insurance are not included in interest income, but rather are recorded in “other revenues from operations.” The contribution of net interest-free funds to net interest margin was .59% in 2007, .60% in 2006 and .45% in 2005. The impact of slightly higher rates on interest-bearing liabilities during 2007 as compared with 2006, which are used to value such contribution, was offset by the effect of a lower balance of interest-free funds. The rise in the contribution to net interest margin ascribed to net interest-free funds in 2006 as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compared with 2005 resulted largely from the impact of significantly higher interest rates on interest-bearing liabilities used to value such contribution.</w:t>
      </w:r>
    </w:p>
    <w:p>
      <w:pPr>
        <w:spacing w:after="0" w:line="15" w:lineRule="exact"/>
        <w:rPr>
          <w:sz w:val="20"/>
          <w:szCs w:val="20"/>
          <w:color w:val="auto"/>
        </w:rPr>
      </w:pPr>
    </w:p>
    <w:p>
      <w:pPr>
        <w:ind w:left="680" w:right="120" w:firstLine="599"/>
        <w:spacing w:after="0" w:line="285" w:lineRule="auto"/>
        <w:rPr>
          <w:sz w:val="20"/>
          <w:szCs w:val="20"/>
          <w:color w:val="auto"/>
        </w:rPr>
      </w:pPr>
      <w:r>
        <w:rPr>
          <w:rFonts w:ascii="Arial" w:cs="Arial" w:eastAsia="Arial" w:hAnsi="Arial"/>
          <w:sz w:val="12"/>
          <w:szCs w:val="12"/>
          <w:color w:val="auto"/>
        </w:rPr>
        <w:t>Reflecting the changes to the net interest spread and the contribution of interest-free funds as described herein, the Company’s net interest margin was 3.60% in 2007, compared with 3.70% in 2006 and 3.77% in 2005.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 w:lineRule="exact"/>
        <w:rPr>
          <w:sz w:val="20"/>
          <w:szCs w:val="20"/>
          <w:color w:val="auto"/>
        </w:rPr>
      </w:pPr>
    </w:p>
    <w:p>
      <w:pPr>
        <w:ind w:left="680" w:firstLine="599"/>
        <w:spacing w:after="0" w:line="264" w:lineRule="auto"/>
        <w:rPr>
          <w:sz w:val="20"/>
          <w:szCs w:val="20"/>
          <w:color w:val="auto"/>
        </w:rPr>
      </w:pPr>
      <w:r>
        <w:rPr>
          <w:rFonts w:ascii="Arial" w:cs="Arial" w:eastAsia="Arial" w:hAnsi="Arial"/>
          <w:sz w:val="13"/>
          <w:szCs w:val="13"/>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$2.3 billion at December 31, 2007. Under the terms of $842 million of these swap agreements that are designated as fair value hedges, the Company receives payments based on the outstanding notional amount of the swaps at fixed rates and makes payments at variable rates. Under the terms of the remaining $1.5 billion of swap agreements outstanding at the 2007 year-end that are designated as cash flow hedges, the Company pays a fixed rate of interest and receives a variable rate.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2007, 2006 and 2005 were not material to the Company’s results of operations. The estimated aggregate fair value of interest rate swap agreements designated as fair value hedges represented a gain of approximately $17 million at December 31, 2007 and a loss of approximately $15 million at December 31, 2006. The fair values of such swap agreements were substantially offset by changes in the fair values of the hedged items. The estimated fair values of the interest rate swap agreements designated as cash flow hedges were losses of approximately $17 million at December 31, 2007. Net of applicable income taxes, such losses were approximately $10 million and have been included in “accumulated other comprehensive income, net” in the Company’s consolidated balance sheet. There were no swap agreements designated as cash flow hedges at December 31, 2006. The changes in the fair values of the interest rate swap agreements and the hedged items result from the effects of changing interest rates. Additional information about those swap agreements and the items being hedged is included in note 17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9</w:t>
      </w:r>
    </w:p>
    <w:p>
      <w:pPr>
        <w:spacing w:after="0" w:line="167"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INTEREST RATE SWAP AGREEMENTS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0"/>
                <w:szCs w:val="10"/>
                <w:b w:val="1"/>
                <w:bCs w:val="1"/>
                <w:color w:val="auto"/>
                <w:w w:val="93"/>
              </w:rPr>
              <w:t>Year Ended December 31</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ind w:left="500"/>
              <w:spacing w:after="0" w:line="96"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180"/>
              <w:spacing w:after="0" w:line="96" w:lineRule="exact"/>
              <w:rPr>
                <w:sz w:val="20"/>
                <w:szCs w:val="20"/>
                <w:color w:val="auto"/>
              </w:rPr>
            </w:pPr>
            <w:r>
              <w:rPr>
                <w:rFonts w:ascii="Arial" w:cs="Arial" w:eastAsia="Arial" w:hAnsi="Arial"/>
                <w:sz w:val="10"/>
                <w:szCs w:val="10"/>
                <w:b w:val="1"/>
                <w:bCs w:val="1"/>
                <w:color w:val="auto"/>
              </w:rPr>
              <w:t>2005</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right"/>
              <w:ind w:right="620"/>
              <w:spacing w:after="0" w:line="96"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Rate(a)</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ind w:left="20"/>
              <w:spacing w:after="0" w:line="96"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Rate(a)</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right"/>
              <w:ind w:right="500"/>
              <w:spacing w:after="0" w:line="96" w:lineRule="exact"/>
              <w:rPr>
                <w:sz w:val="20"/>
                <w:szCs w:val="20"/>
                <w:color w:val="auto"/>
              </w:rPr>
            </w:pPr>
            <w:r>
              <w:rPr>
                <w:rFonts w:ascii="Arial" w:cs="Arial" w:eastAsia="Arial" w:hAnsi="Arial"/>
                <w:sz w:val="10"/>
                <w:szCs w:val="10"/>
                <w:b w:val="1"/>
                <w:bCs w:val="1"/>
                <w:color w:val="auto"/>
                <w:w w:val="95"/>
              </w:rPr>
              <w:t>Amount</w:t>
            </w:r>
          </w:p>
        </w:tc>
        <w:tc>
          <w:tcPr>
            <w:tcW w:w="400" w:type="dxa"/>
            <w:vAlign w:val="bottom"/>
          </w:tcPr>
          <w:p>
            <w:pPr>
              <w:ind w:left="40"/>
              <w:spacing w:after="0" w:line="96" w:lineRule="exact"/>
              <w:rPr>
                <w:sz w:val="20"/>
                <w:szCs w:val="20"/>
                <w:color w:val="auto"/>
              </w:rPr>
            </w:pPr>
            <w:r>
              <w:rPr>
                <w:rFonts w:ascii="Arial" w:cs="Arial" w:eastAsia="Arial" w:hAnsi="Arial"/>
                <w:sz w:val="10"/>
                <w:szCs w:val="10"/>
                <w:b w:val="1"/>
                <w:bCs w:val="1"/>
                <w:color w:val="auto"/>
              </w:rPr>
              <w:t>Rate(a)</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3"/>
              </w:rPr>
              <w:t>(Dollars in</w:t>
            </w:r>
          </w:p>
        </w:tc>
        <w:tc>
          <w:tcPr>
            <w:tcW w:w="400" w:type="dxa"/>
            <w:vAlign w:val="bottom"/>
          </w:tcPr>
          <w:p>
            <w:pPr>
              <w:spacing w:after="0" w:line="114" w:lineRule="exact"/>
              <w:rPr>
                <w:sz w:val="20"/>
                <w:szCs w:val="20"/>
                <w:color w:val="auto"/>
              </w:rPr>
            </w:pPr>
            <w:r>
              <w:rPr>
                <w:rFonts w:ascii="Arial" w:cs="Arial" w:eastAsia="Arial" w:hAnsi="Arial"/>
                <w:sz w:val="10"/>
                <w:szCs w:val="10"/>
                <w:b w:val="1"/>
                <w:bCs w:val="1"/>
                <w:color w:val="auto"/>
                <w:w w:val="70"/>
              </w:rPr>
              <w:t>thousands)</w:t>
            </w: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00" w:type="dxa"/>
            <w:vAlign w:val="bottom"/>
            <w:gridSpan w:val="2"/>
          </w:tcPr>
          <w:p>
            <w:pPr>
              <w:ind w:left="120"/>
              <w:spacing w:after="0"/>
              <w:rPr>
                <w:sz w:val="20"/>
                <w:szCs w:val="20"/>
                <w:color w:val="auto"/>
              </w:rPr>
            </w:pPr>
            <w:r>
              <w:rPr>
                <w:rFonts w:ascii="Arial" w:cs="Arial" w:eastAsia="Arial" w:hAnsi="Arial"/>
                <w:sz w:val="14"/>
                <w:szCs w:val="14"/>
                <w:color w:val="auto"/>
              </w:rPr>
              <w:t>Interest income</w:t>
            </w:r>
          </w:p>
        </w:tc>
        <w:tc>
          <w:tcPr>
            <w:tcW w:w="16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3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(5,526)</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interest income/margin</w:t>
            </w:r>
          </w:p>
        </w:tc>
        <w:tc>
          <w:tcPr>
            <w:tcW w:w="14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(2,556)</w:t>
            </w:r>
          </w:p>
        </w:tc>
        <w:tc>
          <w:tcPr>
            <w:tcW w:w="400" w:type="dxa"/>
            <w:vAlign w:val="bottom"/>
            <w:vMerge w:val="continue"/>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16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(4,281</w:t>
            </w:r>
          </w:p>
        </w:tc>
        <w:tc>
          <w:tcPr>
            <w:tcW w:w="400" w:type="dxa"/>
            <w:vAlign w:val="bottom"/>
            <w:vMerge w:val="continue"/>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16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5,526</w:t>
            </w:r>
          </w:p>
        </w:tc>
        <w:tc>
          <w:tcPr>
            <w:tcW w:w="3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notional amount</w:t>
            </w:r>
          </w:p>
        </w:tc>
        <w:tc>
          <w:tcPr>
            <w:tcW w:w="16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1,410,542</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774,268</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767,175</w:t>
            </w: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Rate received(b)</w:t>
            </w: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5.66%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Rate paid(b)</w:t>
            </w: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80" w:hanging="239"/>
        <w:spacing w:after="0"/>
        <w:tabs>
          <w:tab w:leader="none" w:pos="118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Computed as a percentage of average earning assets or interest-bearing liabilities.</w:t>
      </w:r>
    </w:p>
    <w:p>
      <w:pPr>
        <w:spacing w:after="0" w:line="13" w:lineRule="exact"/>
        <w:rPr>
          <w:rFonts w:ascii="Arial" w:cs="Arial" w:eastAsia="Arial" w:hAnsi="Arial"/>
          <w:sz w:val="13"/>
          <w:szCs w:val="13"/>
          <w:i w:val="1"/>
          <w:iCs w:val="1"/>
          <w:color w:val="auto"/>
        </w:rPr>
      </w:pPr>
    </w:p>
    <w:p>
      <w:pPr>
        <w:ind w:left="1180" w:hanging="239"/>
        <w:spacing w:after="0"/>
        <w:tabs>
          <w:tab w:leader="none" w:pos="118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Weighted-average rate paid or received on interest rate swap agreements in effect during year.</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Provision for Credit Losses</w:t>
      </w:r>
    </w:p>
    <w:p>
      <w:pPr>
        <w:spacing w:after="0" w:line="19" w:lineRule="exact"/>
        <w:rPr>
          <w:sz w:val="20"/>
          <w:szCs w:val="20"/>
          <w:color w:val="auto"/>
        </w:rPr>
      </w:pPr>
    </w:p>
    <w:p>
      <w:pPr>
        <w:ind w:left="680" w:right="300"/>
        <w:spacing w:after="0" w:line="263" w:lineRule="auto"/>
        <w:rPr>
          <w:sz w:val="20"/>
          <w:szCs w:val="20"/>
          <w:color w:val="auto"/>
        </w:rPr>
      </w:pPr>
      <w:r>
        <w:rPr>
          <w:rFonts w:ascii="Arial" w:cs="Arial" w:eastAsia="Arial" w:hAnsi="Arial"/>
          <w:sz w:val="13"/>
          <w:szCs w:val="13"/>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was $192 million in 2007, up from</w:t>
      </w:r>
    </w:p>
    <w:p>
      <w:pPr>
        <w:ind w:left="680" w:right="40"/>
        <w:spacing w:after="0" w:line="266" w:lineRule="auto"/>
        <w:rPr>
          <w:sz w:val="20"/>
          <w:szCs w:val="20"/>
          <w:color w:val="auto"/>
        </w:rPr>
      </w:pPr>
      <w:r>
        <w:rPr>
          <w:rFonts w:ascii="Arial" w:cs="Arial" w:eastAsia="Arial" w:hAnsi="Arial"/>
          <w:sz w:val="13"/>
          <w:szCs w:val="13"/>
          <w:color w:val="auto"/>
        </w:rPr>
        <w:t>$80 million in 2006 and $88 million in 2005. Net loan charge-offs increased to $114 million in 2007 from $68 million and $77 million in 2006 and 2005, respectively. Net loan charge-offs as a percentage of average loans outstanding were .26% in 2007, compared with .16% in 2006 and .19% in 2005. The significant increase in the provision for credit losses in 2007 as compared with the two preceding years was due, in part, to a pronounced downturn in the residential real estate market. Declining real estate valuations and higher levels of delinquencies and charge-offs throughout 2007 significantly affected the quality of the Company’s residential real estate loan portfolio. Specifically, the Company’s Alt-A residential real estate loan portfolio and its residential real estate builder and developer loan portfolio experienced the majority of the credit problems related to the turmoil in the residential real estate marketplace. In response to the deteriorating quality of the Alt-A portfolio, the Company decided in 2007’s fourth quarter to accelerate the timing related to when residential real estate loans are charged off. The excess of such loan balances over the net realizable value of the property collateralizing the loan is now charged off when the loan becomes past due 150 days, whereas the Company’s past practice had been to provide an allowance for credit losses for such amounts and charge off those loans upon foreclosure of the underlying property. The change in accounting procedure resulted in $15 million of additional charge-offs in 2007. The declining real estate valuations also contributed to provisions for credit losses related to two residential builders and developers during the final quarter of 2007. A summary of the Company’s loan charge-offs, provision and allowance for credit losses is presented in table 10.</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10</w:t>
      </w:r>
    </w:p>
    <w:p>
      <w:pPr>
        <w:spacing w:after="0" w:line="244"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LOAN CHARGE-OFFS, PROVISION AND ALLOWANCE FOR CREDIT LOSSES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2004</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4"/>
              </w:rPr>
              <w:t>(Dollars in thousands)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 beginning balance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$ 649,948</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$ 637,663</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$ 626,864</w:t>
            </w: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$ 614,058</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$ 436,472</w:t>
            </w:r>
          </w:p>
        </w:tc>
        <w:tc>
          <w:tcPr>
            <w:tcW w:w="12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4"/>
                <w:szCs w:val="14"/>
                <w:color w:val="auto"/>
              </w:rPr>
              <w:t>Charge-offs during year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financial, agricultural, etc.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32,206</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23,949</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32,210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33,340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44,782</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Real estate — construction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3,830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 estate — mortgage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23,552</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6,406</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10,829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13,999</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86,710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65,251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70,699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74,856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68,737</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charge-offs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146,298</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95,606</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107,617</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119,025</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127,520</w:t>
            </w:r>
          </w:p>
        </w:tc>
        <w:tc>
          <w:tcPr>
            <w:tcW w:w="120" w:type="dxa"/>
            <w:vAlign w:val="bottom"/>
            <w:shd w:val="clear" w:color="auto" w:fill="CCEEFF"/>
          </w:tcPr>
          <w:p>
            <w:pPr>
              <w:spacing w:after="0"/>
              <w:rPr>
                <w:sz w:val="14"/>
                <w:szCs w:val="14"/>
                <w:color w:val="auto"/>
              </w:rPr>
            </w:pPr>
          </w:p>
        </w:tc>
      </w:tr>
      <w:tr>
        <w:trPr>
          <w:trHeight w:val="163"/>
        </w:trPr>
        <w:tc>
          <w:tcPr>
            <w:tcW w:w="5100" w:type="dxa"/>
            <w:vAlign w:val="bottom"/>
            <w:gridSpan w:val="2"/>
          </w:tcPr>
          <w:p>
            <w:pPr>
              <w:spacing w:after="0"/>
              <w:rPr>
                <w:sz w:val="20"/>
                <w:szCs w:val="20"/>
                <w:color w:val="auto"/>
              </w:rPr>
            </w:pPr>
            <w:r>
              <w:rPr>
                <w:rFonts w:ascii="Arial" w:cs="Arial" w:eastAsia="Arial" w:hAnsi="Arial"/>
                <w:sz w:val="14"/>
                <w:szCs w:val="14"/>
                <w:color w:val="auto"/>
              </w:rPr>
              <w:t>Recoveries during year</w:t>
            </w: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financial, agricultural, etc.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8,366</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4,119</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13,581</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12,517</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Real estate — construction</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 estate — mortgage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3,887</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3,436</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21,988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15,047</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recoveries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32,543</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27,891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30,730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37,332</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31,004</w:t>
            </w:r>
          </w:p>
        </w:tc>
        <w:tc>
          <w:tcPr>
            <w:tcW w:w="120" w:type="dxa"/>
            <w:vAlign w:val="bottom"/>
            <w:shd w:val="clear" w:color="auto" w:fill="CCEEFF"/>
          </w:tcPr>
          <w:p>
            <w:pPr>
              <w:spacing w:after="0"/>
              <w:rPr>
                <w:sz w:val="14"/>
                <w:szCs w:val="14"/>
                <w:color w:val="auto"/>
              </w:rPr>
            </w:pPr>
          </w:p>
        </w:tc>
      </w:tr>
      <w:tr>
        <w:trPr>
          <w:trHeight w:val="163"/>
        </w:trPr>
        <w:tc>
          <w:tcPr>
            <w:tcW w:w="5100" w:type="dxa"/>
            <w:vAlign w:val="bottom"/>
            <w:gridSpan w:val="2"/>
          </w:tcPr>
          <w:p>
            <w:pPr>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113,755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67,715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81,693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96,516</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credit losses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192,000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88,000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95,000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131,000</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4"/>
                <w:szCs w:val="14"/>
                <w:color w:val="auto"/>
              </w:rPr>
              <w:t>Allowance for credit losses acquired during the year</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32,668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146,300</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Allowance related to loans sold or securitized</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(1,422)</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(314)</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(501)</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(3,198)</w:t>
            </w:r>
          </w:p>
        </w:tc>
      </w:tr>
      <w:tr>
        <w:trPr>
          <w:trHeight w:val="172"/>
        </w:trPr>
        <w:tc>
          <w:tcPr>
            <w:tcW w:w="5100" w:type="dxa"/>
            <w:vAlign w:val="bottom"/>
            <w:gridSpan w:val="2"/>
          </w:tcPr>
          <w:p>
            <w:pPr>
              <w:spacing w:after="0"/>
              <w:rPr>
                <w:sz w:val="20"/>
                <w:szCs w:val="20"/>
                <w:color w:val="auto"/>
              </w:rPr>
            </w:pPr>
            <w:r>
              <w:rPr>
                <w:rFonts w:ascii="Arial" w:cs="Arial" w:eastAsia="Arial" w:hAnsi="Arial"/>
                <w:sz w:val="14"/>
                <w:szCs w:val="14"/>
                <w:color w:val="auto"/>
              </w:rPr>
              <w:t>Allowance for credit losses ending balance</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$ 759,439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$ 649,948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$ 637,663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$ 626,864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$ 614,058</w:t>
            </w:r>
          </w:p>
        </w:tc>
        <w:tc>
          <w:tcPr>
            <w:tcW w:w="1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Net charge-offs as a percent of: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Provision for credit losses</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59.25%</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84.64%</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87.37%</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85.99%</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73.68%</w:t>
            </w: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loans and leases, net of unearned discount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.19%</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51"/>
        </w:trPr>
        <w:tc>
          <w:tcPr>
            <w:tcW w:w="20" w:type="dxa"/>
            <w:vAlign w:val="bottom"/>
          </w:tcPr>
          <w:p>
            <w:pPr>
              <w:spacing w:after="0"/>
              <w:rPr>
                <w:sz w:val="13"/>
                <w:szCs w:val="13"/>
                <w:color w:val="auto"/>
              </w:rPr>
            </w:pPr>
          </w:p>
        </w:tc>
        <w:tc>
          <w:tcPr>
            <w:tcW w:w="5080" w:type="dxa"/>
            <w:vAlign w:val="bottom"/>
          </w:tcPr>
          <w:p>
            <w:pPr>
              <w:spacing w:after="0" w:line="151" w:lineRule="exact"/>
              <w:rPr>
                <w:sz w:val="20"/>
                <w:szCs w:val="20"/>
                <w:color w:val="auto"/>
              </w:rPr>
            </w:pPr>
            <w:r>
              <w:rPr>
                <w:rFonts w:ascii="Arial" w:cs="Arial" w:eastAsia="Arial" w:hAnsi="Arial"/>
                <w:sz w:val="14"/>
                <w:szCs w:val="14"/>
                <w:color w:val="auto"/>
                <w:w w:val="91"/>
              </w:rPr>
              <w:t>Allowance for credit losses as a percent of loans and leases, net of unearned discount, at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year-end</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1.58%</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1.51%</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1.58%</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1.63%</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1.72%</w:t>
            </w:r>
          </w:p>
        </w:tc>
      </w:tr>
    </w:tbl>
    <w:p>
      <w:pPr>
        <w:spacing w:after="0" w:line="7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Nonperforming loans, consisting of nonaccrual and restructured loans, aggregated $447 million or .93% of outstanding loans and leases at December 31, 2007, compared with $224 million or .52% at December 31, 2006 and $156 million or .39% at December 31, 2005. Major factors contributing to the rise in nonperforming loans from the 2006 year-end to December 31, 2007 were a $133 million increase in residential real estate loans and an $83 million increase in loans to residential builders and developers. The increase in nonperforming residential real estate loans was the result of the residential real estate market turmoil and its impact on the portfolio of Alt-A loans and reflected the change in accounting procedure in December 2007 whereby residential real estate loans previously classified as nonaccrual when payments were 180 days past due now stop accruing interest when principal or interest is delinquent 90 days. The impact of the acceleration of the classification of such loans as nonaccrual resulted in an increase in nonperforming loans of $84 million and a corresponding decrease in loans past due 90 days and accruing interest. The higher level of nonaccrual builder and developer loans was largely due to deteriorating residential real estate values. The increase in nonperforming loans at December 31, 2006 from a year earlier was largely due to the 2006 addition of four relationships with automobile dealers totaling approximately $41 million. During 2007, outstanding nonaccrual loan balances relating to those four relationships declined $36 million, largely the result of payments received.</w:t>
      </w:r>
    </w:p>
    <w:p>
      <w:pPr>
        <w:spacing w:after="0" w:line="13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Accruing loans past due 90 days or more were $77 million or .16% of total loans and leases at December 31, 2007, compared with $111 million or .26% at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2006 and $129 million or .32% at December 31, 2005. Those loans included loans guaranteed by government-related entities of $73 million, $77 million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$106 million at December 31, 2007, 2006 and 2005, respectively. Such guaranteed loans included one-to-four family residential mortgage loans serviced by the Company that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repurchased to reduce associated servicing costs, including a requirement to advance principal and interest payments that had not been received from individual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mortgagors. Despite the loans being purchased by the Company, the insurance or guarantee by the applicable government-related entity remains in force. The outstanding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principal balances of the repurchased loans are fully guaranteed by government-related entities and totaled $67 million at December 31, 2007, $65 million at December 31,</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 and $79 million at December 31, 2005. Loans past due 90 days or more and accruing interest that were guaranteed by government-related entities also included foreign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commercial and industrial loans supported by the Export-Import Bank of the United States that totaled $5 million at December 31, 2007, compared with $11 million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 million at December 31, 2006 and 2005, respectively. A summary of nonperforming assets and certain past due loan data and credit quality ratios is presented in table 11.</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11</w:t>
      </w:r>
    </w:p>
    <w:p>
      <w:pPr>
        <w:spacing w:after="0" w:line="128"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NONPERFORMING ASSETS AND PAST DUE LOAN DATA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418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2004</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gridSpan w:val="4"/>
          </w:tcPr>
          <w:p>
            <w:pPr>
              <w:ind w:left="240"/>
              <w:spacing w:after="0"/>
              <w:rPr>
                <w:sz w:val="20"/>
                <w:szCs w:val="20"/>
                <w:color w:val="auto"/>
              </w:rPr>
            </w:pPr>
            <w:r>
              <w:rPr>
                <w:rFonts w:ascii="Arial" w:cs="Arial" w:eastAsia="Arial" w:hAnsi="Arial"/>
                <w:sz w:val="10"/>
                <w:szCs w:val="10"/>
                <w:b w:val="1"/>
                <w:bCs w:val="1"/>
                <w:color w:val="auto"/>
              </w:rPr>
              <w:t>(Dollars in thousands)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431,282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209,272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141,067</w:t>
            </w:r>
          </w:p>
        </w:tc>
        <w:tc>
          <w:tcPr>
            <w:tcW w:w="3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162,013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232,983</w:t>
            </w:r>
          </w:p>
        </w:tc>
        <w:tc>
          <w:tcPr>
            <w:tcW w:w="12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Renegotiated loans</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15,884</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7,309</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Total nonperforming loans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447,166</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224,228</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156,451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172,450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240,292</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Real estate and other assets owned</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40,175</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12,504</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19,629</w:t>
            </w:r>
          </w:p>
        </w:tc>
        <w:tc>
          <w:tcPr>
            <w:tcW w:w="1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Total nonperforming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487,341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236,369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165,937</w:t>
            </w:r>
          </w:p>
        </w:tc>
        <w:tc>
          <w:tcPr>
            <w:tcW w:w="3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184,954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259,921</w:t>
            </w:r>
          </w:p>
        </w:tc>
        <w:tc>
          <w:tcPr>
            <w:tcW w:w="120" w:type="dxa"/>
            <w:vAlign w:val="bottom"/>
            <w:shd w:val="clear" w:color="auto" w:fill="CCEEFF"/>
          </w:tcPr>
          <w:p>
            <w:pPr>
              <w:spacing w:after="0"/>
              <w:rPr>
                <w:sz w:val="14"/>
                <w:szCs w:val="14"/>
                <w:color w:val="auto"/>
              </w:rPr>
            </w:pPr>
          </w:p>
        </w:tc>
      </w:tr>
      <w:tr>
        <w:trPr>
          <w:trHeight w:val="174"/>
        </w:trPr>
        <w:tc>
          <w:tcPr>
            <w:tcW w:w="4180" w:type="dxa"/>
            <w:vAlign w:val="bottom"/>
            <w:gridSpan w:val="2"/>
          </w:tcPr>
          <w:p>
            <w:pPr>
              <w:spacing w:after="0"/>
              <w:rPr>
                <w:sz w:val="20"/>
                <w:szCs w:val="20"/>
                <w:color w:val="auto"/>
              </w:rPr>
            </w:pPr>
            <w:r>
              <w:rPr>
                <w:rFonts w:ascii="Arial" w:cs="Arial" w:eastAsia="Arial" w:hAnsi="Arial"/>
                <w:sz w:val="14"/>
                <w:szCs w:val="14"/>
                <w:color w:val="auto"/>
              </w:rPr>
              <w:t>Accruing loans past due 90 days or more(a)</w:t>
            </w:r>
          </w:p>
        </w:tc>
        <w:tc>
          <w:tcPr>
            <w:tcW w:w="10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77,319</w:t>
            </w:r>
          </w:p>
        </w:tc>
        <w:tc>
          <w:tcPr>
            <w:tcW w:w="4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111,307</w:t>
            </w:r>
          </w:p>
        </w:tc>
        <w:tc>
          <w:tcPr>
            <w:tcW w:w="4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129,403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154,590</w:t>
            </w:r>
          </w:p>
        </w:tc>
        <w:tc>
          <w:tcPr>
            <w:tcW w:w="4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154,759</w:t>
            </w:r>
          </w:p>
        </w:tc>
        <w:tc>
          <w:tcPr>
            <w:tcW w:w="1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Government guaranteed loans included in totals above:</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4160" w:type="dxa"/>
            <w:vAlign w:val="bottom"/>
          </w:tcPr>
          <w:p>
            <w:pPr>
              <w:ind w:left="120"/>
              <w:spacing w:after="0" w:line="151" w:lineRule="exact"/>
              <w:rPr>
                <w:sz w:val="20"/>
                <w:szCs w:val="20"/>
                <w:color w:val="auto"/>
              </w:rPr>
            </w:pPr>
            <w:r>
              <w:rPr>
                <w:rFonts w:ascii="Arial" w:cs="Arial" w:eastAsia="Arial" w:hAnsi="Arial"/>
                <w:sz w:val="14"/>
                <w:szCs w:val="14"/>
                <w:color w:val="auto"/>
              </w:rPr>
              <w:t>Nonperforming loans</w:t>
            </w:r>
          </w:p>
        </w:tc>
        <w:tc>
          <w:tcPr>
            <w:tcW w:w="114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19,125</w:t>
            </w:r>
          </w:p>
        </w:tc>
        <w:tc>
          <w:tcPr>
            <w:tcW w:w="5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17,586</w:t>
            </w:r>
          </w:p>
        </w:tc>
        <w:tc>
          <w:tcPr>
            <w:tcW w:w="5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13,845</w:t>
            </w:r>
          </w:p>
        </w:tc>
        <w:tc>
          <w:tcPr>
            <w:tcW w:w="300" w:type="dxa"/>
            <w:vAlign w:val="bottom"/>
          </w:tcPr>
          <w:p>
            <w:pPr>
              <w:spacing w:after="0"/>
              <w:rPr>
                <w:sz w:val="13"/>
                <w:szCs w:val="13"/>
                <w:color w:val="auto"/>
              </w:rPr>
            </w:pPr>
          </w:p>
        </w:tc>
        <w:tc>
          <w:tcPr>
            <w:tcW w:w="2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15,273</w:t>
            </w:r>
          </w:p>
        </w:tc>
        <w:tc>
          <w:tcPr>
            <w:tcW w:w="5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19,355</w:t>
            </w:r>
          </w:p>
        </w:tc>
        <w:tc>
          <w:tcPr>
            <w:tcW w:w="12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160" w:type="dxa"/>
            <w:vAlign w:val="bottom"/>
          </w:tcPr>
          <w:p>
            <w:pPr>
              <w:ind w:left="120"/>
              <w:spacing w:after="0"/>
              <w:rPr>
                <w:sz w:val="20"/>
                <w:szCs w:val="20"/>
                <w:color w:val="auto"/>
              </w:rPr>
            </w:pPr>
            <w:r>
              <w:rPr>
                <w:rFonts w:ascii="Arial" w:cs="Arial" w:eastAsia="Arial" w:hAnsi="Arial"/>
                <w:sz w:val="14"/>
                <w:szCs w:val="14"/>
                <w:color w:val="auto"/>
              </w:rPr>
              <w:t>Accruing loans past due 90 days or more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72,705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76,622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105,508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120,700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124,585</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-102870</wp:posOffset>
            </wp:positionV>
            <wp:extent cx="6336030" cy="104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36030" cy="1041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65"/>
        </w:trPr>
        <w:tc>
          <w:tcPr>
            <w:tcW w:w="5100" w:type="dxa"/>
            <w:vAlign w:val="bottom"/>
            <w:gridSpan w:val="2"/>
          </w:tcPr>
          <w:p>
            <w:pPr>
              <w:spacing w:after="0"/>
              <w:rPr>
                <w:sz w:val="20"/>
                <w:szCs w:val="20"/>
                <w:color w:val="auto"/>
              </w:rPr>
            </w:pPr>
            <w:r>
              <w:rPr>
                <w:rFonts w:ascii="Arial" w:cs="Arial" w:eastAsia="Arial" w:hAnsi="Arial"/>
                <w:sz w:val="14"/>
                <w:szCs w:val="14"/>
                <w:color w:val="auto"/>
              </w:rPr>
              <w:t>Nonperforming loans to total loans and leases, net of unearned discount</w:t>
            </w:r>
          </w:p>
        </w:tc>
        <w:tc>
          <w:tcPr>
            <w:tcW w:w="1180" w:type="dxa"/>
            <w:vAlign w:val="bottom"/>
          </w:tcPr>
          <w:p>
            <w:pPr>
              <w:jc w:val="right"/>
              <w:ind w:right="289"/>
              <w:spacing w:after="0"/>
              <w:rPr>
                <w:sz w:val="20"/>
                <w:szCs w:val="20"/>
                <w:color w:val="auto"/>
              </w:rPr>
            </w:pPr>
            <w:r>
              <w:rPr>
                <w:rFonts w:ascii="Arial" w:cs="Arial" w:eastAsia="Arial" w:hAnsi="Arial"/>
                <w:sz w:val="14"/>
                <w:szCs w:val="14"/>
                <w:color w:val="auto"/>
              </w:rPr>
              <w:t>.93%</w:t>
            </w:r>
          </w:p>
        </w:tc>
        <w:tc>
          <w:tcPr>
            <w:tcW w:w="1020" w:type="dxa"/>
            <w:vAlign w:val="bottom"/>
          </w:tcPr>
          <w:p>
            <w:pPr>
              <w:jc w:val="right"/>
              <w:ind w:right="289"/>
              <w:spacing w:after="0"/>
              <w:rPr>
                <w:sz w:val="20"/>
                <w:szCs w:val="20"/>
                <w:color w:val="auto"/>
              </w:rPr>
            </w:pPr>
            <w:r>
              <w:rPr>
                <w:rFonts w:ascii="Arial" w:cs="Arial" w:eastAsia="Arial" w:hAnsi="Arial"/>
                <w:sz w:val="14"/>
                <w:szCs w:val="14"/>
                <w:color w:val="auto"/>
              </w:rPr>
              <w:t>.52%</w:t>
            </w:r>
          </w:p>
        </w:tc>
        <w:tc>
          <w:tcPr>
            <w:tcW w:w="1020" w:type="dxa"/>
            <w:vAlign w:val="bottom"/>
          </w:tcPr>
          <w:p>
            <w:pPr>
              <w:jc w:val="right"/>
              <w:ind w:right="289"/>
              <w:spacing w:after="0"/>
              <w:rPr>
                <w:sz w:val="20"/>
                <w:szCs w:val="20"/>
                <w:color w:val="auto"/>
              </w:rPr>
            </w:pPr>
            <w:r>
              <w:rPr>
                <w:rFonts w:ascii="Arial" w:cs="Arial" w:eastAsia="Arial" w:hAnsi="Arial"/>
                <w:sz w:val="14"/>
                <w:szCs w:val="14"/>
                <w:color w:val="auto"/>
              </w:rPr>
              <w:t>.39%</w:t>
            </w:r>
          </w:p>
        </w:tc>
        <w:tc>
          <w:tcPr>
            <w:tcW w:w="1000" w:type="dxa"/>
            <w:vAlign w:val="bottom"/>
          </w:tcPr>
          <w:p>
            <w:pPr>
              <w:jc w:val="right"/>
              <w:ind w:right="289"/>
              <w:spacing w:after="0"/>
              <w:rPr>
                <w:sz w:val="20"/>
                <w:szCs w:val="20"/>
                <w:color w:val="auto"/>
              </w:rPr>
            </w:pPr>
            <w:r>
              <w:rPr>
                <w:rFonts w:ascii="Arial" w:cs="Arial" w:eastAsia="Arial" w:hAnsi="Arial"/>
                <w:sz w:val="14"/>
                <w:szCs w:val="14"/>
                <w:color w:val="auto"/>
              </w:rPr>
              <w:t>.45%</w:t>
            </w:r>
          </w:p>
        </w:tc>
        <w:tc>
          <w:tcPr>
            <w:tcW w:w="6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51"/>
        </w:trPr>
        <w:tc>
          <w:tcPr>
            <w:tcW w:w="20" w:type="dxa"/>
            <w:vAlign w:val="bottom"/>
          </w:tcPr>
          <w:p>
            <w:pPr>
              <w:spacing w:after="0"/>
              <w:rPr>
                <w:sz w:val="13"/>
                <w:szCs w:val="13"/>
                <w:color w:val="auto"/>
              </w:rPr>
            </w:pPr>
          </w:p>
        </w:tc>
        <w:tc>
          <w:tcPr>
            <w:tcW w:w="50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97"/>
              </w:rPr>
              <w:t>Nonperforming assets to total net loans and leases and real estate and other assets</w:t>
            </w: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owned</w:t>
            </w:r>
          </w:p>
        </w:tc>
        <w:tc>
          <w:tcPr>
            <w:tcW w:w="11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1.01%</w:t>
            </w:r>
          </w:p>
        </w:tc>
        <w:tc>
          <w:tcPr>
            <w:tcW w:w="10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.55%</w:t>
            </w:r>
          </w:p>
        </w:tc>
        <w:tc>
          <w:tcPr>
            <w:tcW w:w="10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.41%</w:t>
            </w:r>
          </w:p>
        </w:tc>
        <w:tc>
          <w:tcPr>
            <w:tcW w:w="10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.48%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51"/>
        </w:trPr>
        <w:tc>
          <w:tcPr>
            <w:tcW w:w="20" w:type="dxa"/>
            <w:vAlign w:val="bottom"/>
          </w:tcPr>
          <w:p>
            <w:pPr>
              <w:spacing w:after="0"/>
              <w:rPr>
                <w:sz w:val="13"/>
                <w:szCs w:val="13"/>
                <w:color w:val="auto"/>
              </w:rPr>
            </w:pPr>
          </w:p>
        </w:tc>
        <w:tc>
          <w:tcPr>
            <w:tcW w:w="5080" w:type="dxa"/>
            <w:vAlign w:val="bottom"/>
          </w:tcPr>
          <w:p>
            <w:pPr>
              <w:spacing w:after="0" w:line="151" w:lineRule="exact"/>
              <w:rPr>
                <w:sz w:val="20"/>
                <w:szCs w:val="20"/>
                <w:color w:val="auto"/>
              </w:rPr>
            </w:pPr>
            <w:r>
              <w:rPr>
                <w:rFonts w:ascii="Arial" w:cs="Arial" w:eastAsia="Arial" w:hAnsi="Arial"/>
                <w:sz w:val="14"/>
                <w:szCs w:val="14"/>
                <w:color w:val="auto"/>
                <w:w w:val="98"/>
              </w:rPr>
              <w:t>Accruing loans past due 90 days or more to total loans and leases, net of unearned</w:t>
            </w: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discount</w:t>
            </w:r>
          </w:p>
        </w:tc>
        <w:tc>
          <w:tcPr>
            <w:tcW w:w="1180" w:type="dxa"/>
            <w:vAlign w:val="bottom"/>
          </w:tcPr>
          <w:p>
            <w:pPr>
              <w:jc w:val="right"/>
              <w:ind w:right="289"/>
              <w:spacing w:after="0"/>
              <w:rPr>
                <w:sz w:val="20"/>
                <w:szCs w:val="20"/>
                <w:color w:val="auto"/>
              </w:rPr>
            </w:pPr>
            <w:r>
              <w:rPr>
                <w:rFonts w:ascii="Arial" w:cs="Arial" w:eastAsia="Arial" w:hAnsi="Arial"/>
                <w:sz w:val="14"/>
                <w:szCs w:val="14"/>
                <w:color w:val="auto"/>
              </w:rPr>
              <w:t>.16%</w:t>
            </w:r>
          </w:p>
        </w:tc>
        <w:tc>
          <w:tcPr>
            <w:tcW w:w="1020" w:type="dxa"/>
            <w:vAlign w:val="bottom"/>
          </w:tcPr>
          <w:p>
            <w:pPr>
              <w:jc w:val="right"/>
              <w:ind w:right="289"/>
              <w:spacing w:after="0"/>
              <w:rPr>
                <w:sz w:val="20"/>
                <w:szCs w:val="20"/>
                <w:color w:val="auto"/>
              </w:rPr>
            </w:pPr>
            <w:r>
              <w:rPr>
                <w:rFonts w:ascii="Arial" w:cs="Arial" w:eastAsia="Arial" w:hAnsi="Arial"/>
                <w:sz w:val="14"/>
                <w:szCs w:val="14"/>
                <w:color w:val="auto"/>
              </w:rPr>
              <w:t>.26%</w:t>
            </w:r>
          </w:p>
        </w:tc>
        <w:tc>
          <w:tcPr>
            <w:tcW w:w="1020" w:type="dxa"/>
            <w:vAlign w:val="bottom"/>
          </w:tcPr>
          <w:p>
            <w:pPr>
              <w:jc w:val="right"/>
              <w:ind w:right="289"/>
              <w:spacing w:after="0"/>
              <w:rPr>
                <w:sz w:val="20"/>
                <w:szCs w:val="20"/>
                <w:color w:val="auto"/>
              </w:rPr>
            </w:pPr>
            <w:r>
              <w:rPr>
                <w:rFonts w:ascii="Arial" w:cs="Arial" w:eastAsia="Arial" w:hAnsi="Arial"/>
                <w:sz w:val="14"/>
                <w:szCs w:val="14"/>
                <w:color w:val="auto"/>
              </w:rPr>
              <w:t>.32%</w:t>
            </w:r>
          </w:p>
        </w:tc>
        <w:tc>
          <w:tcPr>
            <w:tcW w:w="1000" w:type="dxa"/>
            <w:vAlign w:val="bottom"/>
          </w:tcPr>
          <w:p>
            <w:pPr>
              <w:jc w:val="right"/>
              <w:ind w:right="289"/>
              <w:spacing w:after="0"/>
              <w:rPr>
                <w:sz w:val="20"/>
                <w:szCs w:val="20"/>
                <w:color w:val="auto"/>
              </w:rPr>
            </w:pPr>
            <w:r>
              <w:rPr>
                <w:rFonts w:ascii="Arial" w:cs="Arial" w:eastAsia="Arial" w:hAnsi="Arial"/>
                <w:sz w:val="14"/>
                <w:szCs w:val="14"/>
                <w:color w:val="auto"/>
              </w:rPr>
              <w:t>.40%</w:t>
            </w: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59055</wp:posOffset>
            </wp:positionV>
            <wp:extent cx="82740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2"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Predominately residential mortgage loans.</w:t>
      </w:r>
    </w:p>
    <w:p>
      <w:pPr>
        <w:spacing w:after="0" w:line="88" w:lineRule="exact"/>
        <w:rPr>
          <w:sz w:val="20"/>
          <w:szCs w:val="20"/>
          <w:color w:val="auto"/>
        </w:rPr>
      </w:pPr>
    </w:p>
    <w:p>
      <w:pPr>
        <w:ind w:left="680" w:right="100" w:firstLine="599"/>
        <w:spacing w:after="0" w:line="289" w:lineRule="auto"/>
        <w:rPr>
          <w:sz w:val="20"/>
          <w:szCs w:val="20"/>
          <w:color w:val="auto"/>
        </w:rPr>
      </w:pPr>
      <w:r>
        <w:rPr>
          <w:rFonts w:ascii="Arial" w:cs="Arial" w:eastAsia="Arial" w:hAnsi="Arial"/>
          <w:sz w:val="12"/>
          <w:szCs w:val="12"/>
          <w:color w:val="auto"/>
        </w:rPr>
        <w:t>Factors that influence the Company’s credit loss experience include overall economic conditions affecting businesses and consumers, in general, and due to the size of the Company’s real estate loan portfolios, real estate valuations, in particular.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Likewise, residential real estate values in certain areas in the United States can be subject to rapid movements due to changes in economic conditions, interest rates and liquidity in the secondary markets for loans secured by residential real estate.</w:t>
      </w:r>
    </w:p>
    <w:p>
      <w:pPr>
        <w:spacing w:after="0" w:line="1" w:lineRule="exact"/>
        <w:rPr>
          <w:sz w:val="20"/>
          <w:szCs w:val="20"/>
          <w:color w:val="auto"/>
        </w:rPr>
      </w:pPr>
    </w:p>
    <w:p>
      <w:pPr>
        <w:ind w:left="680" w:right="300" w:firstLine="599"/>
        <w:spacing w:after="0" w:line="255" w:lineRule="auto"/>
        <w:rPr>
          <w:sz w:val="20"/>
          <w:szCs w:val="20"/>
          <w:color w:val="auto"/>
        </w:rPr>
      </w:pPr>
      <w:r>
        <w:rPr>
          <w:rFonts w:ascii="Arial" w:cs="Arial" w:eastAsia="Arial" w:hAnsi="Arial"/>
          <w:sz w:val="14"/>
          <w:szCs w:val="14"/>
          <w:color w:val="auto"/>
        </w:rPr>
        <w:t>Net charge-offs of commercial loans and leases totaled $24 million in 2007, $20 million in 2006 and $26 million in 2005. Nonperforming commercial loans and leases were $79 million at each of</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680" w:right="100"/>
        <w:spacing w:after="0" w:line="296" w:lineRule="auto"/>
        <w:rPr>
          <w:sz w:val="20"/>
          <w:szCs w:val="20"/>
          <w:color w:val="auto"/>
        </w:rPr>
      </w:pPr>
      <w:r>
        <w:rPr>
          <w:rFonts w:ascii="Arial" w:cs="Arial" w:eastAsia="Arial" w:hAnsi="Arial"/>
          <w:sz w:val="11"/>
          <w:szCs w:val="11"/>
          <w:color w:val="auto"/>
        </w:rPr>
        <w:t>December 31, 2007 and 2006, and $39 million at December 31, 2005. The addition of a number of smaller credits (less than $5 million) to the nonperforming loan category during 2007 was largely offset by a $27 million net decline in nonperforming loans to automobile dealers predominantly due to payments received. Reflecting the granularity of the Company’s commercial loan and lease portfolio, there were only two loans classified as nonperforming in the portfolio that exceeded $5 million. The increase from the 2005 year-end to December 31, 2006 largely reflects the addition of four relationships with automobile dealers aggregating $41 million. Continued slowing of domestic automobile sales in 2006 resulted in a difficult operating environment for certain automobile dealers, leading to deteriorating financial results. As noted above, during 2007 the Company’s nonperforming automobile dealer loans declined significantly.</w:t>
      </w:r>
    </w:p>
    <w:p>
      <w:pPr>
        <w:ind w:left="680" w:right="40" w:firstLine="599"/>
        <w:spacing w:after="0" w:line="244" w:lineRule="auto"/>
        <w:rPr>
          <w:sz w:val="20"/>
          <w:szCs w:val="20"/>
          <w:color w:val="auto"/>
        </w:rPr>
      </w:pPr>
      <w:r>
        <w:rPr>
          <w:rFonts w:ascii="Arial" w:cs="Arial" w:eastAsia="Arial" w:hAnsi="Arial"/>
          <w:sz w:val="14"/>
          <w:szCs w:val="14"/>
          <w:color w:val="auto"/>
        </w:rPr>
        <w:t>Net charge-offs of commercial real estate loans during 2007 and 2006 were $6 million and $1 million, respectively, compared with net recoveries of $1 million in 2005. Reflected in 2007’s charge-offs were $4 million related to loans to residential real estate builders and developers. Commercial real estate loans classified as nonperforming totaled $118 million at December 31, 2007, compared with $57 million at December 31, 2006 and $44 million at December 31, 2005. The rise in such loans during 2007 was the result of the addition of $83 million of loans to residential homebuilders and developers, reflecting the impact of the downturn in the residential real estate market, including declining real estate values. The increase from the end of 2005 to the 2006 year-end was largely due to the addition of a $10 million loan to an assisted living facility (which was subsequently paid off in 2007).</w:t>
      </w:r>
    </w:p>
    <w:p>
      <w:pPr>
        <w:spacing w:after="0" w:line="2"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Residential real estate loans charged off, net of recoveries, were $19 million in 2007, $4 million in 2006 and $2 million in 2005. Nonperforming residential real estate loans at the end of 2007 totaled $181 million, compared with $42 million and $29 million at December 31, 2006 and 2005, respectively. As already noted, the significant increase in such loans from December 31, 2006 includes the effect of the change in accounting procedure for nonaccrual residential real estate loans. Declining real estate values and higher levels of delinquencies have also contributed to the rise in residential real estate loans classified as nonaccrual, largely in the Company’s Alt-A portfolio, and to the level of charge-offs. Included in residential real estate loan net charge-offs and nonperforming loans were net charge-offs of Alt-A loans in 2007 of $12 million, while nonperforming Alt-A loans aggregated $90 million at the 2007 year-end. Net charge-offs of Alt-A loans in 2006 were insignificant and nonperforming Alt-A loans at December 31, 2006 totaled $19 million. The Company did not have any Alt-A charge-offs in 2005, nor any nonperforming Alt-A loans at the 2005 year-end. Residential real estate loans past due 90 days or more and accruing interest totaled $66 million, $92 million and $96 million at December 31, 2007, 2006 and 2005, respectively. A substantial portion of such amounts related to guaranteed loans repurchased from government-related entities.</w:t>
      </w:r>
    </w:p>
    <w:p>
      <w:pPr>
        <w:spacing w:after="0" w:line="2" w:lineRule="exact"/>
        <w:rPr>
          <w:sz w:val="20"/>
          <w:szCs w:val="20"/>
          <w:color w:val="auto"/>
        </w:rPr>
      </w:pPr>
    </w:p>
    <w:p>
      <w:pPr>
        <w:ind w:left="680" w:right="200" w:firstLine="599"/>
        <w:spacing w:after="0" w:line="285" w:lineRule="auto"/>
        <w:rPr>
          <w:sz w:val="20"/>
          <w:szCs w:val="20"/>
          <w:color w:val="auto"/>
        </w:rPr>
      </w:pPr>
      <w:r>
        <w:rPr>
          <w:rFonts w:ascii="Arial" w:cs="Arial" w:eastAsia="Arial" w:hAnsi="Arial"/>
          <w:sz w:val="12"/>
          <w:szCs w:val="12"/>
          <w:color w:val="auto"/>
        </w:rPr>
        <w:t>Net charge-offs of consumer loans and leases during 2007 were $65 million, representing .63% of average consumer loans and leases outstanding, compared with $43 million or .43% in 2006 and $50 million or .47% in 2005. Indirect automobile loans and leases represented the most significant category of consumer loan charge-offs during the past three years. Net charge-offs of indirect automobile loans and leases were $28 million during 2007, $24 million during 2006 and $37 million during 2005. Consumer loan charge-offs also include recreational vehicle loans and leases of $11 million, $9 million and $8 million during 2007, 2006 and 2005, respectively, and home equity loans and lines of credit secured by one-to-four family residential properties of $16 million during 2007 and $2 million during each of 2006 and 2005. The increase in charge-offs of home equity loans and lines of credit from 2006 to 2007 was largely due to a rise in Alt-A charge-offs. Nonperforming consumer loans and leases were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$69 million at December 31, 2007, representing .61% of outstanding consumer loans and leases, compared with $46 million or .46% at December 31, 2006 and $44 million or</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.42% at December 31, 2005. The Company experienced a rise in delinquencies in the consumer loan portfolio during 2007, as compared with the preceding two years. At the</w:t>
      </w:r>
    </w:p>
    <w:p>
      <w:pPr>
        <w:spacing w:after="0" w:line="15" w:lineRule="exact"/>
        <w:rPr>
          <w:sz w:val="20"/>
          <w:szCs w:val="20"/>
          <w:color w:val="auto"/>
        </w:rPr>
      </w:pPr>
    </w:p>
    <w:p>
      <w:pPr>
        <w:ind w:left="680" w:right="220"/>
        <w:spacing w:after="0" w:line="249" w:lineRule="auto"/>
        <w:rPr>
          <w:sz w:val="20"/>
          <w:szCs w:val="20"/>
          <w:color w:val="auto"/>
        </w:rPr>
      </w:pPr>
      <w:r>
        <w:rPr>
          <w:rFonts w:ascii="Arial" w:cs="Arial" w:eastAsia="Arial" w:hAnsi="Arial"/>
          <w:sz w:val="14"/>
          <w:szCs w:val="14"/>
          <w:color w:val="auto"/>
        </w:rPr>
        <w:t>2007, 2006 and 2005 year-ends, consumer loans and leases delinquent 30-90 days totaled $155 million, $122 million and $115 million, respectively, or 1.38%, 1.23% and 1.10% of outstanding consumer loans. Consumer loans and leases past due 90 days or more and accruing interest totaled $1 million at each of December 31, 2007 and 2005, and $3 million at December 31, 2006.</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40" w:firstLine="599"/>
        <w:spacing w:after="0" w:line="287" w:lineRule="auto"/>
        <w:rPr>
          <w:sz w:val="20"/>
          <w:szCs w:val="20"/>
          <w:color w:val="auto"/>
        </w:rPr>
      </w:pPr>
      <w:r>
        <w:rPr>
          <w:rFonts w:ascii="Arial" w:cs="Arial" w:eastAsia="Arial" w:hAnsi="Arial"/>
          <w:sz w:val="12"/>
          <w:szCs w:val="12"/>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on the Company’s portfolio of loans to residential real estate builders and developers; (ii) the repayment performance associated with the Company’s portfolio of Alt-A residential mortgage loans;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ind w:left="680" w:firstLine="599"/>
        <w:spacing w:after="0" w:line="263" w:lineRule="auto"/>
        <w:rPr>
          <w:sz w:val="20"/>
          <w:szCs w:val="20"/>
          <w:color w:val="auto"/>
        </w:rPr>
      </w:pPr>
      <w:r>
        <w:rPr>
          <w:rFonts w:ascii="Arial" w:cs="Arial" w:eastAsia="Arial" w:hAnsi="Arial"/>
          <w:sz w:val="13"/>
          <w:szCs w:val="13"/>
          <w:color w:val="auto"/>
        </w:rPr>
        <w:t>Management cautiously and conservatively evaluated the allowance for credit losses as of December 31, 2007 in light of (i) the declining residential real estate values and emergence of higher levels of delinquencies of residential real estate loans; (ii) the sluggish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in late 2007. Although the national economy experienced moderate growth in 2006 and 2007 with inflation being reasonably well contained, concerns exist about the level and volatility of energy prices; a weakening housing market; the troubled state of financial and credit markets; Federal Reserve positioning of monetary policy; sluggish job creation and rising unemployment, which could cause consumer spending to slow; the underlying impact on businesses’ operations and abilities to repay loans should consumer spending slow; continued stagnant population growth in the upstate New York and central Pennsylvania regions; and continued slowing of domestic automobile sales.</w:t>
      </w:r>
    </w:p>
    <w:p>
      <w:pPr>
        <w:spacing w:after="0" w:line="2"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In ascertaining the adequacy of the allowance for credit losses, the Company estimates losses attributable to specific troubled credits and also estimates losses inherent in other loans and leases. For purposes of determining the level of the allowance for credit losses, the Company segments its loan and lease portfolio by loan type. The amount of specific loss components in the Company’s loan and lease portfolios is determined through a loan by loan analysis of commercial and commercial real estate loans greater than $350,000 which are in nonaccrual status. Measurement of the specific loss components is typically based on expected future cash flows, collateral values and other factors that may impact the borrower’s ability to pay. Impaired loans, as defined in Statement of Financial Accounting Standards (“SFAS”) No. 114, “Accounting by Creditors for Impairment of a Loan,” as amended, are evaluated for specific loss components. Except for consumer loans and leases and residential real estate loans that are considered smaller balance homogeneous loans and are evaluated collectively, the Company considers a loan to be impaired for purposes of applying SFAS No. 114 when, based on current information and events, it is probable that the Company will be unable to collect all amounts according to the contractual terms of the loan agreement or the loan is delinquent 90 days or more. Loans less than 90 days delinquent are deemed to have a minimal delay in payment and are generally not considered to be impaired for purposes of applying SFAS No. 114.</w:t>
      </w:r>
    </w:p>
    <w:p>
      <w:pPr>
        <w:spacing w:after="0" w:line="2" w:lineRule="exact"/>
        <w:rPr>
          <w:sz w:val="20"/>
          <w:szCs w:val="20"/>
          <w:color w:val="auto"/>
        </w:rPr>
      </w:pPr>
    </w:p>
    <w:p>
      <w:pPr>
        <w:ind w:left="680" w:right="560" w:firstLine="599"/>
        <w:spacing w:after="0" w:line="249" w:lineRule="auto"/>
        <w:rPr>
          <w:sz w:val="20"/>
          <w:szCs w:val="20"/>
          <w:color w:val="auto"/>
        </w:rPr>
      </w:pPr>
      <w:r>
        <w:rPr>
          <w:rFonts w:ascii="Arial" w:cs="Arial" w:eastAsia="Arial" w:hAnsi="Arial"/>
          <w:sz w:val="14"/>
          <w:szCs w:val="14"/>
          <w:color w:val="auto"/>
        </w:rPr>
        <w:t>The inherent base level loss components are generally determined by applying loss factors to specific loan balances based on loan type and management’s classification of such loans under the Company’s loan grading system. The Company utilizes an extensive loan grading system which is applied to all commercial and commercial real estate credits. Loan officers are responsible for continually</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100"/>
        <w:spacing w:after="0" w:line="253" w:lineRule="auto"/>
        <w:rPr>
          <w:sz w:val="20"/>
          <w:szCs w:val="20"/>
          <w:color w:val="auto"/>
        </w:rPr>
      </w:pPr>
      <w:r>
        <w:rPr>
          <w:rFonts w:ascii="Arial" w:cs="Arial" w:eastAsia="Arial" w:hAnsi="Arial"/>
          <w:sz w:val="14"/>
          <w:szCs w:val="14"/>
          <w:color w:val="auto"/>
        </w:rPr>
        <w:t>assigning grades to these loans based on standards outlined in the Company’s Credit Policy. Internal loan grades are also extensively monitored by the Company’s loan review department to ensure consistency and strict adherence to the prescribed standards.</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To better classify inherent losses by specific loan categories, beginning in 2006 amounts previously included in the inherent unallocated portion of the allowance for such things as customer, industry and geographic concentrations as well as for certain national and local economic conditions have been included in the inherent base level loss component. As a result, probable losses resulting from (i) comparatively poorer economic conditions and an unfavorable business climate in many market regions served by the Company, specifically upstate New York and central Pennsylvania, that resulted in such regions experiencing significantly poorer economic growth and vitality as compared with much of the rest of the country; (ii) portfolio concentrations regarding loan type, collateral type and geographic location, in particular the large concentration of commercial real estate loans secured by properties in the New York City metropolitan area and other areas of New York State; and (iii) additional risk associated with the Company’s portfolio of consumer loans, in particular automobile loans and leases, which generally have higher rates of loss than other types of collateralized loans, have been included in the inherent base level loss components at December 31, 2007 and 2006.</w:t>
      </w:r>
    </w:p>
    <w:p>
      <w:pPr>
        <w:spacing w:after="0" w:line="2"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In evaluating collateral, the Company relies extensively on internally and externally prepared valuations. In 2007, valuations of residential real estate, which are usually based on sales of comparable properties, declined significantly in many regions across the United States. Commercial real estate valuations also refer to sales of comparable properties but oftentimes are based on calculations that utilize many assumptions and, as a result, can be highly subjective. Specifically, commercial real estate values in the New York City metropolitan area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in assigned loan grades due to the elapse of time between the manifestation and reporting of underlying events that impact credit quality and, accordingly, loss estimates derived from the inherent base level loss component computation are adjusted for current national and local economic conditions and trends. Economic indicators in the most significant market regions served by the Company were mixed during 2007. Private sector job growth in the upstate New York market was 0.5%, or well below the 1.3% national average. The manufacturing-oriented metropolitan areas of Buffalo, Rochester and Binghamton continued to experience weakness, including continued industrial downsizing. Job growth in areas of Pennsylvania served by the Company and in Maryland matched the national average. The results for the Pennsylvania markets are particularly noteworthy since job growth in that region had significantly lagged national averages for several years prior to 2007. Job growth in New York City (1.8%) and the Greater Washington D.C. region (1.8%) was higher than the national average in 2007. These mixed signals on private sector job growth, combined with concerns about a possible economic recession, real estate valuations, high levels of consumer indebtedness, high and volatile energy prices, weak population growth in the upstate New York and central Pennsylvania regions that lagged national population growth trends and other factors, continue to indicate to management an environment of economic uncertainty, particularly in the markets served by the Company in New York and Pennsylvania where two-thirds of its lending business is conducted.</w:t>
      </w:r>
    </w:p>
    <w:p>
      <w:pPr>
        <w:spacing w:after="0" w:line="4" w:lineRule="exact"/>
        <w:rPr>
          <w:sz w:val="20"/>
          <w:szCs w:val="20"/>
          <w:color w:val="auto"/>
        </w:rPr>
      </w:pPr>
    </w:p>
    <w:p>
      <w:pPr>
        <w:ind w:left="680" w:right="320" w:firstLine="599"/>
        <w:spacing w:after="0" w:line="255" w:lineRule="auto"/>
        <w:rPr>
          <w:sz w:val="20"/>
          <w:szCs w:val="20"/>
          <w:color w:val="auto"/>
        </w:rPr>
      </w:pPr>
      <w:r>
        <w:rPr>
          <w:rFonts w:ascii="Arial" w:cs="Arial" w:eastAsia="Arial" w:hAnsi="Arial"/>
          <w:sz w:val="14"/>
          <w:szCs w:val="14"/>
          <w:color w:val="auto"/>
        </w:rPr>
        <w:t>The specific loss components and the inherent base level loss components together comprise the total base level or “allocated” allowance for credit losses. Such allocated portion of the allowance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680" w:right="20"/>
        <w:spacing w:after="0" w:line="250" w:lineRule="auto"/>
        <w:rPr>
          <w:sz w:val="20"/>
          <w:szCs w:val="20"/>
          <w:color w:val="auto"/>
        </w:rPr>
      </w:pPr>
      <w:r>
        <w:rPr>
          <w:rFonts w:ascii="Arial" w:cs="Arial" w:eastAsia="Arial" w:hAnsi="Arial"/>
          <w:sz w:val="13"/>
          <w:szCs w:val="13"/>
          <w:color w:val="auto"/>
        </w:rPr>
        <w:t>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(i) the effect of expansion into new markets, including market areas entered through acquisitions, for which the Company does not have the same degree of familiarity and experience regarding portfolio performance in changing market conditions; (ii) the introduction of new loan and lease product types, including loans and leases to foreign and domestic borrowers obtained through acquisitions; and (iii) the possible use of imprecise estimates in determining the allocated portion of the allowance.</w:t>
      </w:r>
    </w:p>
    <w:p>
      <w:pPr>
        <w:ind w:left="1280"/>
        <w:spacing w:after="0"/>
        <w:rPr>
          <w:sz w:val="20"/>
          <w:szCs w:val="20"/>
          <w:color w:val="auto"/>
        </w:rPr>
      </w:pPr>
      <w:r>
        <w:rPr>
          <w:rFonts w:ascii="Arial" w:cs="Arial" w:eastAsia="Arial" w:hAnsi="Arial"/>
          <w:sz w:val="13"/>
          <w:szCs w:val="13"/>
          <w:color w:val="auto"/>
        </w:rPr>
        <w:t>A comparative allocation of the allowance for credit losses for each of the past five year-ends is presented in table 12. Amounts were allocated to specific loan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categories based on information available to management at the time of each year-end assessment and using the methodology described herein. Variations in the allocation of</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allowance by loan category as a percentage of those loans reflect changes in management’s estimate of specific loss components and inherent base level loss components,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including the impact of the increased delinquencies and nonaccrual loans that are secured by residential real estate in 2007, and beginning in 2006, the allocation of losses that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previously unallocated for such things as customer, industry and geographic concentrations, certain national and local economic conditions, and other factors. 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described in note 4 of Notes to Financial Statements, loans considered impaired pursuant to the requirements of SFAS No. 114 were $225 million at December 31, 2007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$153 million at December 31, 2006. The allocated portion of the allowance for credit losses related to impaired loans totaled $55 million at December 31, 2007 and $23 million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 December 31, 2006. The unallocated portion of the allowance for credit losses was equal to .19% and .21% of gross loans outstanding at December 31, 2007 and 2006,</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Given the inherent imprecision in the many estimates used in the determination of the allocated portion of the allowance, management deliberately remained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cautious and conservative in establishing the overall allowance for credit losses. Given the Company’s high concentration of real estate loans and considering the other factors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already discussed herein, management considers the allocated and unallocated portions of the allowance for credit losses to be prudent and reasonable. Nevertheless,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Company’s allowance is general in nature and is available to absorb losses from any loan or lease category.</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12</w:t>
      </w:r>
    </w:p>
    <w:p>
      <w:pPr>
        <w:spacing w:after="0" w:line="244"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ALLOCATION OF THE ALLOWANCE FOR CREDIT LOSSES TO LOAN CATEGORIES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3740" w:type="dxa"/>
            <w:vAlign w:val="bottom"/>
            <w:gridSpan w:val="4"/>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480" w:type="dxa"/>
            <w:vAlign w:val="bottom"/>
          </w:tcPr>
          <w:p>
            <w:pPr>
              <w:spacing w:after="0"/>
              <w:rPr>
                <w:sz w:val="11"/>
                <w:szCs w:val="11"/>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4"/>
              </w:rPr>
              <w:t>(Dollars in thousands)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$ 216,833</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$ 212,945</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$ 136,852</w:t>
            </w: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$ 147,550</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$ 186,902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283,127</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221,747</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161,003</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166,910</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170,493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167,984</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124,675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133,541</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148,591</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152,759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Unallocated</w:t>
            </w:r>
          </w:p>
        </w:tc>
        <w:tc>
          <w:tcPr>
            <w:tcW w:w="14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91,495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90,581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206,267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163,813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$ 759,439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$ 649,948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$ 637,663</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$ 626,864</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$ 614,058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700" w:type="dxa"/>
            <w:vAlign w:val="bottom"/>
            <w:gridSpan w:val="2"/>
            <w:shd w:val="clear" w:color="auto" w:fill="CCEEFF"/>
          </w:tcPr>
          <w:p>
            <w:pPr>
              <w:spacing w:after="0" w:line="90" w:lineRule="exact"/>
              <w:rPr>
                <w:sz w:val="20"/>
                <w:szCs w:val="20"/>
                <w:color w:val="auto"/>
              </w:rPr>
            </w:pPr>
            <w:r>
              <w:rPr>
                <w:rFonts w:ascii="Arial" w:cs="Arial" w:eastAsia="Arial" w:hAnsi="Arial"/>
                <w:sz w:val="10"/>
                <w:szCs w:val="10"/>
                <w:b w:val="1"/>
                <w:bCs w:val="1"/>
                <w:color w:val="auto"/>
              </w:rPr>
              <w:t>As a Percentage of Gross Loans</w:t>
            </w:r>
          </w:p>
        </w:tc>
        <w:tc>
          <w:tcPr>
            <w:tcW w:w="1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and Leases Outstanding</w:t>
            </w:r>
          </w:p>
        </w:tc>
        <w:tc>
          <w:tcPr>
            <w:tcW w:w="14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2"/>
          </w:tcPr>
          <w:p>
            <w:pPr>
              <w:spacing w:after="0" w:line="154" w:lineRule="exact"/>
              <w:rPr>
                <w:sz w:val="20"/>
                <w:szCs w:val="20"/>
                <w:color w:val="auto"/>
              </w:rPr>
            </w:pPr>
            <w:r>
              <w:rPr>
                <w:rFonts w:ascii="Arial" w:cs="Arial" w:eastAsia="Arial" w:hAnsi="Arial"/>
                <w:sz w:val="14"/>
                <w:szCs w:val="14"/>
                <w:color w:val="auto"/>
              </w:rPr>
              <w:t>Commercial, financial, agricultural, etc.</w:t>
            </w:r>
          </w:p>
        </w:tc>
        <w:tc>
          <w:tcPr>
            <w:tcW w:w="2340" w:type="dxa"/>
            <w:vAlign w:val="bottom"/>
            <w:gridSpan w:val="3"/>
          </w:tcPr>
          <w:p>
            <w:pPr>
              <w:jc w:val="right"/>
              <w:ind w:right="160"/>
              <w:spacing w:after="0" w:line="154" w:lineRule="exact"/>
              <w:rPr>
                <w:sz w:val="20"/>
                <w:szCs w:val="20"/>
                <w:color w:val="auto"/>
              </w:rPr>
            </w:pPr>
            <w:r>
              <w:rPr>
                <w:rFonts w:ascii="Arial" w:cs="Arial" w:eastAsia="Arial" w:hAnsi="Arial"/>
                <w:sz w:val="14"/>
                <w:szCs w:val="14"/>
                <w:color w:val="auto"/>
              </w:rPr>
              <w:t>1.62%</w:t>
            </w:r>
          </w:p>
        </w:tc>
        <w:tc>
          <w:tcPr>
            <w:tcW w:w="920" w:type="dxa"/>
            <w:vAlign w:val="bottom"/>
            <w:gridSpan w:val="3"/>
          </w:tcPr>
          <w:p>
            <w:pPr>
              <w:jc w:val="right"/>
              <w:ind w:right="60"/>
              <w:spacing w:after="0" w:line="154" w:lineRule="exact"/>
              <w:rPr>
                <w:sz w:val="20"/>
                <w:szCs w:val="20"/>
                <w:color w:val="auto"/>
              </w:rPr>
            </w:pPr>
            <w:r>
              <w:rPr>
                <w:rFonts w:ascii="Arial" w:cs="Arial" w:eastAsia="Arial" w:hAnsi="Arial"/>
                <w:sz w:val="14"/>
                <w:szCs w:val="14"/>
                <w:color w:val="auto"/>
              </w:rPr>
              <w:t>1.79%</w:t>
            </w:r>
          </w:p>
        </w:tc>
        <w:tc>
          <w:tcPr>
            <w:tcW w:w="1140" w:type="dxa"/>
            <w:vAlign w:val="bottom"/>
            <w:gridSpan w:val="3"/>
          </w:tcPr>
          <w:p>
            <w:pPr>
              <w:jc w:val="right"/>
              <w:ind w:right="180"/>
              <w:spacing w:after="0" w:line="154" w:lineRule="exact"/>
              <w:rPr>
                <w:sz w:val="20"/>
                <w:szCs w:val="20"/>
                <w:color w:val="auto"/>
              </w:rPr>
            </w:pPr>
            <w:r>
              <w:rPr>
                <w:rFonts w:ascii="Arial" w:cs="Arial" w:eastAsia="Arial" w:hAnsi="Arial"/>
                <w:sz w:val="14"/>
                <w:szCs w:val="14"/>
                <w:color w:val="auto"/>
              </w:rPr>
              <w:t>1.23%</w:t>
            </w:r>
          </w:p>
        </w:tc>
        <w:tc>
          <w:tcPr>
            <w:tcW w:w="980" w:type="dxa"/>
            <w:vAlign w:val="bottom"/>
            <w:gridSpan w:val="3"/>
          </w:tcPr>
          <w:p>
            <w:pPr>
              <w:jc w:val="right"/>
              <w:ind w:right="160"/>
              <w:spacing w:after="0" w:line="154" w:lineRule="exact"/>
              <w:rPr>
                <w:sz w:val="20"/>
                <w:szCs w:val="20"/>
                <w:color w:val="auto"/>
              </w:rPr>
            </w:pPr>
            <w:r>
              <w:rPr>
                <w:rFonts w:ascii="Arial" w:cs="Arial" w:eastAsia="Arial" w:hAnsi="Arial"/>
                <w:sz w:val="14"/>
                <w:szCs w:val="14"/>
                <w:color w:val="auto"/>
              </w:rPr>
              <w:t>1.45%</w:t>
            </w:r>
          </w:p>
        </w:tc>
        <w:tc>
          <w:tcPr>
            <w:tcW w:w="860" w:type="dxa"/>
            <w:vAlign w:val="bottom"/>
            <w:gridSpan w:val="3"/>
          </w:tcPr>
          <w:p>
            <w:pPr>
              <w:jc w:val="right"/>
              <w:spacing w:after="0" w:line="154"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1.49</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2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right="280" w:firstLine="599"/>
        <w:spacing w:after="0" w:line="258" w:lineRule="auto"/>
        <w:rPr>
          <w:sz w:val="20"/>
          <w:szCs w:val="20"/>
          <w:color w:val="auto"/>
        </w:rPr>
      </w:pPr>
      <w:r>
        <w:rPr>
          <w:rFonts w:ascii="Arial" w:cs="Arial" w:eastAsia="Arial" w:hAnsi="Arial"/>
          <w:sz w:val="14"/>
          <w:szCs w:val="14"/>
          <w:color w:val="auto"/>
        </w:rPr>
        <w:t>Management believes that the allowance for credit losses at December 31, 2007 was adequate to absorb credit losses inherent in the portfolio as of that date. The allowance for credit losses was $759 million or 1.58% of total loans and leases at December 31, 2007, compared with $650 million or 1.51% at December 31, 2006 and $638 million or 1.58% at December 31, 2005. The increase in the level</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of the allowance as a percentage of outstanding loans and leases at December 31, 2007 as compared with a year earlier reflects management’s evaluation of the loan portfolio as described herein, including the impact of lower residential real estate values and higher levels of delinquencies and charge-offs in the Company’s portfolio of Alt-A loans and lower residential real estate valuations related to loans to residential builders and developers. The decline in the level of the allowance as a percentage of outstanding loans and leases from the 2005 year-end to December 31, 2006 reflects management’s evaluation of the loan portfolio as described herein, including a change in portfolio mix resulting from higher balances of residential real estate loans and lower balances of consumer loans. In general, through 2006 the Company had historically experienced significantly lower charge-off rates on residential real estate loans than on consumer loans.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nonperforming loans at the end of 2007, 2006 and 2005 was 170%, 290% and 408%, respectively. The level of the allowance reflects management’s evaluation of the loan and lease portfolio as of each respective date.</w:t>
      </w:r>
    </w:p>
    <w:p>
      <w:pPr>
        <w:spacing w:after="0" w:line="3" w:lineRule="exact"/>
        <w:rPr>
          <w:sz w:val="20"/>
          <w:szCs w:val="20"/>
          <w:color w:val="auto"/>
        </w:rPr>
      </w:pPr>
    </w:p>
    <w:p>
      <w:pPr>
        <w:ind w:left="680" w:firstLine="599"/>
        <w:spacing w:after="0" w:line="248" w:lineRule="auto"/>
        <w:rPr>
          <w:sz w:val="20"/>
          <w:szCs w:val="20"/>
          <w:color w:val="auto"/>
        </w:rPr>
      </w:pPr>
      <w:r>
        <w:rPr>
          <w:rFonts w:ascii="Arial" w:cs="Arial" w:eastAsia="Arial" w:hAnsi="Arial"/>
          <w:sz w:val="14"/>
          <w:szCs w:val="14"/>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27" w:lineRule="exact"/>
        <w:rPr>
          <w:sz w:val="20"/>
          <w:szCs w:val="20"/>
          <w:color w:val="auto"/>
        </w:rPr>
      </w:pPr>
    </w:p>
    <w:p>
      <w:pPr>
        <w:ind w:left="1300" w:hanging="209"/>
        <w:spacing w:after="0"/>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consumer loans and leases considered smaller balance homogenous loans and evaluated collectively, a 20 basis point increase in loss factors;</w:t>
      </w:r>
    </w:p>
    <w:p>
      <w:pPr>
        <w:spacing w:after="0" w:line="15" w:lineRule="exact"/>
        <w:rPr>
          <w:rFonts w:ascii="Arial" w:cs="Arial" w:eastAsia="Arial" w:hAnsi="Arial"/>
          <w:sz w:val="14"/>
          <w:szCs w:val="14"/>
          <w:color w:val="auto"/>
        </w:rPr>
      </w:pPr>
    </w:p>
    <w:p>
      <w:pPr>
        <w:ind w:left="1300" w:right="360" w:hanging="209"/>
        <w:spacing w:after="0" w:line="244" w:lineRule="auto"/>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residential real estate loans and home equity loans and lines of credit, also considered smaller balance homogenous loans and evaluated collectively, a 20% increase in estimated inherent losses; and</w:t>
      </w:r>
    </w:p>
    <w:p>
      <w:pPr>
        <w:ind w:left="1300" w:right="100" w:hanging="209"/>
        <w:spacing w:after="0" w:line="255" w:lineRule="auto"/>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commercial loans and commercial real estate loans, which are not similar in nature, a migration of loans to lower-ranked risk grades resulting in a 30% increase in the balance of classified credits in each risk grade.</w:t>
      </w:r>
    </w:p>
    <w:p>
      <w:pPr>
        <w:spacing w:after="0" w:line="60"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For possible improvement in credit quality factors, the scenarios assumed were:</w:t>
      </w:r>
    </w:p>
    <w:p>
      <w:pPr>
        <w:spacing w:after="0" w:line="15" w:lineRule="exact"/>
        <w:rPr>
          <w:rFonts w:ascii="Arial" w:cs="Arial" w:eastAsia="Arial" w:hAnsi="Arial"/>
          <w:sz w:val="14"/>
          <w:szCs w:val="14"/>
          <w:color w:val="auto"/>
        </w:rPr>
      </w:pPr>
    </w:p>
    <w:p>
      <w:pPr>
        <w:ind w:left="1300" w:hanging="209"/>
        <w:spacing w:after="0"/>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consumer loans and leases, a 10 basis point decrease in loss factors;</w:t>
      </w:r>
    </w:p>
    <w:p>
      <w:pPr>
        <w:spacing w:after="0" w:line="3" w:lineRule="exact"/>
        <w:rPr>
          <w:rFonts w:ascii="Arial" w:cs="Arial" w:eastAsia="Arial" w:hAnsi="Arial"/>
          <w:sz w:val="14"/>
          <w:szCs w:val="14"/>
          <w:color w:val="auto"/>
        </w:rPr>
      </w:pPr>
    </w:p>
    <w:p>
      <w:pPr>
        <w:ind w:left="1300" w:hanging="209"/>
        <w:spacing w:after="0"/>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residential real estate loans and home equity loans and lines of credit, a 5% decrease in estimated inherent losses; and</w:t>
      </w:r>
    </w:p>
    <w:p>
      <w:pPr>
        <w:spacing w:after="0" w:line="3" w:lineRule="exact"/>
        <w:rPr>
          <w:rFonts w:ascii="Arial" w:cs="Arial" w:eastAsia="Arial" w:hAnsi="Arial"/>
          <w:sz w:val="14"/>
          <w:szCs w:val="14"/>
          <w:color w:val="auto"/>
        </w:rPr>
      </w:pPr>
    </w:p>
    <w:p>
      <w:pPr>
        <w:ind w:left="1300" w:right="360" w:hanging="209"/>
        <w:spacing w:after="0" w:line="255" w:lineRule="auto"/>
        <w:tabs>
          <w:tab w:leader="none" w:pos="1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commercial loans and commercial real estate loans, a migration of loans to higher-ranked risk grades resulting in a 5% decrease in the balance of classified credits in each risk grade.</w:t>
      </w:r>
    </w:p>
    <w:p>
      <w:pPr>
        <w:spacing w:after="0" w:line="22" w:lineRule="exact"/>
        <w:rPr>
          <w:sz w:val="20"/>
          <w:szCs w:val="20"/>
          <w:color w:val="auto"/>
        </w:rPr>
      </w:pPr>
    </w:p>
    <w:p>
      <w:pPr>
        <w:ind w:left="680" w:right="20" w:firstLine="599"/>
        <w:spacing w:after="0" w:line="250" w:lineRule="auto"/>
        <w:rPr>
          <w:sz w:val="20"/>
          <w:szCs w:val="20"/>
          <w:color w:val="auto"/>
        </w:rPr>
      </w:pPr>
      <w:r>
        <w:rPr>
          <w:rFonts w:ascii="Arial" w:cs="Arial" w:eastAsia="Arial" w:hAnsi="Arial"/>
          <w:sz w:val="14"/>
          <w:szCs w:val="14"/>
          <w:color w:val="auto"/>
        </w:rPr>
        <w:t>The scenario analyses resulted in an additional $63 million in losses that could be identifiable under the assumptions for credit deterioration, whereas under the assumptions for credit improvement a $15 million reduction in such losses could occur. These examples are only a few of numerous reasonably possible scenarios that could be utilized in assessing the sensitivity of the allowance for credit losses based on changes in assumptions and other factors.</w:t>
      </w:r>
    </w:p>
    <w:p>
      <w:pPr>
        <w:spacing w:after="0" w:line="1" w:lineRule="exact"/>
        <w:rPr>
          <w:sz w:val="20"/>
          <w:szCs w:val="20"/>
          <w:color w:val="auto"/>
        </w:rPr>
      </w:pPr>
    </w:p>
    <w:p>
      <w:pPr>
        <w:ind w:left="680" w:right="260" w:firstLine="599"/>
        <w:spacing w:after="0" w:line="244" w:lineRule="auto"/>
        <w:rPr>
          <w:sz w:val="20"/>
          <w:szCs w:val="20"/>
          <w:color w:val="auto"/>
        </w:rPr>
      </w:pPr>
      <w:r>
        <w:rPr>
          <w:rFonts w:ascii="Arial" w:cs="Arial" w:eastAsia="Arial" w:hAnsi="Arial"/>
          <w:sz w:val="14"/>
          <w:szCs w:val="14"/>
          <w:color w:val="auto"/>
        </w:rPr>
        <w:t>Commercial real estate loans secured by properties used in providing retail goods and services in the New York City metropolitan area represented 6% of loans outstanding at December 31, 2007. The Company had no concentrations of credit extended to any specific industry that exceeded 10% of total loans at December 31, 2007. Outstanding loans to foreign borrowers were $107 million at December 31, 2007, or .2% of total loans and leases.</w:t>
      </w:r>
    </w:p>
    <w:p>
      <w:pPr>
        <w:spacing w:after="0" w:line="1" w:lineRule="exact"/>
        <w:rPr>
          <w:sz w:val="20"/>
          <w:szCs w:val="20"/>
          <w:color w:val="auto"/>
        </w:rPr>
      </w:pPr>
    </w:p>
    <w:p>
      <w:pPr>
        <w:ind w:left="680" w:right="280" w:firstLine="599"/>
        <w:spacing w:after="0" w:line="293" w:lineRule="auto"/>
        <w:rPr>
          <w:sz w:val="20"/>
          <w:szCs w:val="20"/>
          <w:color w:val="auto"/>
        </w:rPr>
      </w:pPr>
      <w:r>
        <w:rPr>
          <w:rFonts w:ascii="Arial" w:cs="Arial" w:eastAsia="Arial" w:hAnsi="Arial"/>
          <w:sz w:val="13"/>
          <w:szCs w:val="13"/>
          <w:color w:val="auto"/>
        </w:rPr>
        <w:t>Assets acquired in settlement of defaulted loans totaled $40 million at December 31, 2007, compared with $12 million and $9 million at December 31, 2006 and 2005, respectively. The increase from the prior year-ends to December 31, 2007 resulted from higher residential real estate loan defaults in 2007.</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Income</w:t>
      </w:r>
    </w:p>
    <w:p>
      <w:pPr>
        <w:spacing w:after="0" w:line="19"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Other income declined 11% to $933 million in 2007 from $1.05 billion in 2006. That decline resulted from the previously discussed $127 million other-than-temporary impairment charge in 2007 related to collateralized debt obligations held in M&amp;T’s available-for-sale investment securities portfolio. Excluding that charge, other income was $1.06 billion in 2007, 1% higher than in 2006. Higher service charges on deposit accounts, trust income, and trading account and foreign exchange gains, and $9 million related to M&amp;T’s pro-rata portion of the operating results of BLG were largely offset by a $31 million decline in mortgage banking revenues and a $13 million gain in 2006 from the accelerated recognition of a purchase accounting premium related to the call of a $200 million borrowing from the FHLB of Atlanta. The December 2007 acquisition transactions did not contribute significantly to other income in 2007.</w:t>
      </w:r>
    </w:p>
    <w:p>
      <w:pPr>
        <w:spacing w:after="0" w:line="2"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Other income in 2006 was 10% above the $950 million earned in 2005. Higher levels of mortgage banking revenues, service charges on deposit accounts, trust income, brokerage services income, and other revenues contributed to that improvement. Included in other income for 2006 was the $13 million gain related to the call of an FHLB borrowing, while other income in 2005 reflected a $29 million other-than-temporary impairment charge related to the Company’s investment in certain preferred stock issuances of FNMA and FHLMC held in the available-for-sale investment securities portfolio. Excluding gains and losses from investment securities from both years and the $13 million gain on the called borrowing in 2006, other income increased 5% from 2005 to 2006.</w:t>
      </w:r>
    </w:p>
    <w:p>
      <w:pPr>
        <w:spacing w:after="0" w:line="2"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Mortgage banking revenues were $112 million in 2007, $143 million in 2006 and $136 million in 2005. Mortgage banking revenues are comprised of both residential and commercial mortgage banking activities. The Company’s involvement in commercial mortgage banking activities is largely comprised of the origination, sales and servicing of loans in conjunction with the FNMA DUS program.</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decreased 25% to $86 million in 2007 from $114 million in 2006. The decline in residential mortgage banking revenues in 2007 as compared with 2006 resulted from lower realized gains from sales of residential mortgage loans and loan servicing rights due to slimmer margins realized by the Company resulting from changes in market conditions. Residential mortgage banking revenues in 2006 were 7% higher than the $107 million earned in 2005. Higher revenue from servicing residential mortgage loans for others was the leading factor in the improvement.</w:t>
      </w:r>
    </w:p>
    <w:p>
      <w:pPr>
        <w:spacing w:after="0" w:line="2" w:lineRule="exact"/>
        <w:rPr>
          <w:sz w:val="20"/>
          <w:szCs w:val="20"/>
          <w:color w:val="auto"/>
        </w:rPr>
      </w:pPr>
    </w:p>
    <w:p>
      <w:pPr>
        <w:ind w:left="680" w:right="20" w:firstLine="599"/>
        <w:spacing w:after="0" w:line="265" w:lineRule="auto"/>
        <w:rPr>
          <w:sz w:val="20"/>
          <w:szCs w:val="20"/>
          <w:color w:val="auto"/>
        </w:rPr>
      </w:pPr>
      <w:r>
        <w:rPr>
          <w:rFonts w:ascii="Arial" w:cs="Arial" w:eastAsia="Arial" w:hAnsi="Arial"/>
          <w:sz w:val="13"/>
          <w:szCs w:val="13"/>
          <w:color w:val="auto"/>
        </w:rPr>
        <w:t>Residential mortgage loans originated for sale to other investors totaled approximately $5.6 billion in 2007, compared with $6.4 billion in 2006 and $6.5 billion in 2005. Residential mortgage loans sold to investors totaled $5.3 billion in each of 2007 and 2005 and $5.0 billion in 2006. Realized gains from sales of residential mortgage loans and loan servicing rights and recognized net unrealized gains or losses attributable to residential mortgage loans held for sale, commitments to originate loans for sale and commitments to sell loans totaled $3 million in 2007, compared with $41 million in 2006 and $42 million in 2005. Changing market conditions that led to substantial reductions in investor demand for Alt-A residential mortgage loans resulted in an overall narrowing of margins realized from the sale of loans. That narrowing contributed significantly to the $38 million decline in revenues from 2006 to 2007 that was noted above. Also reflected in the 2007 results were $18 million of losses recognized in the first quarter specifically related to Alt-A residential mortgage loans. Unfavorable market conditions and a lack of market liquidity impacted the Company’s willingness to sell Alt-A mortgage loans during the first quarter of 2007. As a result, the Company reclassified $883 million of Alt-A loans previously held for sale (including $808 million of first mortgage loans and $75 million of second mortgage loans) to its held-for-investment loan portfolio during 2007’s first quarter. In accordance with GAAP, loans held for sale must be recorded at the lower of cost or market value. Accordingly, prior to reclassifying the $883 million of Alt-A mortgage loans to held for investment, the carrying value of such loans was reduced by $12 million to reflect estimated market value. In addition, the Company is contractually obligated to repurchase some previously sold Alt-A loans that do not ultimately meet investor sale criteria, including instances when mortgagors fail to make timely payments during the first 90 days subsequent to the sale date. As a result, during the first quarter of 2007, the Company accrued $6 million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 provide for declines in market value of previously sold Alt-A mortgage loans that the Company may be required to repurchase.</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Revenues from servicing residential mortgage loans for others rose to $73 million in 2007 from $66 million in 2006 and $58 million in 2005. Included in such</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servicing revenues were amounts related to purchased servicing rights associated with small balance commercial mortgage loans totaling $21 million, $14 million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 million in 2007, 2006 and 2005, respectively. Residential mortgage loans serviced for others totaled $19.4 billion at December 31, 2007, $16.7 billion a year earlier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$15.6 billion at December 31, 2005, including the small balance commercial mortgage loans noted above of approximately $4.9 billion, $3.3 billion and $2.4 billion at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2007, 2006 and 2005, respectively. Capitalized residential mortgage loan servicing assets, net of a valuation allowance for possible impairment, totaled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$170 million at December 31, 2007, compared with $153 million and $140 million at December 31, 2006 and 2005, respectively. The valuation allowance for possible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impairment of capitalized residential mortgage servicing assets totaled $6 million, $10 million and $20 million at the 2007, 2006 and 2005 year-ends, respectively. Included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capitalized residential mortgage servicing assets were purchased servicing rights associated with the small balance commercial mortgage loans noted above of $57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$36 million and $23 million at December 31, 2007, 2006 and 2005, respectively. Servicing rights for the small balance commercial mortgage loans were purchased from BLG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 its affiliates. In addition, at December 31, 2007 capitalized servicing rights included $40 million for servicing rights for $4.6 billion of residential real estate loans that were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purchased from affiliates of BLG. Additional information about the Company’s relationship with BLG and its affiliates is provided in note 24 of Notes to Financial Statements.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information about the Company’s capitalized residential mortgage loan servicing assets, including information about the calculation of estimated fair value, is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presented in note 7 of Notes to Financial Statements. Commitments to sell residential mortgage loans and commitments to originate residential mortgage loans for sale at pre-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determined rates were $772 million and $492 million, respectively, at December 31, 2007, $1.8 billion and $680 million, respectively, at December 31, 2006 and $923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$352 million, respectively, at December 31, 2005. Net unrealized losses on hedged residential mortgage loans held for sale, commitments to sell loans, and commitments to</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originate loans for sale were $7 million and $5 million at December 31, 2007 and 2005, respectively, compared with net unrealized gains of $4 million at December 31, 2006.</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such net unrealized gains and losses are recorded in mortgage banking revenues and resulted in net decreases in revenue of $23 million (including $12 million to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record the Alt-A mortgage loans transferred from held for sale to held for investment at the lower of cost or market value) in 2007 and $8 million in 2005, and a net increase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revenue of $2 million in 2006.</w:t>
      </w:r>
    </w:p>
    <w:p>
      <w:pPr>
        <w:spacing w:after="0" w:line="3"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3"/>
          <w:szCs w:val="13"/>
          <w:color w:val="auto"/>
        </w:rPr>
        <w:t>Commercial mortgage banking revenues totaled $26 million in 2007 and $29 million in each of 2006 and 2005. Revenues from loan origination and sales activities were $13 million in 2007, compared with $15 million in 2006 and $14 million in 2005. Loan servicing revenues totaled $13 million in 2007, $14 million in 2006 and</w:t>
      </w:r>
    </w:p>
    <w:p>
      <w:pPr>
        <w:ind w:left="680" w:right="20"/>
        <w:spacing w:after="0" w:line="263" w:lineRule="auto"/>
        <w:rPr>
          <w:sz w:val="20"/>
          <w:szCs w:val="20"/>
          <w:color w:val="auto"/>
        </w:rPr>
      </w:pPr>
      <w:r>
        <w:rPr>
          <w:rFonts w:ascii="Arial" w:cs="Arial" w:eastAsia="Arial" w:hAnsi="Arial"/>
          <w:sz w:val="13"/>
          <w:szCs w:val="13"/>
          <w:color w:val="auto"/>
        </w:rPr>
        <w:t>$15 million in 2005. Capitalized commercial mortgage loan servicing assets totaled $20 million at December 31, 2007 and $21 million at each of December 31, 2006 and 2005. Commercial mortgage loans serviced for other investors totaled $5.3 billion, $4.9 billion and $4.3 billion at December 31, 2007, 2006 and 2005, respectively, and included $1.0 billion, $939 million and $941 million, respectively, of loan balances for which investors had recourse to the Company if such balances are ultimately uncollectible. Commitments to sell commercial mortgage loans and commitments to originate commercial mortgage loans for sale were $174 million and $97 million, respectively, at December 31, 2007, $115 million and $66 million, respectively, at December 31, 2006 and $241 million and $42 million, respectively, at December 31, 2005. Commercial mortgage loans held for sale totaled $79 million, $49 million and $199 million at December 31, 2007, 2006 and 2005, respectively.</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Service charges on deposit accounts rose 7% to $409 million in 2007 from $381 million in 2006. Deposit account service charges in 2005 were $370 million. The higher levels of such revenues in 2007 and 2006 as compared with 2005 were largely due to consumer service charges related to overdraft fees and higher debit card transaction volumes.</w:t>
      </w:r>
    </w:p>
    <w:p>
      <w:pPr>
        <w:spacing w:after="0" w:line="1" w:lineRule="exact"/>
        <w:rPr>
          <w:sz w:val="20"/>
          <w:szCs w:val="20"/>
          <w:color w:val="auto"/>
        </w:rPr>
      </w:pPr>
    </w:p>
    <w:p>
      <w:pPr>
        <w:ind w:left="680" w:right="100" w:firstLine="599"/>
        <w:spacing w:after="0" w:line="255" w:lineRule="auto"/>
        <w:rPr>
          <w:sz w:val="20"/>
          <w:szCs w:val="20"/>
          <w:color w:val="auto"/>
        </w:rPr>
      </w:pPr>
      <w:r>
        <w:rPr>
          <w:rFonts w:ascii="Arial" w:cs="Arial" w:eastAsia="Arial" w:hAnsi="Arial"/>
          <w:sz w:val="14"/>
          <w:szCs w:val="14"/>
          <w:color w:val="auto"/>
        </w:rPr>
        <w:t>Trust income includes fees for trust and custody services provided to personal, corporate and institutional customers, and investment management and advisory fees that are often based on a percentage of the market value of assets under management. Trust income rose 8% to $153 million in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20"/>
        <w:spacing w:after="0" w:line="266" w:lineRule="auto"/>
        <w:rPr>
          <w:sz w:val="20"/>
          <w:szCs w:val="20"/>
          <w:color w:val="auto"/>
        </w:rPr>
      </w:pPr>
      <w:r>
        <w:rPr>
          <w:rFonts w:ascii="Arial" w:cs="Arial" w:eastAsia="Arial" w:hAnsi="Arial"/>
          <w:sz w:val="13"/>
          <w:szCs w:val="13"/>
          <w:color w:val="auto"/>
        </w:rPr>
        <w:t>2007 from $141 million in 2006, due in part to the impact of higher balances in proprietary money-market mutual funds and higher revenues from providing personal trust and investment management services. Trust income totaled $135 million in 2005. Higher personal trust revenues contributed to the rise in revenues from 2005 to 2006. Total trust assets, which include assets under management and assets under administration, aggregated $146.1 billion at December 31, 2007, compared with $142.4 billion at December 31, 2006. Trust assets under management were $15.5 billion and $14.8 billion at December 31, 2007 and 2006, respectively. The Company’s proprietary mutual funds, the MTB Group of Funds, had assets of $10.5 billion and $8.9 billion at December 31, 2007 and 2006, respectively. Brokerage services income, which includes revenues from the sale of mutual funds and annuities and securities brokerage fees, aggregated $60 million in each of 2007 and 2006, and was $56 million in 2005. The increase from 2005 to 2006 was due largely to increased revenues earned from the sale of annuities.</w:t>
      </w:r>
    </w:p>
    <w:p>
      <w:pPr>
        <w:spacing w:after="0" w:line="1"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Trading account and foreign exchange activity resulted in gains of $30 million in 2007, $25 million in 2006 and $23 million in 2005. The improvement in 2007 as compared with 2006 reflected higher income related to interest rate swap agreements due to higher volumes of transactions executed on behalf of commercial customers. The higher gains in 2006 as compared with 2005 resulted largely from net increases in the market values of trading assets held in connection with deferred compensation plans.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17 of Notes to Financial Statements and herein under the heading “Liquidity, Market Risk, and Interest Rate Sensitivity.” Trading account revenues related to interest rate and foreign exchange contracts totaled $21 million in 2007 and $15 million in each of 2006 and 2005. Trading account assets held in connection with deferred compensation plans were $47 million and $45 million at December 31, 2007 and 2006, respectively. Trading account revenues resulting from net increases in the market values of such assets were $4 million in 2007, $5 million in 2006 and $3 million in 2005. A largely offsetting expense resulting from corresponding increases in liabilities related to deferred compensation is included in other costs of operations.</w:t>
      </w:r>
    </w:p>
    <w:p>
      <w:pPr>
        <w:spacing w:after="0" w:line="2" w:lineRule="exact"/>
        <w:rPr>
          <w:sz w:val="20"/>
          <w:szCs w:val="20"/>
          <w:color w:val="auto"/>
        </w:rPr>
      </w:pPr>
    </w:p>
    <w:p>
      <w:pPr>
        <w:jc w:val="both"/>
        <w:ind w:left="680" w:firstLine="599"/>
        <w:spacing w:after="0" w:line="285" w:lineRule="auto"/>
        <w:rPr>
          <w:sz w:val="20"/>
          <w:szCs w:val="20"/>
          <w:color w:val="auto"/>
        </w:rPr>
      </w:pPr>
      <w:r>
        <w:rPr>
          <w:rFonts w:ascii="Arial" w:cs="Arial" w:eastAsia="Arial" w:hAnsi="Arial"/>
          <w:sz w:val="12"/>
          <w:szCs w:val="12"/>
          <w:color w:val="auto"/>
        </w:rPr>
        <w:t>As previously described, an other-than-temporary impairment charge of $127 million was recognized in the fourth quarter of 2007 in light of significant deterioration in the residential real estate market and the resulting decline in market value of the Company’s collateralized debt obligations held in the available-for-sale investment securities portfolio. Reflecting that charge, losses on investment securities were $126 million in 2007, compared with gains of $3 million in 2006 and losses of $28 million during 2005.</w:t>
      </w:r>
    </w:p>
    <w:p>
      <w:pPr>
        <w:spacing w:after="0" w:line="1"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The losses in 2005 reflect the previously described $29 million charge for the other-than-temporary impairment in value of FNMA and FHLMC preferred stock. M&amp;T’s pro-rata allocation of the operating results of BLG, in which it invested in during the first quarter of 2007 and that is recognized using the equity method of accounting, amounted to $9 million of revenue in 2007.</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Other revenues from operations were $286 million in 2007, compared with $293 million in 2006 and $259 million in 2005. An $8 million increase in credit-related and corporate advisory fees in 2007 was more than offset by a $6 million decline in income from bank owned life insurance and the previously noted $13 million gain in 2006 from the call of an FHLB borrowing. Significant contributors to the 13% rise in other revenues from operations from 2005 to 2006 were the $13 million gain from the call of an FHLB borrowing and an increase of $9 million in insurance-related revenues, largely the result of the February 1, 2006 acquisition by M&amp;T Bank of a commercial insurance and surety brokerage agency based in Maryland. Also contributing to the increase from 2005 to 2006 were higher income from educational lending services of $8 million and income from bank owned life insurance of $6 million.</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Included in other revenues from operations were the following significant components. Letter of credit and other credit-related fees totaled $81 million, $77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$75 million in 2007, 2006 and 2005, respectively. Tax-exempt income earned from bank owned life insurance aggregated $47 million in each of 2007 and 2005,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$53 million in 2006. Such income includes increases in cash surrender value of life insurance policies and benefits received. Revenues from merchant discount and credit card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fees were $35 million in 2007, $32 million in 2006 and $30 million in 2005. Insurance-related sales commissions and other revenues totaled $33 million in 2007, $32 million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2006 and $22 million in</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40"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160"/>
        <w:spacing w:after="0" w:line="258" w:lineRule="auto"/>
        <w:rPr>
          <w:sz w:val="20"/>
          <w:szCs w:val="20"/>
          <w:color w:val="auto"/>
        </w:rPr>
      </w:pPr>
      <w:r>
        <w:rPr>
          <w:rFonts w:ascii="Arial" w:cs="Arial" w:eastAsia="Arial" w:hAnsi="Arial"/>
          <w:sz w:val="14"/>
          <w:szCs w:val="14"/>
          <w:color w:val="auto"/>
        </w:rPr>
        <w:t>2005. The higher revenues in 2006 as compared with 2005 were primarily the result of the noted insurance agency acquisition in February 2006. Automated teller machine (“ATM”) usage fees aggregated $15 million in each of 2007 and 2006 and $22 million in 2005. The decrease in such fees from 2005 was largely the result of the reduction or elimination of fees charged for use of ATMs at certain non-branch locations.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Expense</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Other expense aggregated $1.63 billion in 2007, compared with $1.55 billion in 2006 and $1.49 billion in 2005. Included in such amounts are expenses considered to be “nonoperating” in nature consisting of amortization of core deposit and other intangible assets of $66 million, $63 million and $57 million in 2007, 2006 and 2005, respectively, and merger-related integration expenses of $15 million in 2007 and $5 million in 2006. There were no merger-related expenses in 2005. Exclusive of these nonoperating expenses, noninterest operating expenses were $1.55 billion in 2007, up 4% from $1.48 billion in 2006. Included in 2007’s noninterest operating expenses was the $23 million charge taken in the fourth quarter related to the Visa litigation, while 2006’s operating expenses reflected an $18 million contribution to The M&amp;T Charitable Foundation. The most significant contributor to the remaining increase in noninterest expense in 2007 was a higher level of salaries and employee benefits expense. The December 2007 acquisitions did not contribute significantly to noninterest operating expenses in 2007. Noninterest operating expenses were $1.43 billion in 2005. Excluding the charitable contribution in 2006, operating expenses in 2006 were less than 3% above those in 2005, due primarily to higher salaries costs, including merit pay increases and incentive compensation. Table 2 provides a reconciliation of other expense to noninterest operating expense.</w:t>
      </w:r>
    </w:p>
    <w:p>
      <w:pPr>
        <w:spacing w:after="0" w:line="2" w:lineRule="exact"/>
        <w:rPr>
          <w:sz w:val="20"/>
          <w:szCs w:val="20"/>
          <w:color w:val="auto"/>
        </w:rPr>
      </w:pPr>
    </w:p>
    <w:p>
      <w:pPr>
        <w:ind w:left="680" w:right="20" w:firstLine="599"/>
        <w:spacing w:after="0" w:line="285" w:lineRule="auto"/>
        <w:rPr>
          <w:sz w:val="20"/>
          <w:szCs w:val="20"/>
          <w:color w:val="auto"/>
        </w:rPr>
      </w:pPr>
      <w:r>
        <w:rPr>
          <w:rFonts w:ascii="Arial" w:cs="Arial" w:eastAsia="Arial" w:hAnsi="Arial"/>
          <w:sz w:val="12"/>
          <w:szCs w:val="12"/>
          <w:color w:val="auto"/>
        </w:rPr>
        <w:t>Salaries and employee benefits expense totaled $908 million in 2007, up 4% from $873 million in 2006. The most significant contributor to the increase was a higher level of salaries expense in 2007, reflecting the impact of merit pay increases and higher incentive compensation pay. Salaries and employee benefits expense was $822 million in 2005. The higher expense level for 2006 as compared with 2005 was due largely to salaries-related costs, including the impact of merit pay increases and higher stock-based compensation costs and other incentive pay. The Company recognizes expense for stock-based compensation using the fair value method of accounting for all stock-based compensation granted to employees after January 1, 1995. As a result, salaries and employee benefits expense included stock-based compensation of $51 million in each of 2007 and 2006, and $45 million in 2005. The higher level of stock-based compensation in 2007 and 2006 as compared with 2005 was largely due to the adoption of</w:t>
      </w:r>
    </w:p>
    <w:p>
      <w:pPr>
        <w:spacing w:after="0" w:line="1" w:lineRule="exact"/>
        <w:rPr>
          <w:sz w:val="20"/>
          <w:szCs w:val="20"/>
          <w:color w:val="auto"/>
        </w:rPr>
      </w:pPr>
    </w:p>
    <w:p>
      <w:pPr>
        <w:ind w:left="680" w:right="140"/>
        <w:spacing w:after="0" w:line="263" w:lineRule="auto"/>
        <w:rPr>
          <w:sz w:val="20"/>
          <w:szCs w:val="20"/>
          <w:color w:val="auto"/>
        </w:rPr>
      </w:pPr>
      <w:r>
        <w:rPr>
          <w:rFonts w:ascii="Arial" w:cs="Arial" w:eastAsia="Arial" w:hAnsi="Arial"/>
          <w:sz w:val="13"/>
          <w:szCs w:val="13"/>
          <w:color w:val="auto"/>
        </w:rPr>
        <w:t>SFAS No. 123 (revised 2004), “Share-Based Payment,” (“SFAS No. 123R”), effective January 1, 2006. As required, coincident with the adoption of SFAS No. 123R, the Company began accelerating the recognition of compensation costs for stock-based awards granted to retirement-eligible employees and employees who will become retirement-eligible prior to full vesting of the award. As a result, stock-based compensation expense during each of 2007 and 2006 included $4 million that would otherwise have been recognized over the normal four year vesting period if not for the required adoption of SFAS No. 123R. That acceleration had no effect on the value of stock-based compensation awarded to employees. The number of full-time equivalent employees was 13,246 at December 31, 2007 (including 648 from the December acquisition transactions), compared with 12,721 and 12,780 at December 31, 2006 and 2005, respectively.</w:t>
      </w:r>
    </w:p>
    <w:p>
      <w:pPr>
        <w:spacing w:after="0" w:line="1" w:lineRule="exact"/>
        <w:rPr>
          <w:sz w:val="20"/>
          <w:szCs w:val="20"/>
          <w:color w:val="auto"/>
        </w:rPr>
      </w:pPr>
    </w:p>
    <w:p>
      <w:pPr>
        <w:ind w:left="680" w:right="80" w:firstLine="599"/>
        <w:spacing w:after="0" w:line="246" w:lineRule="auto"/>
        <w:rPr>
          <w:sz w:val="20"/>
          <w:szCs w:val="20"/>
          <w:color w:val="auto"/>
        </w:rPr>
      </w:pPr>
      <w:r>
        <w:rPr>
          <w:rFonts w:ascii="Arial" w:cs="Arial" w:eastAsia="Arial" w:hAnsi="Arial"/>
          <w:sz w:val="14"/>
          <w:szCs w:val="14"/>
          <w:color w:val="auto"/>
        </w:rPr>
        <w:t>The Company provides pension and other postretirement benefits (including a retirement savings plan) for its employees. Expenses related to such benefits totaled $54 million in each of 2007 and 2006, and $59 million in 2005. The Company sponsors both defined benefit and defined contribution pension plans. Pension benefit expense for those plans was $27 million in 2007, $28 million in 2006 and $38 million in 2005. Included in those amounts are $8 million in 2007 and $7 million in 2006 for a defined contribution pension plan that the Company began on January 1, 2006.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220"/>
        <w:spacing w:after="0" w:line="266" w:lineRule="auto"/>
        <w:rPr>
          <w:sz w:val="20"/>
          <w:szCs w:val="20"/>
          <w:color w:val="auto"/>
        </w:rPr>
      </w:pPr>
      <w:r>
        <w:rPr>
          <w:rFonts w:ascii="Arial" w:cs="Arial" w:eastAsia="Arial" w:hAnsi="Arial"/>
          <w:sz w:val="13"/>
          <w:szCs w:val="13"/>
          <w:color w:val="auto"/>
        </w:rPr>
        <w:t>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Other factors used to estimate the projected benefit obligations include actuarial assumptions for mortality rate, turnover rate, retirement rate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2"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The Company’s 2007 pension expense for its defined benefit plans was determined using the following assumptions: a long-term rate of return on assets of 8.00%; a rate of future compensation increase of 4.70%; and a discount rate of 5.75%. To demonstrate the sensitivity of pension expense to changes in the Company’s pension plan assumptions, 25 basis point increases in: the rate of return on plan assets would have resulted in a decrease in pension expense of $1 million; the rate of increase in compensation would have resulted in an increase in pension expense of $.3 million; and the discount rate would have resulted in a decrease in pension expense of $3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is assumed. As of December 31, 2007, the Company had cumulative unrecognized actuarial losses of approximately $125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$6 million in 2007, $8 million in 2006 and $5 million in 2005.</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In September 2006, the Financial Accounting Standards Board (“FASB”) issued SFAS No. 158, “Employers’ Accounting for Defined Benefit Pension and Other Postretirement Plans,” which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w:t>
      </w:r>
    </w:p>
    <w:p>
      <w:pPr>
        <w:spacing w:after="0" w:line="1" w:lineRule="exact"/>
        <w:rPr>
          <w:sz w:val="20"/>
          <w:szCs w:val="20"/>
          <w:color w:val="auto"/>
        </w:rPr>
      </w:pPr>
    </w:p>
    <w:p>
      <w:pPr>
        <w:ind w:left="680" w:right="40"/>
        <w:spacing w:after="0" w:line="266" w:lineRule="auto"/>
        <w:rPr>
          <w:sz w:val="20"/>
          <w:szCs w:val="20"/>
          <w:color w:val="auto"/>
        </w:rPr>
      </w:pPr>
      <w:r>
        <w:rPr>
          <w:rFonts w:ascii="Arial" w:cs="Arial" w:eastAsia="Arial" w:hAnsi="Arial"/>
          <w:sz w:val="13"/>
          <w:szCs w:val="13"/>
          <w:color w:val="auto"/>
        </w:rPr>
        <w:t>SFAS No. 158 requires that gains or losses and prior service costs or credits that arise during the period, but are not included as components of net periodic benefit cost be recognized as a component of other comprehensive income. The Company adopted SFAS No. 158 in 2006. As of December 31, 2007, the combined benefit obligations (as defined under SFAS No. 158) of the Company’s defined benefit postretirement plans exceeded the fair value of the assets of such plans by approximately $186 million. Of that amount, $66 million was related to qualified defined benefit plans that are periodically funded by the Company and $120 million related to non-qualified pension and other postretirement plans that are generally not funded until benefits are paid. Pursuant to the criteria of SFAS No. 158, the Company was required to have a net pension and postretirement benefit liability for those plans that was at least equal to $186 million at December 31, 2007. Accordingly, as of December 31, 2007 the Company recorded an additional postretirement benefit liability of $76 million. After applicable tax effect, that liability reduced accumulated other comprehensive income (and thereby stockholders’ equity) by $46 million. The result of this was a year-over-year increase of $30 million to the required minimum postretirement benefit liability from the $46 million recorded at December 31, 2006. After applicable tax effect, the $30 million increase in the minimum required liability reduced accumulated other comprehensive income in 2007 by an additional $18 million from the prior</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year-end amount of $28 million. The $30 million increase to the liability was necessary to reflect losses that occurred during 2007 resulting from actual experience differing from assumptions and from changes in actuarial assumptions. The significant factors contributing to such losses were: migration to newer mortality tables in order to better reflect current life expectancy among plan participants and losses resulting from the qualified defined benefit plan asset return being lower than the expected return, partially offset by actuarial gains resulting from increasing the discount rate to 6.00% at December 31, 2007 from the 5.75% discount rate used at December 31, 2006. A 25 basis point decrease in the assumed discount rate as of December 31, 2007 to 5.75% would have resulted in increases in the combined benefit obligations of all defined benefit postretirement plans (including pension and other plans) of $25 million. Under that scenario, the minimum postretirement liability adjustment at December 31, 2007 would have been $101 million, rather than the $76 million that was actually recorded, and the corresponding after tax-effect charge to accumulated other comprehensive income at December 31, 2007 would have been $62 million, rather than the $46 million that was actually recorded. A 25 basis point increase in the assumed discount rate to 6.25% would have decreased the combined benefit obligations of all defined benefit postretirement plans by $24 million. Under this latter scenario, the aggregate minimum liability adjustment at December 31, 2007 would have been $52 million rather than the $76 million actually recorded and the corresponding after tax-effect charge to accumulated other comprehensive income would have been $32 million rather than $46 million. The Company made contributions to its qualified defined benefit pension plans in 2007 and 2006 of $66 million and $36 million, respectively. Information about the Company’s pension plans, including significant assumptions utilized in completing actuarial calculations for the plans, is included in note 11 of Notes to Financial Statements.</w:t>
      </w:r>
    </w:p>
    <w:p>
      <w:pPr>
        <w:spacing w:after="0" w:line="7"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Effective January 1, 2006, the Company amended certain provisions of its defined benefit pension plans. Such amendments had the effect of reducing future benefits earned under the plans. The formula was changed to reduce the future accrual of benefits by lowering the accrual percentage and through use of a career-average-pay formula as opposed to the previous final-average-pay formula. The amendments affected benefits earned for service periods beginning after December 31, 2005. Active participants at that time had the choice of electing to remain in the defined benefit plan under the reduced benefit formula or electing to participate in a new qualified defined contribution pension plan. Under the new defined contribution pension plan, the Company makes contributions to the plan each year in an amount that is based on an individual participant’s total compensation (generally defined as total wages, incentive compensation, commissions and bonuses) and years of service. Participants do not contribute to the defined contribution pension plan. New employees are not eligible to participate in the defined benefit plan, but do participate in the defined contribution pension plan. The amendment caused the projected benefit obligation associated with the defined benefit plans to decrease by approximately $98 million as of December 31, 2005. Certain gains associated with the $98 million in pension benefit obligation reduction attributable to employees who remained in the plan are not subject to the ten percent corridor previously noted. Guidance contained in SFAS No. 87, “Employers’ Accounting for Pensions,” requires that these gains be amortized and recognized as a component of net periodic benefit cost over the remaining expected service period for active employees. Amortization of these gains had the effect of reducing the Company’s pension expense for each of 2006 and 2007 by approximately $7 million.</w:t>
      </w:r>
    </w:p>
    <w:p>
      <w:pPr>
        <w:spacing w:after="0" w:line="3" w:lineRule="exact"/>
        <w:rPr>
          <w:sz w:val="20"/>
          <w:szCs w:val="20"/>
          <w:color w:val="auto"/>
        </w:rPr>
      </w:pPr>
    </w:p>
    <w:p>
      <w:pPr>
        <w:jc w:val="both"/>
        <w:ind w:left="680" w:right="60" w:firstLine="599"/>
        <w:spacing w:after="0" w:line="263" w:lineRule="auto"/>
        <w:rPr>
          <w:sz w:val="20"/>
          <w:szCs w:val="20"/>
          <w:color w:val="auto"/>
        </w:rPr>
      </w:pPr>
      <w:r>
        <w:rPr>
          <w:rFonts w:ascii="Arial" w:cs="Arial" w:eastAsia="Arial" w:hAnsi="Arial"/>
          <w:sz w:val="13"/>
          <w:szCs w:val="13"/>
          <w:color w:val="auto"/>
        </w:rPr>
        <w:t>In addition to the changes described above, the Company also amended its retirement savings plan (“RSP”), effective January 1, 2006, to allow for greater amounts of employee compensation to be eligible for contribution to the RSP. The RSP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$22 million in 2007, $21 million in 2006 and $17 million in 2005.</w:t>
      </w:r>
    </w:p>
    <w:p>
      <w:pPr>
        <w:spacing w:after="0" w:line="1" w:lineRule="exact"/>
        <w:rPr>
          <w:sz w:val="20"/>
          <w:szCs w:val="20"/>
          <w:color w:val="auto"/>
        </w:rPr>
      </w:pPr>
    </w:p>
    <w:p>
      <w:pPr>
        <w:ind w:left="680" w:right="40" w:firstLine="599"/>
        <w:spacing w:after="0" w:line="248" w:lineRule="auto"/>
        <w:rPr>
          <w:sz w:val="20"/>
          <w:szCs w:val="20"/>
          <w:color w:val="auto"/>
        </w:rPr>
      </w:pPr>
      <w:r>
        <w:rPr>
          <w:rFonts w:ascii="Arial" w:cs="Arial" w:eastAsia="Arial" w:hAnsi="Arial"/>
          <w:sz w:val="14"/>
          <w:szCs w:val="14"/>
          <w:color w:val="auto"/>
        </w:rPr>
        <w:t>As a result of the amendments to the defined benefit pension plans and the RSP and the introduction of the defined contribution pension plan, the Company hoped to limit increases in future period expenses associated with these plans. Reflecting the impact of these changes, expenses associated with the defined benefit and defined contribution pension plans and the RSP totaled $49 million in each of 2007 and 2006, and $55 million in 2005. Expense associated with providing medical and other postretirement benefits was $5 million in each of 2007 and 2006, and $4 million in 2005.</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firstLine="599"/>
        <w:spacing w:after="0" w:line="246" w:lineRule="auto"/>
        <w:rPr>
          <w:sz w:val="20"/>
          <w:szCs w:val="20"/>
          <w:color w:val="auto"/>
        </w:rPr>
      </w:pPr>
      <w:r>
        <w:rPr>
          <w:rFonts w:ascii="Arial" w:cs="Arial" w:eastAsia="Arial" w:hAnsi="Arial"/>
          <w:sz w:val="14"/>
          <w:szCs w:val="14"/>
          <w:color w:val="auto"/>
        </w:rPr>
        <w:t>Excluding the nonoperating expense items already noted, nonpersonnel operating expenses totaled $639 million in 2007, up 5% from $611 million in 2006. The principal factors for that increase were the $23 million charge taken in 2007 related to the Visa litigation, the impact of net partial reversals of the valuation allowance for impairment of capitalized residential mortgage servicing rights, which totaled $4 million in 2007 and $10 million in 2006, and higher merchant and credit card costs and other real estate owned and foreclosure-related expenses, offset, in part, by the $18 million charitable contribution in 2006. As previously noted, during the fourth quarter of 2007, Visa completed a reorganization in contemplation of its IPO expected to occur in 2008. As part of that reorganization, M&amp;T Bank and other member banks of Visa received shares of common stock of Visa, Inc. Those banks are also obligated under various agreements with Visa to share in losses stemming from certain Covered Litigation. Although Visa is expected to set aside a portion of the proceeds from its IPO in an escrow account to fund any judgments or settlements that may arise out of the Covered Litigation, recent guidance from the SEC indicates that Visa member banks should record a liability for the fair value of the contingent obligation to Visa. The Covered Litigation includes the following:</w:t>
      </w:r>
    </w:p>
    <w:p>
      <w:pPr>
        <w:spacing w:after="0" w:line="3" w:lineRule="exact"/>
        <w:rPr>
          <w:sz w:val="20"/>
          <w:szCs w:val="20"/>
          <w:color w:val="auto"/>
        </w:rPr>
      </w:pPr>
    </w:p>
    <w:p>
      <w:pPr>
        <w:ind w:left="1480" w:hanging="187"/>
        <w:spacing w:after="0"/>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American Express litigation–Visa announced in November 2007 that this litigation was settled.</w:t>
      </w:r>
    </w:p>
    <w:p>
      <w:pPr>
        <w:spacing w:after="0" w:line="3" w:lineRule="exact"/>
        <w:rPr>
          <w:rFonts w:ascii="Arial" w:cs="Arial" w:eastAsia="Arial" w:hAnsi="Arial"/>
          <w:sz w:val="14"/>
          <w:szCs w:val="14"/>
          <w:color w:val="auto"/>
        </w:rPr>
      </w:pPr>
    </w:p>
    <w:p>
      <w:pPr>
        <w:ind w:left="1480" w:right="420" w:hanging="187"/>
        <w:spacing w:after="0" w:line="244" w:lineRule="auto"/>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Discover litigation–Visa recorded an accrual related to this litigation in accordance with SFAS No. 5, “Accounting for Contingencies,” in September 2007, although the case was not settled as of December 31, 2007.</w:t>
      </w:r>
    </w:p>
    <w:p>
      <w:pPr>
        <w:ind w:left="1480" w:right="460" w:hanging="187"/>
        <w:spacing w:after="0" w:line="244" w:lineRule="auto"/>
        <w:tabs>
          <w:tab w:leader="none" w:pos="1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Interchange and Attridge litigation, and any other litigation that challenges Visa’s reorganization or the consummation thereof. The status of such initiated litigation as of December 31, 2007 was open with discovery incomplete.</w:t>
      </w:r>
    </w:p>
    <w:p>
      <w:pPr>
        <w:spacing w:after="0" w:line="1"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Based on the facts and circumstances of each individual case as the Company understands them, a liability has been established by the Company in accordance with FASB Interpretation (“FIN”) No. 45, “Guarantor’s Accounting and Disclosure Requirements for Guarantees, including Indirect Guarantees of Indebtedness of Others.” The estimation of the Company’s proportionate share of any potential losses related to the Covered Litigation is extremely difficult and involves a great deal of judgment. Nevertheless, in the fourth quarter of 2007 the Company recorded a pre-tax charge of $23 million ($14 million after tax effect, or $.13 per diluted share) related to the Covered Litigation. In accordance with GAAP and consistent with the SEC guidance, the Company did not recognize any value for its common stock ownership interest in Visa, Inc.</w:t>
      </w:r>
    </w:p>
    <w:p>
      <w:pPr>
        <w:spacing w:after="0" w:line="1" w:lineRule="exact"/>
        <w:rPr>
          <w:sz w:val="20"/>
          <w:szCs w:val="20"/>
          <w:color w:val="auto"/>
        </w:rPr>
      </w:pPr>
    </w:p>
    <w:p>
      <w:pPr>
        <w:ind w:left="680" w:right="120" w:firstLine="599"/>
        <w:spacing w:after="0" w:line="249" w:lineRule="auto"/>
        <w:rPr>
          <w:sz w:val="20"/>
          <w:szCs w:val="20"/>
          <w:color w:val="auto"/>
        </w:rPr>
      </w:pPr>
      <w:r>
        <w:rPr>
          <w:rFonts w:ascii="Arial" w:cs="Arial" w:eastAsia="Arial" w:hAnsi="Arial"/>
          <w:sz w:val="14"/>
          <w:szCs w:val="14"/>
          <w:color w:val="auto"/>
        </w:rPr>
        <w:t>Nonpersonnel operating expenses were $606 million in 2005. The increase from 2005 to 2006 reflects the $18 million charitable contribution made in 2006. Exclusive of the contribution, nonpersonnel operating expenses in 2006 decreased $13 million or 2% from 2005, due largely to lower costs for professional services, furniture and equipment.</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Income Taxes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The provision for income taxes was $309 million in 2007, compared with $392 million in 2006 and $389 million in 2005. The effective tax rates were 32.1%, 31.9% and 33.2% in 2007, 2006 and 2005, respectively. The Company adopted FIN No. 48, “Accounting for Uncertainty in Income Taxes,” on January 1, 2007. That adoption did not have a material effect on the Company’s financial position or on its results of operations during 2007. The decline in the Company’s effective tax rate from 2005 to 2006 reflects higher levels of income that were exempt from tax in certain jurisdictions and a $3 million favorable impact from settlement of refund claims originally filed by an entity subsequently acquired by M&amp;T. The refunds received, consisting of income taxes and taxable interest, exceeded the amounts previously accrued for such items by $5 million (pre-tax).</w:t>
      </w:r>
    </w:p>
    <w:p>
      <w:pPr>
        <w:spacing w:after="0" w:line="2" w:lineRule="exact"/>
        <w:rPr>
          <w:sz w:val="20"/>
          <w:szCs w:val="20"/>
          <w:color w:val="auto"/>
        </w:rPr>
      </w:pPr>
    </w:p>
    <w:p>
      <w:pPr>
        <w:ind w:left="680" w:right="40" w:firstLine="599"/>
        <w:spacing w:after="0" w:line="302" w:lineRule="auto"/>
        <w:rPr>
          <w:sz w:val="20"/>
          <w:szCs w:val="20"/>
          <w:color w:val="auto"/>
        </w:rPr>
      </w:pPr>
      <w:r>
        <w:rPr>
          <w:rFonts w:ascii="Arial" w:cs="Arial" w:eastAsia="Arial" w:hAnsi="Arial"/>
          <w:sz w:val="12"/>
          <w:szCs w:val="12"/>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12 of Notes to Financial Statements.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International Activities</w:t>
      </w:r>
    </w:p>
    <w:p>
      <w:pPr>
        <w:spacing w:after="0" w:line="19" w:lineRule="exact"/>
        <w:rPr>
          <w:sz w:val="20"/>
          <w:szCs w:val="20"/>
          <w:color w:val="auto"/>
        </w:rPr>
      </w:pPr>
    </w:p>
    <w:p>
      <w:pPr>
        <w:ind w:left="680"/>
        <w:spacing w:after="0" w:line="278" w:lineRule="auto"/>
        <w:rPr>
          <w:sz w:val="20"/>
          <w:szCs w:val="20"/>
          <w:color w:val="auto"/>
        </w:rPr>
      </w:pPr>
      <w:r>
        <w:rPr>
          <w:rFonts w:ascii="Arial" w:cs="Arial" w:eastAsia="Arial" w:hAnsi="Arial"/>
          <w:sz w:val="13"/>
          <w:szCs w:val="13"/>
          <w:color w:val="auto"/>
        </w:rPr>
        <w:t>The Company’s net investment in international assets totaled $120 million at December 31, 2007 and $185 million at December 31, 2006. Such assets included $107 million and $176 million, respectively, of loans to foreign borrowers. Offshore deposits totaled $5.9 billion at December 31, 2007 and $5.4 billion at December 31, 2006. The Company uses such deposits to facilitate customer demand and as an alternative to short-term borrowings when the costs of such deposits seem reasonable.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Liquidity, Market Risk, and Interest Rate Sensitivity</w:t>
      </w:r>
    </w:p>
    <w:p>
      <w:pPr>
        <w:spacing w:after="0" w:line="19"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As a financial intermediary, the Company is exposed to various risks, including liquidity and market risk. Liquidity refers to the Company’s ability to ensure that sufficient cash flow and liquid assets are available to satisfy current and future financial obligations, including demands for loans and deposit withdrawals, funding operating costs, and other corporate purposes. Liquidity risk arises whenever the maturities of financial instruments included in assets and liabilities differ.</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Core deposits have historically been the most significant funding source for the Company, and are generated from a large base of consumer, corporate and institutional customers. That customer base has, over the past several years, become more geographically diverse as a result of acquisitions and expansion of the Company’s businesses. Nevertheless, in recent years the Company has faced increased competition in offering products and services from a large array of financial market participants, including banks, thrifts, mutual funds, securities dealers and others. Core deposits financed 54% of the Company’s earning assets at December 31, 2007, compared with 57% at each of December 31, 2006 and 2005.</w:t>
      </w:r>
    </w:p>
    <w:p>
      <w:pPr>
        <w:spacing w:after="0" w:line="2" w:lineRule="exact"/>
        <w:rPr>
          <w:sz w:val="20"/>
          <w:szCs w:val="20"/>
          <w:color w:val="auto"/>
        </w:rPr>
      </w:pPr>
    </w:p>
    <w:p>
      <w:pPr>
        <w:ind w:left="680" w:right="100" w:firstLine="599"/>
        <w:spacing w:after="0" w:line="285" w:lineRule="auto"/>
        <w:rPr>
          <w:sz w:val="20"/>
          <w:szCs w:val="20"/>
          <w:color w:val="auto"/>
        </w:rPr>
      </w:pPr>
      <w:r>
        <w:rPr>
          <w:rFonts w:ascii="Arial" w:cs="Arial" w:eastAsia="Arial" w:hAnsi="Arial"/>
          <w:sz w:val="12"/>
          <w:szCs w:val="12"/>
          <w:color w:val="auto"/>
        </w:rPr>
        <w:t>The Company supplements funding provided through core deposits with various short-term and long-term wholesale borrowings, including federal funds purchased and securities sold under agreements to repurchase, brokered certificates of deposit, offshore branch deposits and borrowings from the FHLBs and others. At December 31, 2007, M&amp;T Bank had short-term and long-term credit facilities with the FHLBs aggregating $8.2 billion. Outstanding borrowings under these credit facilities totaled</w:t>
      </w:r>
    </w:p>
    <w:p>
      <w:pPr>
        <w:spacing w:after="0" w:line="1"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$6.5 billion and $3.4 billion at December 31, 2007 and 2006, respectively. Such borrowings are secured by loans and investment securities. M&amp;T Bank and M&amp;T Bank, N.A. had available lines of credit with the Federal Reserve Bank of New York of approximately $4.5 billion at December 31, 2007. The amounts of those lines are dependent upon the balances of loans and securities pledged as collateral. There were no borrowings outstanding under these lines of credit at either December 31, 2007 or 2006. As an additional source of funding, M&amp;T issued $300 million of senior notes in May 2007. Those notes bear a fixed rate of interest of 5.375% and are due on May 24, 2012. The Company also obtains funding by maintaining a $500 million revolving asset-backed structured borrowing which is collateralized by approximately $557 million of automobile loans and related assets that have been transferred to a special purpose consolidated subsidiary of M&amp;T Bank. That subsidiary, the loans and the borrowing are included in the Company’s consolidated financial statements. As existing loans of the subsidiary pay down, monthly proceeds, after payment of certain fees and debt service costs, have been used in the past to obtain additional automobile loans from M&amp;T Bank or other subsidiaries to replenish the collateral and maintain the existing borrowing base. Additional information about this borrowing is included in note 18 of Notes to Financial Statements.</w:t>
      </w:r>
    </w:p>
    <w:p>
      <w:pPr>
        <w:spacing w:after="0" w:line="2"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The Company has issued subordinated capital notes from time to time to provide liquidity and enhance regulatory capital ratios. Such notes qualify for inclusion in the Company’s total capital as defined by federal regulators. M&amp;T Bank issued $400 million of subordinated notes in December 2007. The notes bear a fixed rate of interest of 6.625% and mature in December 2017. In December 2006, M&amp;T Bank issued $500 million of subordinated notes, which bear a fixed rate of interest of 5.629% for ten years and a floating rate thereafter, at a rate equal to three-month LIBOR plus .64%. The notes are redeemable at the Company’s option after the fixed-rate period ends, subject to prior regulatory approval. Additional information about the Company’s borrowings is included in note 9 of Notes to Financial Statements.</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Company has informal and sometimes reciprocal sources of funding available through various arrangements for unsecured short-term borrowings from a wide group of banks and other financial institutions. Short-term federal funds borrowings were $4.2 billion and $2.3 billion at December 31, 2007 and 2006, respectively. In general, those borrowings were unsecured and matured on the next business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line="268" w:lineRule="auto"/>
        <w:rPr>
          <w:sz w:val="20"/>
          <w:szCs w:val="20"/>
          <w:color w:val="auto"/>
        </w:rPr>
      </w:pPr>
      <w:r>
        <w:rPr>
          <w:rFonts w:ascii="Arial" w:cs="Arial" w:eastAsia="Arial" w:hAnsi="Arial"/>
          <w:sz w:val="13"/>
          <w:szCs w:val="13"/>
          <w:color w:val="auto"/>
        </w:rPr>
        <w:t>day. As already noted, offshore branch deposits and brokered certificates of deposit have been used by the Company as an alternative to short-term borrowings. Offshore branch deposits also generally mature on the next business day and totaled $5.9 billion and $5.4 billion at December 31, 2007 and 2006, respectively. At December 31, 2007, the weighted-average remaining term to maturity of brokered time deposits was 12 months. Certain of these brokered deposits have provisions that allow for early redemption. Information regarding such deposits is included under the heading “Net Interest Income/Lending and Funding Activities.”</w:t>
      </w:r>
    </w:p>
    <w:p>
      <w:pPr>
        <w:ind w:left="680" w:right="60" w:firstLine="599"/>
        <w:spacing w:after="0" w:line="268" w:lineRule="auto"/>
        <w:rPr>
          <w:sz w:val="20"/>
          <w:szCs w:val="20"/>
          <w:color w:val="auto"/>
        </w:rPr>
      </w:pPr>
      <w:r>
        <w:rPr>
          <w:rFonts w:ascii="Arial" w:cs="Arial" w:eastAsia="Arial" w:hAnsi="Arial"/>
          <w:sz w:val="13"/>
          <w:szCs w:val="13"/>
          <w:color w:val="auto"/>
        </w:rPr>
        <w:t>The Company’s ability to obtain funding from these or other sources could be negatively affected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13.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13</w:t>
      </w:r>
    </w:p>
    <w:p>
      <w:pPr>
        <w:spacing w:after="0" w:line="2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DEBT RATINGS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Moody’s</w:t>
            </w:r>
          </w:p>
        </w:tc>
        <w:tc>
          <w:tcPr>
            <w:tcW w:w="300" w:type="dxa"/>
            <w:vAlign w:val="bottom"/>
          </w:tcPr>
          <w:p>
            <w:pPr>
              <w:spacing w:after="0"/>
              <w:rPr>
                <w:sz w:val="10"/>
                <w:szCs w:val="10"/>
                <w:color w:val="auto"/>
              </w:rPr>
            </w:pPr>
          </w:p>
        </w:tc>
        <w:tc>
          <w:tcPr>
            <w:tcW w:w="700" w:type="dxa"/>
            <w:vAlign w:val="bottom"/>
          </w:tcPr>
          <w:p>
            <w:pPr>
              <w:jc w:val="right"/>
              <w:ind w:right="74"/>
              <w:spacing w:after="0"/>
              <w:rPr>
                <w:sz w:val="20"/>
                <w:szCs w:val="20"/>
                <w:color w:val="auto"/>
              </w:rPr>
            </w:pPr>
            <w:r>
              <w:rPr>
                <w:rFonts w:ascii="Arial" w:cs="Arial" w:eastAsia="Arial" w:hAnsi="Arial"/>
                <w:sz w:val="10"/>
                <w:szCs w:val="10"/>
                <w:b w:val="1"/>
                <w:bCs w:val="1"/>
                <w:color w:val="auto"/>
              </w:rPr>
              <w:t>Standard</w:t>
            </w:r>
          </w:p>
        </w:tc>
        <w:tc>
          <w:tcPr>
            <w:tcW w:w="300" w:type="dxa"/>
            <w:vAlign w:val="bottom"/>
          </w:tcPr>
          <w:p>
            <w:pPr>
              <w:spacing w:after="0"/>
              <w:rPr>
                <w:sz w:val="10"/>
                <w:szCs w:val="10"/>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Fitch</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0"/>
                <w:szCs w:val="10"/>
                <w:b w:val="1"/>
                <w:bCs w:val="1"/>
                <w:color w:val="auto"/>
              </w:rPr>
              <w:t>and Poor’s</w:t>
            </w:r>
          </w:p>
        </w:tc>
        <w:tc>
          <w:tcPr>
            <w:tcW w:w="30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M&amp;T Bank Corporation</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tcPr>
          <w:p>
            <w:pPr>
              <w:ind w:left="120"/>
              <w:spacing w:after="0"/>
              <w:rPr>
                <w:sz w:val="20"/>
                <w:szCs w:val="20"/>
                <w:color w:val="auto"/>
              </w:rPr>
            </w:pPr>
            <w:r>
              <w:rPr>
                <w:rFonts w:ascii="Arial" w:cs="Arial" w:eastAsia="Arial" w:hAnsi="Arial"/>
                <w:sz w:val="14"/>
                <w:szCs w:val="14"/>
                <w:color w:val="auto"/>
              </w:rPr>
              <w:t>Senior debt</w:t>
            </w:r>
          </w:p>
        </w:tc>
        <w:tc>
          <w:tcPr>
            <w:tcW w:w="700" w:type="dxa"/>
            <w:vAlign w:val="bottom"/>
          </w:tcPr>
          <w:p>
            <w:pPr>
              <w:jc w:val="right"/>
              <w:spacing w:after="0"/>
              <w:rPr>
                <w:sz w:val="20"/>
                <w:szCs w:val="20"/>
                <w:color w:val="auto"/>
              </w:rPr>
            </w:pPr>
            <w:r>
              <w:rPr>
                <w:rFonts w:ascii="Arial" w:cs="Arial" w:eastAsia="Arial" w:hAnsi="Arial"/>
                <w:sz w:val="14"/>
                <w:szCs w:val="14"/>
                <w:color w:val="auto"/>
              </w:rPr>
              <w:t>A2</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Subordinated debt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A3</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BBB+</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M&amp;T Bank</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deposits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Prime-1</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A-1</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tcPr>
          <w:p>
            <w:pPr>
              <w:ind w:left="120"/>
              <w:spacing w:after="0"/>
              <w:rPr>
                <w:sz w:val="20"/>
                <w:szCs w:val="20"/>
                <w:color w:val="auto"/>
              </w:rPr>
            </w:pPr>
            <w:r>
              <w:rPr>
                <w:rFonts w:ascii="Arial" w:cs="Arial" w:eastAsia="Arial" w:hAnsi="Arial"/>
                <w:sz w:val="14"/>
                <w:szCs w:val="14"/>
                <w:color w:val="auto"/>
              </w:rPr>
              <w:t>Long-term deposits</w:t>
            </w:r>
          </w:p>
        </w:tc>
        <w:tc>
          <w:tcPr>
            <w:tcW w:w="700" w:type="dxa"/>
            <w:vAlign w:val="bottom"/>
          </w:tcPr>
          <w:p>
            <w:pPr>
              <w:jc w:val="right"/>
              <w:spacing w:after="0"/>
              <w:rPr>
                <w:sz w:val="20"/>
                <w:szCs w:val="20"/>
                <w:color w:val="auto"/>
              </w:rPr>
            </w:pPr>
            <w:r>
              <w:rPr>
                <w:rFonts w:ascii="Arial" w:cs="Arial" w:eastAsia="Arial" w:hAnsi="Arial"/>
                <w:sz w:val="14"/>
                <w:szCs w:val="14"/>
                <w:color w:val="auto"/>
              </w:rPr>
              <w:t>A1</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debt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A1</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ind w:left="120"/>
              <w:spacing w:after="0"/>
              <w:rPr>
                <w:sz w:val="20"/>
                <w:szCs w:val="20"/>
                <w:color w:val="auto"/>
              </w:rPr>
            </w:pPr>
            <w:r>
              <w:rPr>
                <w:rFonts w:ascii="Arial" w:cs="Arial" w:eastAsia="Arial" w:hAnsi="Arial"/>
                <w:sz w:val="14"/>
                <w:szCs w:val="14"/>
                <w:color w:val="auto"/>
              </w:rPr>
              <w:t>Subordinated debt</w:t>
            </w:r>
          </w:p>
        </w:tc>
        <w:tc>
          <w:tcPr>
            <w:tcW w:w="700" w:type="dxa"/>
            <w:vAlign w:val="bottom"/>
          </w:tcPr>
          <w:p>
            <w:pPr>
              <w:jc w:val="right"/>
              <w:spacing w:after="0"/>
              <w:rPr>
                <w:sz w:val="20"/>
                <w:szCs w:val="20"/>
                <w:color w:val="auto"/>
              </w:rPr>
            </w:pPr>
            <w:r>
              <w:rPr>
                <w:rFonts w:ascii="Arial" w:cs="Arial" w:eastAsia="Arial" w:hAnsi="Arial"/>
                <w:sz w:val="14"/>
                <w:szCs w:val="14"/>
                <w:color w:val="auto"/>
              </w:rPr>
              <w:t>A2</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right="20" w:firstLine="599"/>
        <w:spacing w:after="0" w:line="250" w:lineRule="auto"/>
        <w:rPr>
          <w:sz w:val="20"/>
          <w:szCs w:val="20"/>
          <w:color w:val="auto"/>
        </w:rPr>
      </w:pPr>
      <w:r>
        <w:rPr>
          <w:rFonts w:ascii="Arial" w:cs="Arial" w:eastAsia="Arial" w:hAnsi="Arial"/>
          <w:sz w:val="14"/>
          <w:szCs w:val="14"/>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$63 million and $6 million at December 31, 2007 and 2006, respectively. At both December 31, 2007 and 2006, the VRDBs outstanding backed by M&amp;T Bank letters of credit totaled $1.7 billion. M&amp;T Bank also serves as remarketing agent for most of those bonds.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14</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MATURITY DISTRIBUTION OF SELECTED LOANS(a)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3860" w:type="dxa"/>
            <w:vAlign w:val="bottom"/>
            <w:gridSpan w:val="3"/>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54"/>
              <w:spacing w:after="0"/>
              <w:rPr>
                <w:sz w:val="20"/>
                <w:szCs w:val="20"/>
                <w:color w:val="auto"/>
              </w:rPr>
            </w:pPr>
            <w:r>
              <w:rPr>
                <w:rFonts w:ascii="Arial" w:cs="Arial" w:eastAsia="Arial" w:hAnsi="Arial"/>
                <w:sz w:val="10"/>
                <w:szCs w:val="10"/>
                <w:b w:val="1"/>
                <w:bCs w:val="1"/>
                <w:color w:val="auto"/>
              </w:rPr>
              <w:t>Demand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37"/>
              <w:spacing w:after="0"/>
              <w:rPr>
                <w:sz w:val="20"/>
                <w:szCs w:val="20"/>
                <w:color w:val="auto"/>
              </w:rPr>
            </w:pPr>
            <w:r>
              <w:rPr>
                <w:rFonts w:ascii="Arial" w:cs="Arial" w:eastAsia="Arial" w:hAnsi="Arial"/>
                <w:sz w:val="10"/>
                <w:szCs w:val="10"/>
                <w:b w:val="1"/>
                <w:bCs w:val="1"/>
                <w:color w:val="auto"/>
              </w:rPr>
              <w:t>2008</w:t>
            </w:r>
          </w:p>
        </w:tc>
        <w:tc>
          <w:tcPr>
            <w:tcW w:w="4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Pr>
          <w:p>
            <w:pPr>
              <w:spacing w:after="0"/>
              <w:rPr>
                <w:sz w:val="11"/>
                <w:szCs w:val="11"/>
                <w:color w:val="auto"/>
              </w:rPr>
            </w:pPr>
          </w:p>
        </w:tc>
        <w:tc>
          <w:tcPr>
            <w:tcW w:w="640" w:type="dxa"/>
            <w:vAlign w:val="bottom"/>
          </w:tcPr>
          <w:p>
            <w:pPr>
              <w:jc w:val="right"/>
              <w:ind w:right="112"/>
              <w:spacing w:after="0"/>
              <w:rPr>
                <w:sz w:val="20"/>
                <w:szCs w:val="20"/>
                <w:color w:val="auto"/>
              </w:rPr>
            </w:pPr>
            <w:r>
              <w:rPr>
                <w:rFonts w:ascii="Arial" w:cs="Arial" w:eastAsia="Arial" w:hAnsi="Arial"/>
                <w:sz w:val="10"/>
                <w:szCs w:val="10"/>
                <w:b w:val="1"/>
                <w:bCs w:val="1"/>
                <w:color w:val="auto"/>
                <w:w w:val="91"/>
              </w:rPr>
              <w:t>2009-2012</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rPr>
              <w:t>After 2012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2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5,360,128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982,595</w:t>
            </w:r>
          </w:p>
        </w:tc>
        <w:tc>
          <w:tcPr>
            <w:tcW w:w="54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4,481,515</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867,810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color w:val="auto"/>
              </w:rPr>
              <w:t>Real estate — construction</w:t>
            </w: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691,309</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1,924,997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1,313,390</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6,051,437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2,907,592</w:t>
            </w:r>
          </w:p>
        </w:tc>
        <w:tc>
          <w:tcPr>
            <w:tcW w:w="54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5,794,905</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1,012,549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60" w:type="dxa"/>
            <w:vAlign w:val="bottom"/>
            <w:gridSpan w:val="3"/>
          </w:tcPr>
          <w:p>
            <w:pPr>
              <w:spacing w:after="0"/>
              <w:rPr>
                <w:sz w:val="20"/>
                <w:szCs w:val="20"/>
                <w:color w:val="auto"/>
              </w:rPr>
            </w:pPr>
            <w:r>
              <w:rPr>
                <w:rFonts w:ascii="Arial" w:cs="Arial" w:eastAsia="Arial" w:hAnsi="Arial"/>
                <w:sz w:val="14"/>
                <w:szCs w:val="14"/>
                <w:color w:val="auto"/>
              </w:rPr>
              <w:t>Floating or adjustable interest rates</w:t>
            </w:r>
          </w:p>
        </w:tc>
        <w:tc>
          <w:tcPr>
            <w:tcW w:w="16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4,697,696</w:t>
            </w:r>
          </w:p>
        </w:tc>
        <w:tc>
          <w:tcPr>
            <w:tcW w:w="400" w:type="dxa"/>
            <w:vAlign w:val="bottom"/>
          </w:tcPr>
          <w:p>
            <w:pPr>
              <w:spacing w:after="0"/>
              <w:rPr>
                <w:sz w:val="15"/>
                <w:szCs w:val="15"/>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657,673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or predetermined interest rates</w:t>
            </w:r>
          </w:p>
        </w:tc>
        <w:tc>
          <w:tcPr>
            <w:tcW w:w="1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1,097,209</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354,876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5,794,905</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1,012,549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The data do not include nonaccrual loans.</w:t>
      </w:r>
    </w:p>
    <w:p>
      <w:pPr>
        <w:spacing w:after="0" w:line="88" w:lineRule="exact"/>
        <w:rPr>
          <w:sz w:val="20"/>
          <w:szCs w:val="20"/>
          <w:color w:val="auto"/>
        </w:rPr>
      </w:pPr>
    </w:p>
    <w:p>
      <w:pPr>
        <w:ind w:left="680" w:right="100" w:firstLine="599"/>
        <w:spacing w:after="0" w:line="250" w:lineRule="auto"/>
        <w:rPr>
          <w:sz w:val="20"/>
          <w:szCs w:val="20"/>
          <w:color w:val="auto"/>
        </w:rPr>
      </w:pPr>
      <w:r>
        <w:rPr>
          <w:rFonts w:ascii="Arial" w:cs="Arial" w:eastAsia="Arial" w:hAnsi="Arial"/>
          <w:sz w:val="14"/>
          <w:szCs w:val="14"/>
          <w:color w:val="auto"/>
        </w:rPr>
        <w:t>The Company enters into contractual obligations in the normal course of business which require future cash payments. The contractual amounts and timing of those payments as of December 31, 2007 are summarized in table 15.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20 of Notes to Financial Statements. Table 15 summarizes the Company’s other commitments as of December 31, 2007 and the timing of the expiration of such commitments.</w:t>
      </w:r>
    </w:p>
    <w:p>
      <w:pPr>
        <w:spacing w:after="0" w:line="138" w:lineRule="exact"/>
        <w:rPr>
          <w:sz w:val="20"/>
          <w:szCs w:val="20"/>
          <w:color w:val="auto"/>
        </w:rPr>
      </w:pPr>
    </w:p>
    <w:p>
      <w:pPr>
        <w:ind w:left="10560"/>
        <w:spacing w:after="0"/>
        <w:rPr>
          <w:sz w:val="20"/>
          <w:szCs w:val="20"/>
          <w:color w:val="auto"/>
        </w:rPr>
      </w:pPr>
      <w:r>
        <w:rPr>
          <w:rFonts w:ascii="Arial" w:cs="Arial" w:eastAsia="Arial" w:hAnsi="Arial"/>
          <w:sz w:val="8"/>
          <w:szCs w:val="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15</w:t>
      </w:r>
    </w:p>
    <w:p>
      <w:pPr>
        <w:spacing w:after="0" w:line="244"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41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b w:val="1"/>
                <w:bCs w:val="1"/>
                <w:color w:val="auto"/>
                <w:w w:val="94"/>
              </w:rPr>
              <w:t>Less Than One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b w:val="1"/>
                <w:bCs w:val="1"/>
                <w:color w:val="auto"/>
                <w:w w:val="93"/>
              </w:rPr>
              <w:t>One to Three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Three to Five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Arial" w:cs="Arial" w:eastAsia="Arial" w:hAnsi="Arial"/>
                <w:sz w:val="10"/>
                <w:szCs w:val="10"/>
                <w:b w:val="1"/>
                <w:bCs w:val="1"/>
                <w:color w:val="auto"/>
              </w:rPr>
              <w:t>Over Five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Year</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Years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Payments due for contractual obligations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Time deposits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9,482,894</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860,384</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252,362</w:t>
            </w:r>
          </w:p>
        </w:tc>
        <w:tc>
          <w:tcPr>
            <w:tcW w:w="220" w:type="dxa"/>
            <w:vAlign w:val="bottom"/>
          </w:tcPr>
          <w:p>
            <w:pPr>
              <w:spacing w:after="0"/>
              <w:rPr>
                <w:sz w:val="14"/>
                <w:szCs w:val="14"/>
                <w:color w:val="auto"/>
              </w:rPr>
            </w:pP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72,941</w:t>
            </w:r>
          </w:p>
        </w:tc>
        <w:tc>
          <w:tcPr>
            <w:tcW w:w="5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10,668,581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foreign office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5,856,427</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5,856,427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w w:val="95"/>
              </w:rPr>
              <w:t>Federal funds purchased and agreements to repurchase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4,351,313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4,351,313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short-term borrowings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1,470,584</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Long-term borrowings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2,233,423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2,468,142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1,762,869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3,853,511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10,317,945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59,070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105,062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75,564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115,853</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29,493</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20,226</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30,205</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23,483,204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3,453,814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2,101,304</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4,072,510</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33,110,832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rPr>
                <w:sz w:val="20"/>
                <w:szCs w:val="20"/>
                <w:color w:val="auto"/>
              </w:rPr>
            </w:pPr>
            <w:r>
              <w:rPr>
                <w:rFonts w:ascii="Arial" w:cs="Arial" w:eastAsia="Arial" w:hAnsi="Arial"/>
                <w:sz w:val="14"/>
                <w:szCs w:val="14"/>
                <w:color w:val="auto"/>
              </w:rPr>
              <w:t>Other commitments</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to extend credit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6,669,477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3,399,146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2,572,243</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4,528,737</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17,169,603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Standby letters of credit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1,581,645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1,109,405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685,070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315,851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3,691,971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letters of credit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Financial guarantees and indemnification contracts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47,023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187,586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306,872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777,252</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1,318,733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to sell real estate loans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946,457</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946,457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9,265,865</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4,708,219</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3,564,945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5,621,840</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23,160,869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40" w:firstLine="599"/>
        <w:spacing w:after="0" w:line="248" w:lineRule="auto"/>
        <w:rPr>
          <w:sz w:val="20"/>
          <w:szCs w:val="20"/>
          <w:color w:val="auto"/>
        </w:rPr>
      </w:pPr>
      <w:r>
        <w:rPr>
          <w:rFonts w:ascii="Arial" w:cs="Arial" w:eastAsia="Arial" w:hAnsi="Arial"/>
          <w:sz w:val="14"/>
          <w:szCs w:val="14"/>
          <w:color w:val="auto"/>
        </w:rPr>
        <w:t>M&amp;T’s primary source of funds to pay for operating expenses, shareholder dividends and common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$296 million at December 31, 2007 was available for payment of dividends to M&amp;T from banking subsidiaries without prior regulatory approval. These historic sources of cash flow have been augmented in the past by the issuance of trust preferred securities and in the second quarter of 2007 by the issuance of $300 million of senior notes payable. Information regarding trust preferred securities, the related junior subordinated debentures and the senior notes is included in note 9 of Notes to Financial Statements. M&amp;T also maintains a $30 million line of credit with an unaffiliated commercial bank, of which there were no borrowings outstanding at December 31, 2007. A similar $30 million line of credit was entirely available for borrowing at December 31, 2006.</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16</w:t>
      </w:r>
    </w:p>
    <w:p>
      <w:pPr>
        <w:spacing w:after="0" w:line="244"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MATURITY AND TAXABLE-EQUIVALENT YIELD OF INVESTMENT SECURITIES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376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840" w:type="dxa"/>
            <w:vAlign w:val="bottom"/>
          </w:tcPr>
          <w:p>
            <w:pPr>
              <w:spacing w:after="0"/>
              <w:rPr>
                <w:sz w:val="10"/>
                <w:szCs w:val="10"/>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One Year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5"/>
              </w:rPr>
              <w:t>One to Five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0"/>
              </w:rPr>
              <w:t>Five to Ten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2"/>
              </w:rPr>
              <w:t>Over Ten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76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89"/>
              </w:rPr>
              <w:t>or Less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Years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Years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Years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right"/>
              <w:spacing w:after="0"/>
              <w:rPr>
                <w:sz w:val="20"/>
                <w:szCs w:val="20"/>
                <w:color w:val="auto"/>
              </w:rPr>
            </w:pPr>
            <w:r>
              <w:rPr>
                <w:rFonts w:ascii="Arial" w:cs="Arial" w:eastAsia="Arial" w:hAnsi="Arial"/>
                <w:sz w:val="10"/>
                <w:szCs w:val="10"/>
                <w:b w:val="1"/>
                <w:bCs w:val="1"/>
                <w:color w:val="auto"/>
                <w:w w:val="83"/>
              </w:rPr>
              <w:t>(Dollars in thousands)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Investment securities available for sale(a)</w:t>
            </w: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U.S. Treasury and federal agencies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9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122,639</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339,309</w:t>
            </w: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163,560</w:t>
            </w:r>
          </w:p>
        </w:tc>
        <w:tc>
          <w:tcPr>
            <w:tcW w:w="18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7,462</w:t>
            </w:r>
          </w:p>
        </w:tc>
        <w:tc>
          <w:tcPr>
            <w:tcW w:w="18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632,970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3.40%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4.27%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5.70%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6.13%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11,188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35,563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26,003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12,803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85,557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5.54%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3.94%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6.97%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6.85%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5.50%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Mortgage-backed securities(b)</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Government issued or guaranteed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197,777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771,108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704,980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1,233,806</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w w:val="98"/>
              </w:rPr>
              <w:t>2,907,671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2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4.40%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4.53%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4.82%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5.06%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4.82%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Privately issued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2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118,187</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367,680</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485,316</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3,177,033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8"/>
              </w:rPr>
              <w:t>4,148,216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3.99%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5.40%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5.17%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5.12%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Other debt securities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6,972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4,976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6,756</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192,749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211,453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4.72%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4.61%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6.93%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6.75%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Equity securities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393,302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Total investment securities available for sale</w:t>
            </w:r>
          </w:p>
        </w:tc>
        <w:tc>
          <w:tcPr>
            <w:tcW w:w="18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456,763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1,518,636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1,386,615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4,623,853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w w:val="98"/>
              </w:rPr>
              <w:t>8,379,169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4.06%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4.68%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5.19%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5.06%</w:t>
            </w:r>
          </w:p>
        </w:tc>
        <w:tc>
          <w:tcPr>
            <w:tcW w:w="0" w:type="dxa"/>
            <w:vAlign w:val="bottom"/>
          </w:tcPr>
          <w:p>
            <w:pPr>
              <w:spacing w:after="0"/>
              <w:rPr>
                <w:sz w:val="1"/>
                <w:szCs w:val="1"/>
                <w:color w:val="auto"/>
              </w:rPr>
            </w:pPr>
          </w:p>
        </w:tc>
      </w:tr>
      <w:tr>
        <w:trPr>
          <w:trHeight w:val="105"/>
        </w:trPr>
        <w:tc>
          <w:tcPr>
            <w:tcW w:w="3760" w:type="dxa"/>
            <w:vAlign w:val="bottom"/>
            <w:gridSpan w:val="3"/>
          </w:tcPr>
          <w:p>
            <w:pPr>
              <w:spacing w:after="0" w:line="106" w:lineRule="exact"/>
              <w:rPr>
                <w:sz w:val="20"/>
                <w:szCs w:val="20"/>
                <w:color w:val="auto"/>
              </w:rPr>
            </w:pPr>
            <w:r>
              <w:rPr>
                <w:rFonts w:ascii="Arial" w:cs="Arial" w:eastAsia="Arial" w:hAnsi="Arial"/>
                <w:sz w:val="10"/>
                <w:szCs w:val="10"/>
                <w:i w:val="1"/>
                <w:iCs w:val="1"/>
                <w:color w:val="auto"/>
              </w:rPr>
              <w:t>Investment securities held to maturity</w:t>
            </w:r>
          </w:p>
        </w:tc>
        <w:tc>
          <w:tcPr>
            <w:tcW w:w="1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46,212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9,536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10,408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1,518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67,674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5.42%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6.76%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8.91%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7.21%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6.18%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Other debt securities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92</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412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8,263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8,767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6.22%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8.28%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5.16%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Total investment securities held to maturity</w:t>
            </w:r>
          </w:p>
        </w:tc>
        <w:tc>
          <w:tcPr>
            <w:tcW w:w="18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46,304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9,536</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10,820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9,781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76,441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5.42%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6.76%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8.88%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5.48%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6.08%</w:t>
            </w:r>
          </w:p>
        </w:tc>
        <w:tc>
          <w:tcPr>
            <w:tcW w:w="0" w:type="dxa"/>
            <w:vAlign w:val="bottom"/>
          </w:tcPr>
          <w:p>
            <w:pPr>
              <w:spacing w:after="0"/>
              <w:rPr>
                <w:sz w:val="1"/>
                <w:szCs w:val="1"/>
                <w:color w:val="auto"/>
              </w:rPr>
            </w:pPr>
          </w:p>
        </w:tc>
      </w:tr>
      <w:tr>
        <w:trPr>
          <w:trHeight w:val="105"/>
        </w:trPr>
        <w:tc>
          <w:tcPr>
            <w:tcW w:w="3760" w:type="dxa"/>
            <w:vAlign w:val="bottom"/>
            <w:gridSpan w:val="3"/>
          </w:tcPr>
          <w:p>
            <w:pPr>
              <w:spacing w:after="0" w:line="106" w:lineRule="exact"/>
              <w:rPr>
                <w:sz w:val="20"/>
                <w:szCs w:val="20"/>
                <w:color w:val="auto"/>
              </w:rPr>
            </w:pPr>
            <w:r>
              <w:rPr>
                <w:rFonts w:ascii="Arial" w:cs="Arial" w:eastAsia="Arial" w:hAnsi="Arial"/>
                <w:sz w:val="10"/>
                <w:szCs w:val="10"/>
                <w:i w:val="1"/>
                <w:iCs w:val="1"/>
                <w:color w:val="auto"/>
              </w:rPr>
              <w:t>Other investment securities</w:t>
            </w:r>
          </w:p>
        </w:tc>
        <w:tc>
          <w:tcPr>
            <w:tcW w:w="18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506,388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Total investment securities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9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503,067</w:t>
            </w:r>
          </w:p>
        </w:tc>
        <w:tc>
          <w:tcPr>
            <w:tcW w:w="200" w:type="dxa"/>
            <w:vAlign w:val="bottom"/>
          </w:tcPr>
          <w:p>
            <w:pPr>
              <w:spacing w:after="0"/>
              <w:rPr>
                <w:sz w:val="9"/>
                <w:szCs w:val="9"/>
                <w:color w:val="auto"/>
              </w:rPr>
            </w:pPr>
          </w:p>
        </w:tc>
        <w:tc>
          <w:tcPr>
            <w:tcW w:w="1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1,528,172</w:t>
            </w:r>
          </w:p>
        </w:tc>
        <w:tc>
          <w:tcPr>
            <w:tcW w:w="100" w:type="dxa"/>
            <w:vAlign w:val="bottom"/>
          </w:tcPr>
          <w:p>
            <w:pPr>
              <w:spacing w:after="0"/>
              <w:rPr>
                <w:sz w:val="9"/>
                <w:szCs w:val="9"/>
                <w:color w:val="auto"/>
              </w:rPr>
            </w:pPr>
          </w:p>
        </w:tc>
        <w:tc>
          <w:tcPr>
            <w:tcW w:w="2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1,397,435</w:t>
            </w:r>
          </w:p>
        </w:tc>
        <w:tc>
          <w:tcPr>
            <w:tcW w:w="180" w:type="dxa"/>
            <w:vAlign w:val="bottom"/>
          </w:tcPr>
          <w:p>
            <w:pPr>
              <w:spacing w:after="0"/>
              <w:rPr>
                <w:sz w:val="9"/>
                <w:szCs w:val="9"/>
                <w:color w:val="auto"/>
              </w:rPr>
            </w:pPr>
          </w:p>
        </w:tc>
        <w:tc>
          <w:tcPr>
            <w:tcW w:w="1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4,633,634</w:t>
            </w:r>
          </w:p>
        </w:tc>
        <w:tc>
          <w:tcPr>
            <w:tcW w:w="180" w:type="dxa"/>
            <w:vAlign w:val="bottom"/>
          </w:tcPr>
          <w:p>
            <w:pPr>
              <w:spacing w:after="0"/>
              <w:rPr>
                <w:sz w:val="9"/>
                <w:szCs w:val="9"/>
                <w:color w:val="auto"/>
              </w:rPr>
            </w:pPr>
          </w:p>
        </w:tc>
        <w:tc>
          <w:tcPr>
            <w:tcW w:w="2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w w:val="98"/>
              </w:rPr>
              <w:t>8,961,998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4.18%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4.69%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5.12%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4.78%</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80" w:hanging="239"/>
        <w:spacing w:after="0"/>
        <w:tabs>
          <w:tab w:leader="none" w:pos="11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Investment securities available for sale are presented at estimated fair value. Yields on such securities are based on amortized cost.</w:t>
      </w:r>
    </w:p>
    <w:p>
      <w:pPr>
        <w:spacing w:after="0" w:line="43" w:lineRule="exact"/>
        <w:rPr>
          <w:rFonts w:ascii="Arial" w:cs="Arial" w:eastAsia="Arial" w:hAnsi="Arial"/>
          <w:sz w:val="13"/>
          <w:szCs w:val="13"/>
          <w:i w:val="1"/>
          <w:iCs w:val="1"/>
          <w:color w:val="auto"/>
        </w:rPr>
      </w:pPr>
    </w:p>
    <w:p>
      <w:pPr>
        <w:ind w:left="1180" w:right="280" w:hanging="239"/>
        <w:spacing w:after="0" w:line="268" w:lineRule="auto"/>
        <w:tabs>
          <w:tab w:leader="none" w:pos="11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Maturities are reflected based upon contractual payments due. Actual maturities are expected to be significantly shorter as a result of loan repayments in the underlying mortgage pools.</w:t>
      </w:r>
    </w:p>
    <w:p>
      <w:pPr>
        <w:spacing w:after="0" w:line="58" w:lineRule="exact"/>
        <w:rPr>
          <w:sz w:val="20"/>
          <w:szCs w:val="20"/>
          <w:color w:val="auto"/>
        </w:rPr>
      </w:pPr>
    </w:p>
    <w:p>
      <w:pPr>
        <w:ind w:left="680" w:right="100" w:firstLine="599"/>
        <w:spacing w:after="0" w:line="272" w:lineRule="auto"/>
        <w:rPr>
          <w:sz w:val="20"/>
          <w:szCs w:val="20"/>
          <w:color w:val="auto"/>
        </w:rPr>
      </w:pPr>
      <w:r>
        <w:rPr>
          <w:rFonts w:ascii="Arial" w:cs="Arial" w:eastAsia="Arial" w:hAnsi="Arial"/>
          <w:sz w:val="14"/>
          <w:szCs w:val="14"/>
          <w:color w:val="auto"/>
        </w:rPr>
        <w:t>Management closely monitors the Company’s liquidity position for compliance with internal policies and believes that available sources of liquidity are adequate to meet funding needs anticipated in the normal course of business. Management does not anticipate engaging in any activities, either</w:t>
      </w:r>
    </w:p>
    <w:p>
      <w:pPr>
        <w:spacing w:after="0" w:line="123" w:lineRule="exact"/>
        <w:rPr>
          <w:sz w:val="20"/>
          <w:szCs w:val="20"/>
          <w:color w:val="auto"/>
        </w:rPr>
      </w:pPr>
    </w:p>
    <w:p>
      <w:pPr>
        <w:ind w:left="10560"/>
        <w:spacing w:after="0"/>
        <w:rPr>
          <w:sz w:val="20"/>
          <w:szCs w:val="20"/>
          <w:color w:val="auto"/>
        </w:rPr>
      </w:pPr>
      <w:r>
        <w:rPr>
          <w:rFonts w:ascii="Arial" w:cs="Arial" w:eastAsia="Arial" w:hAnsi="Arial"/>
          <w:sz w:val="8"/>
          <w:szCs w:val="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180"/>
        <w:spacing w:after="0" w:line="253" w:lineRule="auto"/>
        <w:rPr>
          <w:sz w:val="20"/>
          <w:szCs w:val="20"/>
          <w:color w:val="auto"/>
        </w:rPr>
      </w:pPr>
      <w:r>
        <w:rPr>
          <w:rFonts w:ascii="Arial" w:cs="Arial" w:eastAsia="Arial" w:hAnsi="Arial"/>
          <w:sz w:val="14"/>
          <w:szCs w:val="14"/>
          <w:color w:val="auto"/>
        </w:rPr>
        <w:t>currently or in the long-term, for which adequate funding would not be available and would therefore result in a significant strain on liquidity at either M&amp;T or its subsidiary banks.</w:t>
      </w:r>
    </w:p>
    <w:p>
      <w:pPr>
        <w:spacing w:after="0" w:line="1" w:lineRule="exact"/>
        <w:rPr>
          <w:sz w:val="20"/>
          <w:szCs w:val="20"/>
          <w:color w:val="auto"/>
        </w:rPr>
      </w:pPr>
    </w:p>
    <w:p>
      <w:pPr>
        <w:ind w:left="680" w:right="20" w:firstLine="599"/>
        <w:spacing w:after="0" w:line="290" w:lineRule="auto"/>
        <w:rPr>
          <w:sz w:val="20"/>
          <w:szCs w:val="20"/>
          <w:color w:val="auto"/>
        </w:rPr>
      </w:pPr>
      <w:r>
        <w:rPr>
          <w:rFonts w:ascii="Arial" w:cs="Arial" w:eastAsia="Arial" w:hAnsi="Arial"/>
          <w:sz w:val="12"/>
          <w:szCs w:val="12"/>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2007, the aggregate notional amount of interest rate swap agreements entered into for interest rate risk management purposes was $2.3 billion. Information about interest rate swap agreements entered into for interest rate risk management purposes is included herein under the heading “Net Interest Income/Lending and Funding Activities” and in note 17 of Notes to Financial Statements.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17</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1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MATURITY OF DOMESTIC CERTIFICATES OF DEPOSIT AND TIME DEPOSITS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100" w:type="dxa"/>
            <w:vAlign w:val="bottom"/>
            <w:gridSpan w:val="2"/>
          </w:tcPr>
          <w:p>
            <w:pPr>
              <w:jc w:val="right"/>
              <w:ind w:right="2380"/>
              <w:spacing w:after="0"/>
              <w:rPr>
                <w:sz w:val="20"/>
                <w:szCs w:val="20"/>
                <w:color w:val="auto"/>
              </w:rPr>
            </w:pPr>
            <w:r>
              <w:rPr>
                <w:rFonts w:ascii="Arial" w:cs="Arial" w:eastAsia="Arial" w:hAnsi="Arial"/>
                <w:sz w:val="14"/>
                <w:szCs w:val="14"/>
                <w:b w:val="1"/>
                <w:bCs w:val="1"/>
                <w:color w:val="auto"/>
              </w:rPr>
              <w:t>WITH BALANCES OF $100,000 OR MORE</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2007</w:t>
            </w:r>
          </w:p>
        </w:tc>
      </w:tr>
      <w:tr>
        <w:trPr>
          <w:trHeight w:val="123"/>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Under 3 months</w:t>
            </w:r>
          </w:p>
        </w:tc>
        <w:tc>
          <w:tcPr>
            <w:tcW w:w="7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1,855,894</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3 to 6 months</w:t>
            </w: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1,096,615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6 to 12 months</w:t>
            </w:r>
          </w:p>
        </w:tc>
        <w:tc>
          <w:tcPr>
            <w:tcW w:w="6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1,259,630</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Over 12 months</w:t>
            </w:r>
          </w:p>
        </w:tc>
        <w:tc>
          <w:tcPr>
            <w:tcW w:w="6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174,356</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7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4,386,495</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4" w:lineRule="exact"/>
        <w:rPr>
          <w:sz w:val="20"/>
          <w:szCs w:val="20"/>
          <w:color w:val="auto"/>
        </w:rPr>
      </w:pPr>
    </w:p>
    <w:p>
      <w:pPr>
        <w:ind w:left="680" w:firstLine="599"/>
        <w:spacing w:after="0" w:line="294" w:lineRule="auto"/>
        <w:rPr>
          <w:sz w:val="20"/>
          <w:szCs w:val="20"/>
          <w:color w:val="auto"/>
        </w:rPr>
      </w:pPr>
      <w:r>
        <w:rPr>
          <w:rFonts w:ascii="Arial" w:cs="Arial" w:eastAsia="Arial" w:hAnsi="Arial"/>
          <w:sz w:val="12"/>
          <w:szCs w:val="12"/>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earning assets and interest-bearing liabilities, and adding to, modifying or terminating existing interest rate swap agreements or other financial instruments used for interest rate risk management purposes.</w:t>
      </w:r>
    </w:p>
    <w:p>
      <w:pPr>
        <w:spacing w:after="0" w:line="1" w:lineRule="exact"/>
        <w:rPr>
          <w:sz w:val="20"/>
          <w:szCs w:val="20"/>
          <w:color w:val="auto"/>
        </w:rPr>
      </w:pPr>
    </w:p>
    <w:p>
      <w:pPr>
        <w:ind w:left="680" w:right="500" w:firstLine="599"/>
        <w:spacing w:after="0" w:line="255" w:lineRule="auto"/>
        <w:rPr>
          <w:sz w:val="20"/>
          <w:szCs w:val="20"/>
          <w:color w:val="auto"/>
        </w:rPr>
      </w:pPr>
      <w:r>
        <w:rPr>
          <w:rFonts w:ascii="Arial" w:cs="Arial" w:eastAsia="Arial" w:hAnsi="Arial"/>
          <w:sz w:val="14"/>
          <w:szCs w:val="14"/>
          <w:color w:val="auto"/>
        </w:rPr>
        <w:t>Table 18 displays as of December 31, 2007 and 2006 the estimated impact on net interest income from non-trading financial instruments in the base scenario described above resulting from parallel changes in interest rates across repricing categories during the first modeling year.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18</w:t>
      </w:r>
    </w:p>
    <w:p>
      <w:pPr>
        <w:spacing w:after="0" w:line="244" w:lineRule="exact"/>
        <w:rPr>
          <w:sz w:val="20"/>
          <w:szCs w:val="20"/>
          <w:color w:val="auto"/>
        </w:rPr>
      </w:pPr>
    </w:p>
    <w:p>
      <w:pPr>
        <w:ind w:left="3040"/>
        <w:spacing w:after="0"/>
        <w:rPr>
          <w:sz w:val="20"/>
          <w:szCs w:val="20"/>
          <w:color w:val="auto"/>
        </w:rPr>
      </w:pPr>
      <w:r>
        <w:rPr>
          <w:rFonts w:ascii="Arial" w:cs="Arial" w:eastAsia="Arial" w:hAnsi="Arial"/>
          <w:sz w:val="14"/>
          <w:szCs w:val="14"/>
          <w:b w:val="1"/>
          <w:bCs w:val="1"/>
          <w:color w:val="auto"/>
        </w:rPr>
        <w:t>SENSITIVITY OF NET INTEREST INCOME TO CHANGES IN INTEREST RATES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tcPr>
          <w:p>
            <w:pPr>
              <w:jc w:val="center"/>
              <w:ind w:right="200"/>
              <w:spacing w:after="0"/>
              <w:rPr>
                <w:sz w:val="20"/>
                <w:szCs w:val="20"/>
                <w:color w:val="auto"/>
              </w:rPr>
            </w:pPr>
            <w:r>
              <w:rPr>
                <w:rFonts w:ascii="Arial" w:cs="Arial" w:eastAsia="Arial" w:hAnsi="Arial"/>
                <w:sz w:val="10"/>
                <w:szCs w:val="10"/>
                <w:b w:val="1"/>
                <w:bCs w:val="1"/>
                <w:color w:val="auto"/>
                <w:w w:val="93"/>
              </w:rPr>
              <w:t>Calculated Increase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6"/>
          </w:tcPr>
          <w:p>
            <w:pPr>
              <w:jc w:val="center"/>
              <w:ind w:right="180"/>
              <w:spacing w:after="0" w:line="106" w:lineRule="exact"/>
              <w:rPr>
                <w:sz w:val="20"/>
                <w:szCs w:val="20"/>
                <w:color w:val="auto"/>
              </w:rPr>
            </w:pPr>
            <w:r>
              <w:rPr>
                <w:rFonts w:ascii="Arial" w:cs="Arial" w:eastAsia="Arial" w:hAnsi="Arial"/>
                <w:sz w:val="10"/>
                <w:szCs w:val="10"/>
                <w:b w:val="1"/>
                <w:bCs w:val="1"/>
                <w:color w:val="auto"/>
                <w:w w:val="91"/>
              </w:rPr>
              <w:t>(Decrease) in Projected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6"/>
          </w:tcPr>
          <w:p>
            <w:pPr>
              <w:jc w:val="center"/>
              <w:ind w:right="200"/>
              <w:spacing w:after="0" w:line="106" w:lineRule="exact"/>
              <w:rPr>
                <w:sz w:val="20"/>
                <w:szCs w:val="20"/>
                <w:color w:val="auto"/>
              </w:rPr>
            </w:pPr>
            <w:r>
              <w:rPr>
                <w:rFonts w:ascii="Arial" w:cs="Arial" w:eastAsia="Arial" w:hAnsi="Arial"/>
                <w:sz w:val="10"/>
                <w:szCs w:val="10"/>
                <w:b w:val="1"/>
                <w:bCs w:val="1"/>
                <w:color w:val="auto"/>
                <w:w w:val="94"/>
              </w:rPr>
              <w:t>Net Interest Income</w:t>
            </w:r>
          </w:p>
        </w:tc>
        <w:tc>
          <w:tcPr>
            <w:tcW w:w="0" w:type="dxa"/>
            <w:vAlign w:val="bottom"/>
          </w:tcPr>
          <w:p>
            <w:pPr>
              <w:spacing w:after="0"/>
              <w:rPr>
                <w:sz w:val="1"/>
                <w:szCs w:val="1"/>
                <w:color w:val="auto"/>
              </w:rPr>
            </w:pPr>
          </w:p>
        </w:tc>
      </w:tr>
      <w:tr>
        <w:trPr>
          <w:trHeight w:val="123"/>
        </w:trPr>
        <w:tc>
          <w:tcPr>
            <w:tcW w:w="48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Changes in Interest Rates</w:t>
            </w:r>
          </w:p>
        </w:tc>
        <w:tc>
          <w:tcPr>
            <w:tcW w:w="3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center"/>
              <w:ind w:left="301"/>
              <w:spacing w:after="0"/>
              <w:rPr>
                <w:sz w:val="20"/>
                <w:szCs w:val="20"/>
                <w:color w:val="auto"/>
              </w:rPr>
            </w:pPr>
            <w:r>
              <w:rPr>
                <w:rFonts w:ascii="Arial" w:cs="Arial" w:eastAsia="Arial" w:hAnsi="Arial"/>
                <w:sz w:val="10"/>
                <w:szCs w:val="10"/>
                <w:b w:val="1"/>
                <w:bCs w:val="1"/>
                <w:color w:val="auto"/>
                <w:w w:val="89"/>
              </w:rPr>
              <w:t>December 31</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880" w:type="dxa"/>
            <w:vAlign w:val="bottom"/>
            <w:gridSpan w:val="3"/>
            <w:vMerge w:val="continue"/>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21"/>
              <w:spacing w:after="0" w:line="106"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ind w:right="133"/>
              <w:spacing w:after="0" w:line="10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000" w:type="dxa"/>
            <w:vAlign w:val="bottom"/>
            <w:gridSpan w:val="4"/>
          </w:tcPr>
          <w:p>
            <w:pPr>
              <w:jc w:val="right"/>
              <w:ind w:right="253"/>
              <w:spacing w:after="0"/>
              <w:rPr>
                <w:sz w:val="20"/>
                <w:szCs w:val="20"/>
                <w:color w:val="auto"/>
              </w:rPr>
            </w:pPr>
            <w:r>
              <w:rPr>
                <w:rFonts w:ascii="Arial" w:cs="Arial" w:eastAsia="Arial" w:hAnsi="Arial"/>
                <w:sz w:val="10"/>
                <w:szCs w:val="10"/>
                <w:b w:val="1"/>
                <w:bCs w:val="1"/>
                <w:color w:val="auto"/>
              </w:rPr>
              <w:t>in thousands)</w:t>
            </w: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5"/>
              </w:rPr>
              <w:t>+</w:t>
            </w:r>
          </w:p>
        </w:tc>
        <w:tc>
          <w:tcPr>
            <w:tcW w:w="4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200 basis points</w:t>
            </w:r>
          </w:p>
        </w:tc>
        <w:tc>
          <w:tcPr>
            <w:tcW w:w="3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9"/>
                <w:szCs w:val="9"/>
                <w:color w:val="auto"/>
                <w:w w:val="75"/>
              </w:rPr>
              <w:t>+</w:t>
            </w:r>
          </w:p>
        </w:tc>
        <w:tc>
          <w:tcPr>
            <w:tcW w:w="4800" w:type="dxa"/>
            <w:vAlign w:val="bottom"/>
          </w:tcPr>
          <w:p>
            <w:pPr>
              <w:ind w:left="440"/>
              <w:spacing w:after="0"/>
              <w:rPr>
                <w:sz w:val="20"/>
                <w:szCs w:val="20"/>
                <w:color w:val="auto"/>
              </w:rPr>
            </w:pPr>
            <w:r>
              <w:rPr>
                <w:rFonts w:ascii="Arial" w:cs="Arial" w:eastAsia="Arial" w:hAnsi="Arial"/>
                <w:sz w:val="14"/>
                <w:szCs w:val="14"/>
                <w:color w:val="auto"/>
              </w:rPr>
              <w:t>100 basis points</w:t>
            </w: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9"/>
              <w:spacing w:after="0"/>
              <w:rPr>
                <w:sz w:val="20"/>
                <w:szCs w:val="20"/>
                <w:color w:val="auto"/>
              </w:rPr>
            </w:pPr>
            <w:r>
              <w:rPr>
                <w:rFonts w:ascii="Arial" w:cs="Arial" w:eastAsia="Arial" w:hAnsi="Arial"/>
                <w:sz w:val="14"/>
                <w:szCs w:val="14"/>
                <w:color w:val="auto"/>
              </w:rPr>
              <w:t>(996)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5"/>
              </w:rPr>
              <w:t>−</w:t>
            </w:r>
          </w:p>
        </w:tc>
        <w:tc>
          <w:tcPr>
            <w:tcW w:w="4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100 basis points</w:t>
            </w:r>
          </w:p>
        </w:tc>
        <w:tc>
          <w:tcPr>
            <w:tcW w:w="3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w w:val="99"/>
              </w:rPr>
              <w:t>(16,432)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(12,759)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9"/>
                <w:szCs w:val="9"/>
                <w:color w:val="auto"/>
                <w:w w:val="75"/>
              </w:rPr>
              <w:t>−</w:t>
            </w:r>
          </w:p>
        </w:tc>
        <w:tc>
          <w:tcPr>
            <w:tcW w:w="4800" w:type="dxa"/>
            <w:vAlign w:val="bottom"/>
          </w:tcPr>
          <w:p>
            <w:pPr>
              <w:ind w:left="440"/>
              <w:spacing w:after="0"/>
              <w:rPr>
                <w:sz w:val="20"/>
                <w:szCs w:val="20"/>
                <w:color w:val="auto"/>
              </w:rPr>
            </w:pPr>
            <w:r>
              <w:rPr>
                <w:rFonts w:ascii="Arial" w:cs="Arial" w:eastAsia="Arial" w:hAnsi="Arial"/>
                <w:sz w:val="14"/>
                <w:szCs w:val="14"/>
                <w:color w:val="auto"/>
              </w:rPr>
              <w:t>200 basis points</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9"/>
              <w:spacing w:after="0"/>
              <w:rPr>
                <w:sz w:val="20"/>
                <w:szCs w:val="20"/>
                <w:color w:val="auto"/>
              </w:rPr>
            </w:pPr>
            <w:r>
              <w:rPr>
                <w:rFonts w:ascii="Arial" w:cs="Arial" w:eastAsia="Arial" w:hAnsi="Arial"/>
                <w:sz w:val="14"/>
                <w:szCs w:val="14"/>
                <w:color w:val="auto"/>
                <w:w w:val="99"/>
              </w:rPr>
              <w:t>(24,284)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(26,546)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right="20" w:firstLine="599"/>
        <w:spacing w:after="0" w:line="265" w:lineRule="auto"/>
        <w:rPr>
          <w:sz w:val="20"/>
          <w:szCs w:val="20"/>
          <w:color w:val="auto"/>
        </w:rPr>
      </w:pPr>
      <w:r>
        <w:rPr>
          <w:rFonts w:ascii="Arial" w:cs="Arial" w:eastAsia="Arial" w:hAnsi="Arial"/>
          <w:sz w:val="13"/>
          <w:szCs w:val="13"/>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3" w:lineRule="exact"/>
        <w:rPr>
          <w:sz w:val="20"/>
          <w:szCs w:val="20"/>
          <w:color w:val="auto"/>
        </w:rPr>
      </w:pPr>
    </w:p>
    <w:p>
      <w:pPr>
        <w:ind w:left="680" w:right="60" w:firstLine="599"/>
        <w:spacing w:after="0" w:line="270" w:lineRule="auto"/>
        <w:rPr>
          <w:sz w:val="20"/>
          <w:szCs w:val="20"/>
          <w:color w:val="auto"/>
        </w:rPr>
      </w:pPr>
      <w:r>
        <w:rPr>
          <w:rFonts w:ascii="Arial" w:cs="Arial" w:eastAsia="Arial" w:hAnsi="Arial"/>
          <w:sz w:val="13"/>
          <w:szCs w:val="13"/>
          <w:color w:val="auto"/>
        </w:rPr>
        <w:t>In accordance with industry practice, table 19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19</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CONTRACTUAL REPRICING DATA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30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December 31, 2007</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Three Months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6"/>
              </w:rPr>
              <w:t>Four to Twelve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One to</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After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0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or Less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Months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Five Years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Five Years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w w:val="96"/>
              </w:rPr>
              <w:t>(Dollars in thousands)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Loans and leases, net</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24,429,798</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3,320,052</w:t>
            </w:r>
          </w:p>
        </w:tc>
        <w:tc>
          <w:tcPr>
            <w:tcW w:w="2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10,761,977</w:t>
            </w: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9,509,735</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48,021,562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Investment securities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949,473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973,941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3,556,277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3,482,307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8,961,998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Other earning assets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178,546</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ind w:left="120"/>
              <w:spacing w:after="0"/>
              <w:rPr>
                <w:sz w:val="20"/>
                <w:szCs w:val="20"/>
                <w:color w:val="auto"/>
              </w:rPr>
            </w:pPr>
            <w:r>
              <w:rPr>
                <w:rFonts w:ascii="Arial" w:cs="Arial" w:eastAsia="Arial" w:hAnsi="Arial"/>
                <w:sz w:val="14"/>
                <w:szCs w:val="14"/>
                <w:i w:val="1"/>
                <w:iCs w:val="1"/>
                <w:color w:val="auto"/>
              </w:rPr>
              <w:t>Total earning assets</w:t>
            </w: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25,557,817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4,294,743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14,318,354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12,992,042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57,162,956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1,190,161</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1,190,161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Savings deposits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15,419,357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15,419,357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5,059,738</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4,559,128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1,015,647</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10,668,581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5,856,427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5,856,427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Total interest-bearing deposits</w:t>
            </w:r>
          </w:p>
        </w:tc>
        <w:tc>
          <w:tcPr>
            <w:tcW w:w="44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27,525,683</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4,559,128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1,015,647</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33,134,526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gridSpan w:val="2"/>
          </w:tcPr>
          <w:p>
            <w:pPr>
              <w:spacing w:after="0"/>
              <w:rPr>
                <w:sz w:val="20"/>
                <w:szCs w:val="20"/>
                <w:color w:val="auto"/>
              </w:rPr>
            </w:pPr>
            <w:r>
              <w:rPr>
                <w:rFonts w:ascii="Arial" w:cs="Arial" w:eastAsia="Arial" w:hAnsi="Arial"/>
                <w:sz w:val="14"/>
                <w:szCs w:val="14"/>
                <w:color w:val="auto"/>
              </w:rPr>
              <w:t>Short-term borrowings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5,056,435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765,462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5,821,897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4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4,676,244</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494,543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1,728,626</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3,418,532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10,317,945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ind w:left="120"/>
              <w:spacing w:after="0"/>
              <w:rPr>
                <w:sz w:val="20"/>
                <w:szCs w:val="20"/>
                <w:color w:val="auto"/>
              </w:rPr>
            </w:pPr>
            <w:r>
              <w:rPr>
                <w:rFonts w:ascii="Arial" w:cs="Arial" w:eastAsia="Arial" w:hAnsi="Arial"/>
                <w:sz w:val="14"/>
                <w:szCs w:val="14"/>
                <w:i w:val="1"/>
                <w:iCs w:val="1"/>
                <w:color w:val="auto"/>
              </w:rPr>
              <w:t>Total interest-bearing liabilities</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37,258,362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5,819,133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2,744,273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3,452,600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49,274,368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Interest rate swaps</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(802,241)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177,241</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020" w:type="dxa"/>
            <w:vAlign w:val="bottom"/>
            <w:gridSpan w:val="2"/>
          </w:tcPr>
          <w:p>
            <w:pPr>
              <w:spacing w:after="0"/>
              <w:rPr>
                <w:sz w:val="20"/>
                <w:szCs w:val="20"/>
                <w:color w:val="auto"/>
              </w:rPr>
            </w:pPr>
            <w:r>
              <w:rPr>
                <w:rFonts w:ascii="Arial" w:cs="Arial" w:eastAsia="Arial" w:hAnsi="Arial"/>
                <w:sz w:val="14"/>
                <w:szCs w:val="14"/>
                <w:color w:val="auto"/>
              </w:rPr>
              <w:t>Periodic gap</w:t>
            </w:r>
          </w:p>
        </w:tc>
        <w:tc>
          <w:tcPr>
            <w:tcW w:w="44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(12,502,786)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(1,424,390)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11,751,322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10,064,442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Cumulative gap</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(12,502,786)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(13,927,176)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(2,175,854)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7,888,588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Cumulative gap as a % of total earning assets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(21.9)%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13.8%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-1859915</wp:posOffset>
            </wp:positionV>
            <wp:extent cx="1841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38"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4"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The notional amounts of interest rate contracts entered into for trading purposes aggregated $11.7 billion at December 31, 2007 and $7.6 billion at December 31, 2006. The notional amounts of foreign currency and other option and futures contracts entered into for trading purposes totaled $801 million and $613 million at December 31, 2007 and 2006, respectively. Although the notional amounts of these trading contracts are not recorded in the consolidated balance sheet, the fair values of all financial instruments used for trading activities are recorded in the consolidated balance sheet. The fair values of trading account assets and liabilities were $281 million and</w:t>
      </w:r>
    </w:p>
    <w:p>
      <w:pPr>
        <w:spacing w:after="0" w:line="1" w:lineRule="exact"/>
        <w:rPr>
          <w:sz w:val="20"/>
          <w:szCs w:val="20"/>
          <w:color w:val="auto"/>
        </w:rPr>
      </w:pPr>
    </w:p>
    <w:p>
      <w:pPr>
        <w:ind w:left="680" w:right="240"/>
        <w:spacing w:after="0" w:line="337" w:lineRule="auto"/>
        <w:rPr>
          <w:sz w:val="20"/>
          <w:szCs w:val="20"/>
          <w:color w:val="auto"/>
        </w:rPr>
      </w:pPr>
      <w:r>
        <w:rPr>
          <w:rFonts w:ascii="Arial" w:cs="Arial" w:eastAsia="Arial" w:hAnsi="Arial"/>
          <w:sz w:val="12"/>
          <w:szCs w:val="12"/>
          <w:color w:val="auto"/>
        </w:rPr>
        <w:t>$143 million, respectively, at December 31, 2007 and $137 million and $65 million, respectively, at December 31, 2006. Included in trading account assets at December 31, 2007 and 2006 were $47 million and $45 million, respectively, of assets related to deferred compensation plans. Changes in the fair value of such assets are recorded as</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200"/>
        <w:spacing w:after="0" w:line="269" w:lineRule="auto"/>
        <w:rPr>
          <w:sz w:val="20"/>
          <w:szCs w:val="20"/>
          <w:color w:val="auto"/>
        </w:rPr>
      </w:pPr>
      <w:r>
        <w:rPr>
          <w:rFonts w:ascii="Arial" w:cs="Arial" w:eastAsia="Arial" w:hAnsi="Arial"/>
          <w:sz w:val="13"/>
          <w:szCs w:val="13"/>
          <w:color w:val="auto"/>
        </w:rPr>
        <w:t>trading account and foreign exchange gains in the consolidated statement of income. Included in other liabilities in the consolidated balance sheet at December 31, 2007 and 2006 were $50 million and $49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1" w:lineRule="exact"/>
        <w:rPr>
          <w:sz w:val="20"/>
          <w:szCs w:val="20"/>
          <w:color w:val="auto"/>
        </w:rPr>
      </w:pPr>
    </w:p>
    <w:p>
      <w:pPr>
        <w:ind w:left="680" w:right="60" w:firstLine="599"/>
        <w:spacing w:after="0" w:line="278" w:lineRule="auto"/>
        <w:rPr>
          <w:sz w:val="20"/>
          <w:szCs w:val="20"/>
          <w:color w:val="auto"/>
        </w:rPr>
      </w:pPr>
      <w:r>
        <w:rPr>
          <w:rFonts w:ascii="Arial" w:cs="Arial" w:eastAsia="Arial" w:hAnsi="Arial"/>
          <w:sz w:val="13"/>
          <w:szCs w:val="13"/>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related to trading derivative contracts is included in note 17 of Notes to Financial Statements.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Stockholders’ equity at December 31, 2007 totaled $6.5 billion and represented 10.00% of total assets, compared with $6.3 billion or 11.01% at December 31, 2006 and</w:t>
      </w:r>
    </w:p>
    <w:p>
      <w:pPr>
        <w:spacing w:after="0" w:line="15" w:lineRule="exact"/>
        <w:rPr>
          <w:sz w:val="20"/>
          <w:szCs w:val="20"/>
          <w:color w:val="auto"/>
        </w:rPr>
      </w:pPr>
    </w:p>
    <w:p>
      <w:pPr>
        <w:ind w:left="680" w:right="60"/>
        <w:spacing w:after="0" w:line="263" w:lineRule="auto"/>
        <w:rPr>
          <w:sz w:val="20"/>
          <w:szCs w:val="20"/>
          <w:color w:val="auto"/>
        </w:rPr>
      </w:pPr>
      <w:r>
        <w:rPr>
          <w:rFonts w:ascii="Arial" w:cs="Arial" w:eastAsia="Arial" w:hAnsi="Arial"/>
          <w:sz w:val="13"/>
          <w:szCs w:val="13"/>
          <w:color w:val="auto"/>
        </w:rPr>
        <w:t>$5.9 billion or 10.66% at December 31, 2005. On a per share basis, stockholders’ equity was $58.99 at December 31, 2007, up 4% from $56.94 at the 2006 year-end and 13% higher than $52.39 at December 31, 2005. Tangible equity per share was $27.98 at December 31, 2007, compared with $28.57 and $25.91 at December 31, 2006 and 2005, respectively. In the calculation of tangible equity per share, stockholders’ equity is reduced by the carrying values of goodwill and core deposit and other intangible assets, net of applicable deferred tax balances. A reconciliation of total stockholders’ equity and tangible equity as of December 31, 2007, 2006 and 2005 is presented in table 2. The ratio of average total stockholders’ equity to average total assets was 10.67%, 10.82% and 10.71% in 2007, 2006 and 2005, respectively.</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Net unrealized losses on available-for-sale investment securities were $59 million, or $.54 per common share, at December 31, 2007, compared with losses of $25 million, or $.23 per share, at December 31, 2006 and $49 million, or $.43 per share, at December 31, 2005. Such unrealized losses are generally due to changes in interest rates and/or a temporary lack of liquidity in the market, and represent the difference, net of applicable income tax effect, between the estimated fair value and amortized cost of investment securities classified as available for sale. Included in net unrealized losses on investment securities at December 31, 2007 were pre-tax unrealized losses of $58 million on privately issued mortgage-backed securities having a cost basis of $2.8 billion at December 31, 2007. As of that date, the Company believed it would receive all contractual principal and interest on such securities. The Company also had pre-tax net unrealized losses of $29 million on variable-rate preferred stock issuances of government-sponsored entities with a cost basis of $161 million at December 31, 2007. Substantially all of those unrealized losses occurred in late-2007. The Company concluded that as of December 31, 2007 the impairment of such securities was the result of the housing market downturn and its impact on those government-sponsored agencies, requiring the recapitalization of their balance sheets through the issuance of new, high yielding preferred stock in December 2007, and that it was too soon to conclude that such unrealized losses represented an other-than-temporary impairment. As of December 31, 2007, the Company had the ability and intent to hold each of its impaired securities to recovery. The Company intends to closely monitor the performance of the privately issued mortgage-backed securities, the preferred stock of the government-sponsored agencies, and other securities to assess if changes in their underlying credit performance or other events cause the cost basis of these securities to become other than temporarily impaired. However, because the unrealized losses described have already been reflected in the financial statement values for investment securities and stockholders’ equity, any recognition of an other-than-temporary decline in value of these investment securities would have no effect on the Company’s consolidated financial condition.</w:t>
      </w:r>
    </w:p>
    <w:p>
      <w:pPr>
        <w:spacing w:after="0" w:line="4" w:lineRule="exact"/>
        <w:rPr>
          <w:sz w:val="20"/>
          <w:szCs w:val="20"/>
          <w:color w:val="auto"/>
        </w:rPr>
      </w:pPr>
    </w:p>
    <w:p>
      <w:pPr>
        <w:ind w:left="680" w:right="320" w:firstLine="599"/>
        <w:spacing w:after="0" w:line="293" w:lineRule="auto"/>
        <w:rPr>
          <w:sz w:val="20"/>
          <w:szCs w:val="20"/>
          <w:color w:val="auto"/>
        </w:rPr>
      </w:pPr>
      <w:r>
        <w:rPr>
          <w:rFonts w:ascii="Arial" w:cs="Arial" w:eastAsia="Arial" w:hAnsi="Arial"/>
          <w:sz w:val="13"/>
          <w:szCs w:val="13"/>
          <w:color w:val="auto"/>
        </w:rPr>
        <w:t>Also reflected in accumulated other comprehensive income is a gain of $1 million, representing the unamortized gain on the termination of an interest rate swap agreement designated as a cash flow hedge that was entered into in anticipation of the Company issuing senior notes payable in the second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220"/>
        <w:spacing w:after="0" w:line="295" w:lineRule="auto"/>
        <w:rPr>
          <w:sz w:val="20"/>
          <w:szCs w:val="20"/>
          <w:color w:val="auto"/>
        </w:rPr>
      </w:pPr>
      <w:r>
        <w:rPr>
          <w:rFonts w:ascii="Arial" w:cs="Arial" w:eastAsia="Arial" w:hAnsi="Arial"/>
          <w:sz w:val="12"/>
          <w:szCs w:val="12"/>
          <w:color w:val="auto"/>
        </w:rPr>
        <w:t>quarter of 2007. In addition, net unrealized fair value losses associated with interest rate swap agreements designated as cash flow hedges were $10 million at December 31, 2007, representing approximately $.09 per share. There were no outstanding interest rate swap agreements designated as cash flow hedges at December 31, 2006 or 2005.</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The Company adopted SFAS No. 158 effective December 31, 2006. Prior to the adoption of SFAS No. 158, the Company was required to recognize additional minimum pension liability amounts pursuant to the provisions of SFAS No. 87. Adjustments to reflect the funded status of defined benefit pension and other postretirement plans as required under SFAS No. 158, net of applicable tax effect, reduced accumulated other comprehensive income by $46 million, or $.42 per share, at December 31, 2007 and $28 million, or $.26 per share, at December 31, 2006. Similar adjustments to recognize minimum pension liabilities as then required by SFAS No. 87, net of applicable tax effect, reduced stockholders’ equity by $49 million at December 31, 2005, or by $.44 per share. Information about the funded status of the Company’s pension and other postretirement benefit plans is included in note 11 of Notes to Financial Statements.</w:t>
      </w:r>
    </w:p>
    <w:p>
      <w:pPr>
        <w:spacing w:after="0" w:line="2" w:lineRule="exact"/>
        <w:rPr>
          <w:sz w:val="20"/>
          <w:szCs w:val="20"/>
          <w:color w:val="auto"/>
        </w:rPr>
      </w:pPr>
    </w:p>
    <w:p>
      <w:pPr>
        <w:jc w:val="both"/>
        <w:ind w:left="680" w:right="220" w:firstLine="599"/>
        <w:spacing w:after="0" w:line="263" w:lineRule="auto"/>
        <w:rPr>
          <w:sz w:val="20"/>
          <w:szCs w:val="20"/>
          <w:color w:val="auto"/>
        </w:rPr>
      </w:pPr>
      <w:r>
        <w:rPr>
          <w:rFonts w:ascii="Arial" w:cs="Arial" w:eastAsia="Arial" w:hAnsi="Arial"/>
          <w:sz w:val="13"/>
          <w:szCs w:val="13"/>
          <w:color w:val="auto"/>
        </w:rPr>
        <w:t>Cash dividends paid in 2007 on M&amp;T’s common stock totaled $282 million, compared with $250 million and $199 million in 2006 and 2005, respectively. M&amp;T increased the quarterly dividend on its common stock in the second quarter of 2005 from $.40 to $.45 per share, again in the second quarter of 2006 to $.60 per share, and to $.70 per share in the third quarter of 2007. Dividends per common share totaled $2.60 in 2007, up 16% from $2.25 in 2006 and 49% above $1.75 in 2005.</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M&amp;T repurchased 4,514,800 shares of its common stock in 2007, 3,259,000 shares in 2006 and 4,891,800 shares in 2005 at a cost of $509 million, $374 million and $510 million, respectively. In December 2004 and November 2005, M&amp;T had announced plans to purchase up to 5,000,000 shares of its common stock. These repurchase plans were completed in December 2005 and March 2007, respectively. In February 2007, M&amp;T announced that it had been authorized by its Board of Directors to purchase up to an additional 5,000,000 shares of its common stock. Through December 31, 2007, M&amp;T had repurchased a total of 2,818,500 shares of common stock pursuant to such plan at an average cost of $108.30 per share.</w:t>
      </w:r>
    </w:p>
    <w:p>
      <w:pPr>
        <w:spacing w:after="0" w:line="2"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As of December 31, 2007, core capital included $721 million of the trust preferred securities described in note 9 of Notes to Financial Statements and total capital further included $1.7 billion of subordinated notes. As previously noted, in December 2007, M&amp;T Bank issued $400 million of 6.625% fixed rate subordinated notes due 2017. The capital ratios of the Company and its banking subsidiaries as of December 31, 2007 and 2006 are presented in note 22 of Notes to Financial Statements. To further supplement its regulatory capital, in January 2008, M&amp;T issued $350 million of Enhanced Trust Preferred Securities that pay a fixed rate of interest of 8.50%.</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Company generates significant amounts of regulatory capital. The rate of regulatory core capital generation, or net operating income (as previously defined) less the sum of dividends paid and the after-tax effect of merger-related expenses expressed as a percentage of regulatory “core capital” at the beginning of each year, was 10.73% in 2007, 17.52% in 2006 and 18.50% in 2005.</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Fourth Quarter Results</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Net income totaled $65 million during the fourth quarter of 2007, compared with $213 million in the year-earlier quarter. Diluted and basic earnings per share were each $.60 in the fourth quarter of 2007, compared with $1.88 and $1.93, respectively, in the final quarter of 2006. The annualized rates of return on average assets and average common stockholders’ equity for the fourth quarter of 2007 were .42% and 4.05%, respectively, compared with 1.50% and 13.55%, respectively, in the year-earlier period.</w:t>
      </w:r>
    </w:p>
    <w:p>
      <w:pPr>
        <w:spacing w:after="0" w:line="1" w:lineRule="exact"/>
        <w:rPr>
          <w:sz w:val="20"/>
          <w:szCs w:val="20"/>
          <w:color w:val="auto"/>
        </w:rPr>
      </w:pPr>
    </w:p>
    <w:p>
      <w:pPr>
        <w:jc w:val="both"/>
        <w:ind w:left="680" w:right="160" w:firstLine="599"/>
        <w:spacing w:after="0" w:line="278" w:lineRule="auto"/>
        <w:rPr>
          <w:sz w:val="20"/>
          <w:szCs w:val="20"/>
          <w:color w:val="auto"/>
        </w:rPr>
      </w:pPr>
      <w:r>
        <w:rPr>
          <w:rFonts w:ascii="Arial" w:cs="Arial" w:eastAsia="Arial" w:hAnsi="Arial"/>
          <w:sz w:val="13"/>
          <w:szCs w:val="13"/>
          <w:color w:val="auto"/>
        </w:rPr>
        <w:t>Net operating income aggregated $84 million in the fourth quarter of 2007, compared with $225 million in the last quarter of 2006. Diluted net operating earnings per share were $.77 in the recently completed quarter, compared with $1.98 in the fourth quarter of 2006. The annualized net operating returns on average tangible assets and average tangible common equity were .57% and 10.49%, respectively, in the fourth quarter of 2007, compared with 1.67% and 28.71%, respectively, in the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corresponding 2006 quarter. Core deposit and other intangible asset amortization, after tax effect, totaled $10 million ($.09 per diluted share) and $11 million ($.10 per diluted share) in the fourth quarters of 2007 and 2006, respectively. The after-tax impact of merger-related expenses associated with the Partners Trust and First Horizon acquisition transactions was $9 million ($15 million pre-tax) or $.08 of diluted earnings per share in the final 2007 quarter. There were no similar expenses in the fourth quarter of 2006. Reconciliations of GAAP results with non-GAAP results for the quarterly periods of 2007 and 2006 are provided in table 21.</w:t>
      </w:r>
    </w:p>
    <w:p>
      <w:pPr>
        <w:ind w:left="680" w:right="100" w:firstLine="599"/>
        <w:spacing w:after="0" w:line="263" w:lineRule="auto"/>
        <w:rPr>
          <w:sz w:val="20"/>
          <w:szCs w:val="20"/>
          <w:color w:val="auto"/>
        </w:rPr>
      </w:pPr>
      <w:r>
        <w:rPr>
          <w:rFonts w:ascii="Arial" w:cs="Arial" w:eastAsia="Arial" w:hAnsi="Arial"/>
          <w:sz w:val="13"/>
          <w:szCs w:val="13"/>
          <w:color w:val="auto"/>
        </w:rPr>
        <w:t>The Company’s fourth quarter results were adversely impacted by several notable items including the $127 million other-than-temporary impairment charge related to collateralized debt obligations, the $23 million accrual related to Covered Litigation of Visa, and $15 million of merger-related expenses associated with acquisitions completed in the quarter. Furthermore, the Company experienced significant loan growth during the second half and fourth quarter of 2007. Total loans, exclusive of loans obtained through the two acquisition transactions, increased $2.8 billion, or 6% (13% annualized), from June 30 to December 31, 2007, including growth in commercial and commercial real estate loans of $2.2 billion. During the fourth quarter, total loans, exclusive of loans obtained through the acquisitions, increased $1.8 billion, or 4% (16% annualized), including growth in commercial and commercial real estate loans of $1.6 billion. During the second half of 2007, lower real estate values and higher levels of delinquencies and charge-offs contributed to increased losses in the Company’s portfolio of Alt-A residential mortgage loans. Declining real estate values also contributed to the recognition of additional losses on loans to two residential real estate builders and developers. Considering each of these factors, the Company increased the provision for credit losses to $101 million, or $48 million more than the $53 million of net charge-offs during the recent quarter.</w:t>
      </w:r>
    </w:p>
    <w:p>
      <w:pPr>
        <w:spacing w:after="0" w:line="2" w:lineRule="exact"/>
        <w:rPr>
          <w:sz w:val="20"/>
          <w:szCs w:val="20"/>
          <w:color w:val="auto"/>
        </w:rPr>
      </w:pPr>
    </w:p>
    <w:p>
      <w:pPr>
        <w:ind w:left="680" w:right="40" w:firstLine="599"/>
        <w:spacing w:after="0" w:line="285" w:lineRule="auto"/>
        <w:rPr>
          <w:sz w:val="20"/>
          <w:szCs w:val="20"/>
          <w:color w:val="auto"/>
        </w:rPr>
      </w:pPr>
      <w:r>
        <w:rPr>
          <w:rFonts w:ascii="Arial" w:cs="Arial" w:eastAsia="Arial" w:hAnsi="Arial"/>
          <w:sz w:val="12"/>
          <w:szCs w:val="12"/>
          <w:color w:val="auto"/>
        </w:rPr>
        <w:t>Taxable-equivalent net interest income increased 1% to $476 million in the last quarter of 2007 from $472 million in the year-earlier quarter. That growth was the result of a 9% rise in average earning assets, that was substantially offset by a narrowing of the Company’s net interest margin. Average earning assets totaled $54.8 billion in the final quarter of 2007, compared with $50.2 billion in the year-earlier period. The acquisitions completed in 2007’s final quarter added approximately $1.1 billion to average earning assets for the quarter, including $742 million of average loans. Average loans and leases for the recently completed quarter totaled $46.1 billion, up 8% from</w:t>
      </w:r>
    </w:p>
    <w:p>
      <w:pPr>
        <w:spacing w:after="0" w:line="1"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$42.5 billion during the final quarter of 2006. Increases of $1.0 billion in each of commercial loans and leases and commercial real estate loans, a $790 million rise in residential real estate loans, and a $795 million increase in consumer loans represented the growth in average loans outstanding. The yield on earning assets was 6.65% in the fourth quarter of 2007, down 27 basis points from 6.92% in the fourth quarter of 2006. The rate paid on interest-bearing liabilities was 3.75% in the last quarter of 2007, 8 basis points lower than 3.83% in the corresponding period in 2006. The resulting net interest spread was 2.90% in the recent quarter, down 19 basis points from 3.09% in the fourth quarter of 2006. That decline was attributable to several factors, including significantly higher loan balances funded partially by wholesale borrowings, higher levels of investment securities and other earning assets that generally yield less than loans, lower commercial real estate loan prepayment fees, reversal of interest on nonaccrual loans including the effect of the change in accounting practice for past-due residential real estate loans, and the impact of the two acquisition transactions. The contribution of net interest-free funds to the Company’s net interest margin was .55% in the final 2007 quarter, down from .64% in the year-earlier quarter. That decline reflects the impact of lower interest rates on interest-bearing liabilities used to value such contribution and a lower balance of interest-free funds. As a result, the Company’s net interest margin narrowed to 3.45% in the recent quarter from 3.73% in the last quarter of 2006.</w:t>
      </w:r>
    </w:p>
    <w:p>
      <w:pPr>
        <w:spacing w:after="0" w:line="2"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As noted above, the provision for credit losses rose to $101 million during the three-month period ended December 31, 2007 from $28 million in the year-earlier period. The higher level of the provision reflects changes in the loan portfolio, the impact of declining residential real estate valuations and higher delinquencies and charge-offs related to the Alt-A residential real estate loan portfolio, and declining real estate values related to residential real estate builder and developer loan collateral. Net charge-offs of loans were $53 million in 2007’s fourth quarter, representing an annualized .46% of average loans and leases outstanding, compared with $24 million or .23% during the final three months of 2006. The impact of the recent quarter’s change in accounting procedure for charging-off residential real estate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ind w:left="680" w:right="120"/>
        <w:spacing w:after="0" w:line="250" w:lineRule="auto"/>
        <w:rPr>
          <w:sz w:val="20"/>
          <w:szCs w:val="20"/>
          <w:color w:val="auto"/>
        </w:rPr>
      </w:pPr>
      <w:r>
        <w:rPr>
          <w:rFonts w:ascii="Arial" w:cs="Arial" w:eastAsia="Arial" w:hAnsi="Arial"/>
          <w:sz w:val="14"/>
          <w:szCs w:val="14"/>
          <w:color w:val="auto"/>
        </w:rPr>
        <w:t>loans when they become 150 days delinquent from the previous policy of waiting until foreclosure of the underlying property was $15 million. If not for that change, charge-offs would have been $38 million or an annualized .33% of average outstanding loans in the fourth quarter of 2007. The increase from the year-earlier period was due, in part, to higher charge-offs of Alt-A loans.</w:t>
      </w:r>
    </w:p>
    <w:p>
      <w:pPr>
        <w:spacing w:after="0" w:line="1"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Other income totaled $160 million in the last quarter of 2007, down 37% from $256 million in the year-earlier quarter. That decline resulted from the $127 million other-than-temporary impairment charge in the recent quarter related to collateralized debt obligations held in the Company’s available-for-sale investment securities portfolio. Excluding that charge, other income was $288 million, up 12% from the year-earlier quarter. That improvement was due to higher service charges on deposit accounts, trust income, and trading account and foreign exchange gains, and $15 million related to M&amp;T’s pro-rata portion of the operating results of BLG.</w:t>
      </w:r>
    </w:p>
    <w:p>
      <w:pPr>
        <w:spacing w:after="0" w:line="1" w:lineRule="exact"/>
        <w:rPr>
          <w:sz w:val="20"/>
          <w:szCs w:val="20"/>
          <w:color w:val="auto"/>
        </w:rPr>
      </w:pPr>
    </w:p>
    <w:p>
      <w:pPr>
        <w:ind w:left="680" w:right="40" w:firstLine="599"/>
        <w:spacing w:after="0" w:line="246" w:lineRule="auto"/>
        <w:rPr>
          <w:sz w:val="20"/>
          <w:szCs w:val="20"/>
          <w:color w:val="auto"/>
        </w:rPr>
      </w:pPr>
      <w:r>
        <w:rPr>
          <w:rFonts w:ascii="Arial" w:cs="Arial" w:eastAsia="Arial" w:hAnsi="Arial"/>
          <w:sz w:val="14"/>
          <w:szCs w:val="14"/>
          <w:color w:val="auto"/>
        </w:rPr>
        <w:t>Other expense in the fourth quarter of 2007 increased to $445 million from $384 million in the year-earlier quarter. Included in such amounts are expenses considered to be “nonoperating” in nature consisting of amortization of core deposit and other intangible assets of $16 million and $19 million in the final quarter of 2007 and 2006, respectively, and merger-related expenses of $15 million in the fourth quarter of 2007. Exclusive of these nonoperating expenses, noninterest operating expenses were $415 million in the recently completed quarter, up 14% from $365 million in the last three months of 2006. Higher costs for salaries and benefits, including the impact of the acquisitions completed in the recent quarter, and the Visa litigation charge were the leading contributors to that rise in operating expense. The Company’s efficiency ratio during the fourth quarter of 2007 and 2006 was 54.3% and 50.2%, respectively. Table 21 includes a reconciliation of other expense to noninterest operating expense for each of the quarters of 2007 and 2006.</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During the fourth quarter of 2007, the Company began reporting its Business Banking strategic business unit as a separate reportable segment. Prior to that date, that unit was included in the Retail Banking reportable segment. Prior year information has been restated to reflect the change in reportable segments.</w:t>
      </w:r>
    </w:p>
    <w:p>
      <w:pPr>
        <w:spacing w:after="0" w:line="1" w:lineRule="exact"/>
        <w:rPr>
          <w:sz w:val="20"/>
          <w:szCs w:val="20"/>
          <w:color w:val="auto"/>
        </w:rPr>
      </w:pPr>
    </w:p>
    <w:p>
      <w:pPr>
        <w:ind w:left="680" w:right="300" w:firstLine="599"/>
        <w:spacing w:after="0" w:line="263" w:lineRule="auto"/>
        <w:rPr>
          <w:sz w:val="20"/>
          <w:szCs w:val="20"/>
          <w:color w:val="auto"/>
        </w:rPr>
      </w:pPr>
      <w:r>
        <w:rPr>
          <w:rFonts w:ascii="Arial" w:cs="Arial" w:eastAsia="Arial" w:hAnsi="Arial"/>
          <w:sz w:val="13"/>
          <w:szCs w:val="13"/>
          <w:color w:val="auto"/>
        </w:rPr>
        <w:t>The financial information of the Company’s segments was compiled utilizing the accounting policies described in note 21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21 of Notes to Financial Statements.</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The Business Banking segment provides a wide range of services to small businesses and professionals through the Company’s branch network, business banking centers and other delivery channels such as telephone banking, Internet banking and automated teller machines within markets served by the Company. Services provided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Net income for the Business Banking segment totaled $133 million in 2007, up 3% from the $128 million earned in 2006. The improvement from a year earlier was largely the result of a $15 million increase in net interest income, attributable to a 38 basis point widening of the deposit net interest margin, and higher service charges on deposit accounts of $3 million. Those factors were partially offset by $4 million increases in each of personnel costs and the provision for credit losses. The Business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20"/>
        <w:spacing w:after="0" w:line="269" w:lineRule="auto"/>
        <w:rPr>
          <w:sz w:val="20"/>
          <w:szCs w:val="20"/>
          <w:color w:val="auto"/>
        </w:rPr>
      </w:pPr>
      <w:r>
        <w:rPr>
          <w:rFonts w:ascii="Arial" w:cs="Arial" w:eastAsia="Arial" w:hAnsi="Arial"/>
          <w:sz w:val="13"/>
          <w:szCs w:val="13"/>
          <w:color w:val="auto"/>
        </w:rPr>
        <w:t>Banking segment’s net income was $115 million in 2005. The most significant contributor to the improvement from 2005 to 2006 was a $35 million increase in net interest income, largely due to an 87 basis point widening of the deposit net interest margin. Partially offsetting that increase were higher noninterest expenses of $7 million, mainly the result of higher personnel costs, and a $6 million increase in the provision for credit losses due to higher net charge-offs of loans.</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The Commercial Banking segment provides a wide range of credit products and banking services for middle-market and large commercial customers, largely within the markets served by the Company. Services provided by this segment include commercial lending and leasing, deposit products, and cash management services. The Commercial Banking segment’s net income increased 2% to $231 million in 2007 from $226 million in 2006. Contributing to that improvement was higher net interest income of $11 million, attributable to a $953 million increase in average loan balances outstanding offset, in part, by a 32 basis point narrowing of the net interest margin, and increases in fees received for providing corporate advisory and loan syndication services of $4 million each. Partially offsetting those favorable factors were a $7 million rise in the provision for credit losses, largely attributable to loan growth, and higher personnel costs of $5 million. Net income earned by the Commercial Banking segment was</w:t>
      </w:r>
    </w:p>
    <w:p>
      <w:pPr>
        <w:spacing w:after="0" w:line="1"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$219 million in 2005. The improvement in 2006 as compared with 2005 was primarily the result of a $25 million rise in net interest income, partially offset by higher noninterest expenses, most significantly personnel costs that were up $7 million. The higher net interest income was predominantly due to a widening of the net interest margin and an 8% increase in average loan balances outstanding, offset, in part, by the impact of a 17% decrease in average demand deposit balances.</w:t>
      </w:r>
    </w:p>
    <w:p>
      <w:pPr>
        <w:spacing w:after="0" w:line="1" w:lineRule="exact"/>
        <w:rPr>
          <w:sz w:val="20"/>
          <w:szCs w:val="20"/>
          <w:color w:val="auto"/>
        </w:rPr>
      </w:pPr>
    </w:p>
    <w:p>
      <w:pPr>
        <w:ind w:left="680" w:right="40" w:firstLine="599"/>
        <w:spacing w:after="0" w:line="285" w:lineRule="auto"/>
        <w:rPr>
          <w:sz w:val="20"/>
          <w:szCs w:val="20"/>
          <w:color w:val="auto"/>
        </w:rPr>
      </w:pPr>
      <w:r>
        <w:rPr>
          <w:rFonts w:ascii="Arial" w:cs="Arial" w:eastAsia="Arial" w:hAnsi="Arial"/>
          <w:sz w:val="12"/>
          <w:szCs w:val="12"/>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FNMA DUS program and other programs. The Commercial Real Estate segment recorded net income of $135 million in each of the years ended December 31, 2007 and 2006. When comparing 2007’s results with 2006, a rise in net interest income of $6 million was offset by a higher provision for credit losses of $4 million and a $2 million increase in personnel costs. The higher net interest income resulted from a</w:t>
      </w:r>
    </w:p>
    <w:p>
      <w:pPr>
        <w:spacing w:after="0" w:line="1"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$426 million increase in average loan balances outstanding, net of a 10 basis point narrowing of the net interest margin associated with such balances. This segment contributed net income of $143 million in 2005. The decline in 2006’s net income as compared with 2005 was the result of an $8 million decrease in net interest income, predominantly due to a narrowing of net interest margin on loans outstanding, higher noninterest expenses of $6 million and lower commercial mortgage credit-related fees and other revenues of $4 million.</w:t>
      </w:r>
    </w:p>
    <w:p>
      <w:pPr>
        <w:spacing w:after="0" w:line="1" w:lineRule="exact"/>
        <w:rPr>
          <w:sz w:val="20"/>
          <w:szCs w:val="20"/>
          <w:color w:val="auto"/>
        </w:rPr>
      </w:pPr>
    </w:p>
    <w:p>
      <w:pPr>
        <w:ind w:left="680" w:right="20" w:firstLine="599"/>
        <w:spacing w:after="0" w:line="266" w:lineRule="auto"/>
        <w:rPr>
          <w:sz w:val="20"/>
          <w:szCs w:val="20"/>
          <w:color w:val="auto"/>
        </w:rPr>
      </w:pPr>
      <w:r>
        <w:rPr>
          <w:rFonts w:ascii="Arial" w:cs="Arial" w:eastAsia="Arial" w:hAnsi="Arial"/>
          <w:sz w:val="13"/>
          <w:szCs w:val="13"/>
          <w:color w:val="auto"/>
        </w:rPr>
        <w:t>The Discretionary Portfolio segment includes investment and trading securities, residential mortgage loans and other assets; short-term and long-term borrowed funds; brokered certificates of deposit and interest rate swap agreements related thereto; and offshore branch deposits. This segment also provides foreign exchange services to customers. Included in the assets of the Discretionary Portfolio segment are the collateralized debt obligations and preferred stock issuances of FNMA and FHLMC owned by the Company. In March 2007, the Company transferred $883 million of Alt-A mortgage loans to this segment’s held-for-investment loan portfolio. Such loans were previously included in loans held for sale in the Residential Mortgage Banking segment. The Discretionary Portfolio segment incurred a net loss of $7 million in 2007, compared with net income of $96 million in 2006. The main factor resulting in the unfavorable performance in 2007 was the $127 million other-than-temporary impairment charge recorded in the fourth quarter related to collateralized debt obligations backed by sub-prime residential mortgage securities. As previously discussed, the impairment charge was recognized in light of significant deterioration in the residential real estate market and the resulting decline in market value of the debt obligations. Also contributing to the decline in this segment’s results when compared with 2006 was a $26 million increase in the provision for credit losses, primarily resulting from increased loan balances and higher net charge-offs of Alt-A mortgage loans, and the $13 million gain recognized in 2006 resulting from the accelerated recognition of a purchase accounting premium related to the call of an FHLB</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160"/>
        <w:spacing w:after="0" w:line="248" w:lineRule="auto"/>
        <w:rPr>
          <w:sz w:val="20"/>
          <w:szCs w:val="20"/>
          <w:color w:val="auto"/>
        </w:rPr>
      </w:pPr>
      <w:r>
        <w:rPr>
          <w:rFonts w:ascii="Arial" w:cs="Arial" w:eastAsia="Arial" w:hAnsi="Arial"/>
          <w:sz w:val="14"/>
          <w:szCs w:val="14"/>
          <w:color w:val="auto"/>
        </w:rPr>
        <w:t>borrowing assumed in a previous acquisition. The Discretionary Portfolio segment’s net income in 2006 was 3% above the $93 million earned in 2005. Contributing to the improvement was the $29 million other-than-temporary impairment charge related to the preferred stock issuances of FNMA and FHLMC reflected in 2005’s results and the previously mentioned $13 million FHLB gain in 2006. Partially offsetting the favorable impact of those factors was a $39 million decrease in net interest income, resulting from a 58 basis point narrowing of the net interest margin on investment securities and a $470 million decline in the average balance of the segment’s portfolio of investment securities.</w:t>
      </w:r>
    </w:p>
    <w:p>
      <w:pPr>
        <w:ind w:left="680" w:firstLine="599"/>
        <w:spacing w:after="0" w:line="263" w:lineRule="auto"/>
        <w:rPr>
          <w:sz w:val="20"/>
          <w:szCs w:val="20"/>
          <w:color w:val="auto"/>
        </w:rPr>
      </w:pPr>
      <w:r>
        <w:rPr>
          <w:rFonts w:ascii="Arial" w:cs="Arial" w:eastAsia="Arial" w:hAnsi="Arial"/>
          <w:sz w:val="13"/>
          <w:szCs w:val="13"/>
          <w:color w:val="auto"/>
        </w:rPr>
        <w:t>The Residential Mortgage Banking segment originates and services residential mortgage loans and sells substantially all of those loans in the secondary market to investors or to the Discretionary Portfolio segment. This segment also originates and services loans to developers of residential real estate properties. In addition to the geographic regions served by or contiguous with the Company’s branch network, the Company maintains mortgage loan origination offices in several states throughout the southern and western United States. The Company also periodically purchases the rights to service mortgage loans. Residential mortgage loans held for sale are included in this segment. As already noted, in the first quarter of 2007, $883 million of Alt-A mortgage loans previously included in this segment’s held-for-sale portfolio, were transferred to the Discretionary Portfolio segment. The Residential Mortgage Banking segment’s net income declined 74% to $13 million in 2007 from $52 million in 2006. That decline was primarily due to the significant deterioration of the residential real estate market during 2007, which resulted in a $36 million drop in residential mortgage banking revenues earned by this segment. Contributing to the lower mortgage banking revenues were lower gains from residential mortgage loan origination and sales activities of $28 million, predominantly resulting from slimmer margins realized due to changes in market conditions, and the $12 million of losses recognized in the first quarter of 2007 related to the Alt-A loans transferred to the Discretionary Portfolio segment. Additionally, due to requests from investors for the Company to repurchase residential real estate loans previously sold, the Company reduced mortgage banking revenues by $6 million in the first quarter of 2007 to reflect declines in market values of some loans that the Company may be required to repurchase. Also contributing to the unfavorable performance as compared with 2006 was a $19 million decrease in net interest income, largely due to a $451 million decline in average loan balances outstanding and a 25 basis point narrowing of the net interest margin on such loans, and reversals of a portion of the valuation allowance for the impairment of capitalized mortgage servicing rights, which totaled $4 million and $10 million in 2007 and 2006, respectively. Partially offsetting those unfavorable factors were higher mortgage servicing revenues of $10 million. The Residential Mortgage Banking segment contributed net income of $43 million in 2005. The improved performance in 2006 over 2005 was predominantly due to an 11% increase in noninterest revenues resulting from higher income from servicing mortgage loans of $10 million and increased gains from the sales of loans to the Discretionary Portfolio segment of $9 million. Also contributing to the improvement was an $8 million increase in net interest income, mainly due to a 30% increase in balances of loans held for sale, net of a 52 basis point decline in net interest margin associated with such loan balances. Partially offsetting these favorable factors were higher personnel costs of $8 million and other noninterest expenses of $4 million. Included in noninterest expenses for 2005 was a partial reversal of the capitalized mortgage servicing rights valuation allowance of $8 million.</w:t>
      </w:r>
    </w:p>
    <w:p>
      <w:pPr>
        <w:spacing w:after="0" w:line="5" w:lineRule="exact"/>
        <w:rPr>
          <w:sz w:val="20"/>
          <w:szCs w:val="20"/>
          <w:color w:val="auto"/>
        </w:rPr>
      </w:pPr>
    </w:p>
    <w:p>
      <w:pPr>
        <w:ind w:left="680" w:right="20" w:firstLine="599"/>
        <w:spacing w:after="0" w:line="267" w:lineRule="auto"/>
        <w:rPr>
          <w:sz w:val="20"/>
          <w:szCs w:val="20"/>
          <w:color w:val="auto"/>
        </w:rPr>
      </w:pPr>
      <w:r>
        <w:rPr>
          <w:rFonts w:ascii="Arial" w:cs="Arial" w:eastAsia="Arial" w:hAnsi="Arial"/>
          <w:sz w:val="13"/>
          <w:szCs w:val="13"/>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Delaware and New Jersey. The Retail Banking segment also offers certain deposit and loan products on a nationwide basis through M&amp;T Bank, N.A. Credit services offered by this segment include consumer installment loans, student loans, automobile loans (originated both directly and indirectly through dealers), and home equity loans and lines of credit. The segment also offers to its customers deposit products, including demand, savings and time accounts; investment products, including mutual funds and annuities; and other services. For the year ended December 31, 2007, the Retail Banking segment contributed net income of $316 million, compared with $282 million in 2006. The 12% improvement resulted from a $60 million increase in net interest income, primarily the result of a 30 basis point increase in the deposit net interest margin, and higher service charges on deposit accounts of $25 million. Partially offsetting those factors was a $20 million increase in the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jc w:val="both"/>
        <w:ind w:left="680" w:right="140"/>
        <w:spacing w:after="0" w:line="292" w:lineRule="auto"/>
        <w:rPr>
          <w:sz w:val="20"/>
          <w:szCs w:val="20"/>
          <w:color w:val="auto"/>
        </w:rPr>
      </w:pPr>
      <w:r>
        <w:rPr>
          <w:rFonts w:ascii="Arial" w:cs="Arial" w:eastAsia="Arial" w:hAnsi="Arial"/>
          <w:sz w:val="12"/>
          <w:szCs w:val="12"/>
          <w:color w:val="auto"/>
        </w:rPr>
        <w:t>provision for credit losses resulting from higher average loan balances outstanding and net charge-offs and a $4 million increase in other noninterest expenses, largely due to higher processing costs related to debit card transactions. Net income for the Retail Banking segment aggregated $210 million in 2005. The improved performance in 2006 as compared with 2005 was primarily due to an increase in net interest income of $84 million, largely resulting from a widening of the net interest margin on deposit products.</w:t>
      </w:r>
    </w:p>
    <w:p>
      <w:pPr>
        <w:ind w:left="680"/>
        <w:spacing w:after="0" w:line="244" w:lineRule="auto"/>
        <w:rPr>
          <w:sz w:val="20"/>
          <w:szCs w:val="20"/>
          <w:color w:val="auto"/>
        </w:rPr>
      </w:pPr>
      <w:r>
        <w:rPr>
          <w:rFonts w:ascii="Arial" w:cs="Arial" w:eastAsia="Arial" w:hAnsi="Arial"/>
          <w:sz w:val="14"/>
          <w:szCs w:val="14"/>
          <w:color w:val="auto"/>
        </w:rPr>
        <w:t>Also contributing to the improvement were higher service charges on deposit accounts of $17 million, and declines of $9 million in each of the provision for credit losses and in other noninterest expenses.</w:t>
      </w:r>
    </w:p>
    <w:p>
      <w:pPr>
        <w:spacing w:after="0" w:line="1"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resulting from the acquisitions of financial institutions, M&amp;T’s equity in the earnings of BLG; merger-related expenses resulting from acquisitions and the net impact of the Company’s allocation methodologies for internal funds transfer pricing and the provision for credit losses. The various components of the “All Other” category resulted in net losses of $167 million, $80 million and $41 million in 2007, 2006 and 2005, respectively. The higher net loss experienced in 2007 resulted from the impact of the Company’s allocation methodologies for internal transfers for funding charges and credits associated with earning assets and interest-bearing liabilities of the Company’s reportable segments and the provision for credit losses; the previously discussed $23 million charge taken in the fourth quarter related to Visa litigation; increases in personnel and professional services costs of $19 million and $12 million, respectively, related to the business and support units included in the “All Other” category; $15 million of merger-related expenses in 2007 associated with the fourth quarter acquisition transactions, compared with $5 million in 2006 for that year’s June branch acquisition; a $4 million reduction of net income resulting from M&amp;T’s investment in BLG (inclusive of interest expense to fund that investment); and a higher charge for the amortization of core deposit and other intangible assets. The $18 million charitable contribution made to The M&amp;T Charitable Foundation in 2006 partially offset those unfavorable factors. The higher net loss incurred during 2006 as compared with 2005 was primarily the result of the Company’s allocation methodologies for internal transfers for funding charges and credits associated with earning assets and interest-bearing liabilities of the Company’s reportable segments. Also contributing to the net loss were the previously mentioned $18 million charitable contribution and higher charges for amortization of core deposit and other intangible assets and merger-related expenses incurred as a result of the June 2006 branch acquisition of $6 million and $5 million, respectively.</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Recent Accounting Developments</w:t>
      </w:r>
    </w:p>
    <w:p>
      <w:pPr>
        <w:spacing w:after="0" w:line="19" w:lineRule="exact"/>
        <w:rPr>
          <w:sz w:val="20"/>
          <w:szCs w:val="20"/>
          <w:color w:val="auto"/>
        </w:rPr>
      </w:pPr>
    </w:p>
    <w:p>
      <w:pPr>
        <w:ind w:left="680" w:right="60"/>
        <w:spacing w:after="0" w:line="263" w:lineRule="auto"/>
        <w:rPr>
          <w:sz w:val="20"/>
          <w:szCs w:val="20"/>
          <w:color w:val="auto"/>
        </w:rPr>
      </w:pPr>
      <w:r>
        <w:rPr>
          <w:rFonts w:ascii="Arial" w:cs="Arial" w:eastAsia="Arial" w:hAnsi="Arial"/>
          <w:sz w:val="13"/>
          <w:szCs w:val="13"/>
          <w:color w:val="auto"/>
        </w:rPr>
        <w:t>In September 2006, the FASB issued SFAS No. 157, “Fair Value Measurements.”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SFAS No. 157 expands disclosures about the use of fair value to measure assets and liabilities in interim and annual periods subsequent to initial recognition. The disclosures focus on the inputs used to measure fair value and the effect of the measurements on earnings for the period. SFAS No. 157 is effective for financial statements issued for fiscal years beginning after November 15, 2007 and interim periods within those fiscal years. The provisions generally should be applied prospectively as of the beginning of the fiscal year in which SFAS No. 157 is applied, with certain provisions required to be applied retrospectively. Many of the Company’s assets, liabilities and off-balance sheet positions are required to either be accounted for or disclosed using fair value as their relevant measurement attribute. The Company adopted SFAS No. 157 effective January 1, 2008. That adoption did not have a material effect on the Company’s financial position or results of operations.</w:t>
      </w:r>
    </w:p>
    <w:p>
      <w:pPr>
        <w:spacing w:after="0" w:line="2" w:lineRule="exact"/>
        <w:rPr>
          <w:sz w:val="20"/>
          <w:szCs w:val="20"/>
          <w:color w:val="auto"/>
        </w:rPr>
      </w:pPr>
    </w:p>
    <w:p>
      <w:pPr>
        <w:ind w:left="680" w:right="440" w:firstLine="599"/>
        <w:spacing w:after="0" w:line="293" w:lineRule="auto"/>
        <w:rPr>
          <w:sz w:val="20"/>
          <w:szCs w:val="20"/>
          <w:color w:val="auto"/>
        </w:rPr>
      </w:pPr>
      <w:r>
        <w:rPr>
          <w:rFonts w:ascii="Arial" w:cs="Arial" w:eastAsia="Arial" w:hAnsi="Arial"/>
          <w:sz w:val="13"/>
          <w:szCs w:val="13"/>
          <w:color w:val="auto"/>
        </w:rPr>
        <w:t>In February 2007, the FASB issued SFAS No. 159, “The Fair Value Option for Financial Assets and Financial Liabilities,” which permits entities to choose to measure eligible financial instruments and other items at fair value. The objective of SFAS No. 159 is to improve financial reporting by providing entities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right="80"/>
        <w:spacing w:after="0" w:line="248" w:lineRule="auto"/>
        <w:rPr>
          <w:sz w:val="20"/>
          <w:szCs w:val="20"/>
          <w:color w:val="auto"/>
        </w:rPr>
      </w:pPr>
      <w:r>
        <w:rPr>
          <w:rFonts w:ascii="Arial" w:cs="Arial" w:eastAsia="Arial" w:hAnsi="Arial"/>
          <w:sz w:val="14"/>
          <w:szCs w:val="14"/>
          <w:color w:val="auto"/>
        </w:rPr>
        <w:t>with the opportunity to mitigate volatility in reported earnings caused by measuring related assets and liabilities differently without having to apply complex hedge accounting provisions. After adopting SFAS No. 159, an entity shall report unrealized gains and losses on items for which the fair value option has been elected in earnings at each subsequent reporting date. The fair value option may generally be applied on an instrument by instrument basis and is an irrevocable election. SFAS No. 159 is effective as of the beginning of an entity’s first fiscal year that begins after November 15, 2007. SFAS No. 159 generally permits prospective application to eligible items existing at the effective date. The Company has not made any fair value elections as of January 1, 2008.</w:t>
      </w:r>
    </w:p>
    <w:p>
      <w:pPr>
        <w:ind w:left="680" w:right="80" w:firstLine="599"/>
        <w:spacing w:after="0" w:line="285" w:lineRule="auto"/>
        <w:rPr>
          <w:sz w:val="20"/>
          <w:szCs w:val="20"/>
          <w:color w:val="auto"/>
        </w:rPr>
      </w:pPr>
      <w:r>
        <w:rPr>
          <w:rFonts w:ascii="Arial" w:cs="Arial" w:eastAsia="Arial" w:hAnsi="Arial"/>
          <w:sz w:val="12"/>
          <w:szCs w:val="12"/>
          <w:color w:val="auto"/>
        </w:rPr>
        <w:t>In December 2007, the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w:t>
      </w:r>
    </w:p>
    <w:p>
      <w:pPr>
        <w:ind w:left="680"/>
        <w:spacing w:after="0"/>
        <w:rPr>
          <w:sz w:val="20"/>
          <w:szCs w:val="20"/>
          <w:color w:val="auto"/>
        </w:rPr>
      </w:pPr>
      <w:r>
        <w:rPr>
          <w:rFonts w:ascii="Arial" w:cs="Arial" w:eastAsia="Arial" w:hAnsi="Arial"/>
          <w:sz w:val="12"/>
          <w:szCs w:val="12"/>
          <w:color w:val="auto"/>
        </w:rPr>
        <w:t>SFAS No. 141R defines the acquirer as the entity that obtains control of one or more businesses in the business combination and establishes the acquisition date as the date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acquirer achieves control. SFAS No. 141R retains the guidance in SFAS No. 141 for identifying and recognizing intangible assets separately from goodwill. With limited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exceptions, the statement requires an acquirer to recognize the assets acquired, the liabilities assumed and any noncontrolling interest in the acquiree at the acquisition date,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measured at their fair value as of that date. That replaces SFAS No. 141’s cost-allocation process, which required the cost of an acquisition to be allocated to the individual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assets acquired and liabilities assumed based on their estimated fair values. As a result, certain acquisition-related costs previously included in the cost of an acquisition will be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required to be expensed as incurred. In addition, certain restructuring costs previously recognized as if they were an assumed liability from an acquisition, will be required to be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expensed. SFAS No. 141R also requires the acquirer in a business combination achieved in stages (sometimes referred to as a step acquisition) to recognize the identifiable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assets and liabilities, as well as the noncontrolling interest in the acquiree, at the full amounts of their fair values. SFAS No. 141R also requires an acquirer to recognize assets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acquired and liabilities assumed arising from contractual contingencies as of the acquisition date, measured at their acquisition-date fair values. An acquirer is required to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recognize assets or liabilities arising from all other contingencies (noncontractual contingencies) as of the acquisition date, measured at their acquisition-date fair values, only if</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 is more likely than not that they meet the definition of an asset or a liability in FASB Concepts Statement No. 6, “Elements of Financial Statements.” The statement requires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acquirer to recognize goodwill as of the acquisition date measured as a residual, which in most types of business combinations will result in measuring goodwill as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excess of the consideration transferred plus the fair value of any noncontrolling interest in the acquiree at the acquisition date over the fair value of the identifiable net assets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acquired. SFAS No. 141R also eliminates the recognition of a separate valuation allowance as of the acquisition date for assets acquired in a business combination that are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measured at their acquisition-date fair values because the effects of uncertainty about future cash flows are included in the fair value measurement. SFAS No. 141R should be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applied prospectively to business combinations for which the acquisition date is on or after the beginning of the first annual reporting period beginning on or after</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15, 2008. Earlier adoption is prohibited. The Company is still evaluating the provisions of SFAS No. 141R, but believes that its adoption will significantly impact its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accounting for any acquisitions it may consummate in 2009 and beyond.</w:t>
      </w:r>
    </w:p>
    <w:p>
      <w:pPr>
        <w:spacing w:after="0" w:line="3"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Also in December 2007, the FASB issued SFAS No. 160, “Noncontrolling Interests in Consolidated Financial Statements — an amendment of ARB No. 51.” A noncontrolling interest, sometimes called a minority interest, is a portion of equity in a subsidiary not attributable, directly or indirectly, to a parent. SFAS No. 160 requires that the ownership interest in subsidiaries held by parties other than the parent be clearly identified, labeled and presented in the consolidated statement of financial position within equity, but separate from the parent’s equity. The amount of consolidated net income attributable to the parent and to the noncontrolling interest is required to be clearly identified and presented on the face of the consolidated statement of income. SFAS No. 160 also requires entities to provide disclosures that clearly identify and distinguish between the interests of the parent and the interests of the noncontrolling owners. SFAS No. 160 should be applied prospectively as of the beginning of a fiscal year beginning on or after December 15, 2008. Earlier adoption is prohibited. The Company does not anticipate that the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adoption of SFAS No. 160 will have a significant impact to its reporting of its financial condition or results of its operations.</w:t>
      </w:r>
    </w:p>
    <w:p>
      <w:pPr>
        <w:spacing w:after="0" w:line="15"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In November 2007, the SEC issued Staff Accounting Bulletin (“SAB”) No. 109, which reverses previous conclusions expressed by the SEC staff regarding written loan commitments that are accounted for at fair value through earnings under GAAP. Specifically, the SEC staff now believes that the expected net future cash flows related to the associated servicing of the loan should be included in the fair value measurement of the derivative loan commitment. The expected net future cash flows related to the associated servicing of the loan that are included in the fair value measurement of a derivative loan commitment or a written loan commitment should be determined in the same manner that the fair value of a recognized servicing asset or liability is measured under SFAS No. 140, “Accounting for Transfers and Servicing of Financial Assets and Extinguishments of Liabilities,” as amended by SFAS No. 156, “Accounting for Servicing of Financial Assets.” The SEC staff expects registrants to apply the accounting described in SAB No. 109 for loan commitments accounted for as derivatives that are issued or modified in fiscal quarters beginning after December 15, 2007. In accordance with the new guidance, the Company has adopted the provisions of SAB No. 109 effective January 1, 2008. As of December 31, 2007, the value ascribed to the previously excluded cash flows related to associated servicing of the loans was approximately $5 million. In accordance with SAB No. 105, the Company has not included this amount in the value of loan commitments accounted for as derivatives at December 31, 2007. Rather, recognition of such value will be deferred until the loans are actually sold or securitized. Had SAB No. 109 been in effect during 2007, such amounts would have been recognized in mortgage banking revenues in 2007. As a result of adopting</w:t>
      </w:r>
    </w:p>
    <w:p>
      <w:pPr>
        <w:spacing w:after="0" w:line="2" w:lineRule="exact"/>
        <w:rPr>
          <w:sz w:val="20"/>
          <w:szCs w:val="20"/>
          <w:color w:val="auto"/>
        </w:rPr>
      </w:pPr>
    </w:p>
    <w:p>
      <w:pPr>
        <w:ind w:left="680" w:right="180"/>
        <w:spacing w:after="0" w:line="244" w:lineRule="auto"/>
        <w:rPr>
          <w:sz w:val="20"/>
          <w:szCs w:val="20"/>
          <w:color w:val="auto"/>
        </w:rPr>
      </w:pPr>
      <w:r>
        <w:rPr>
          <w:rFonts w:ascii="Arial" w:cs="Arial" w:eastAsia="Arial" w:hAnsi="Arial"/>
          <w:sz w:val="14"/>
          <w:szCs w:val="14"/>
          <w:color w:val="auto"/>
        </w:rPr>
        <w:t>SAB No. 109 on January 1, 2008, the Company expects that there will be an acceleration of the recognition of mortgage banking revenues to reflect the value ascribed to the associated servicing of the loans for all new or modified loan commitments accounted for as derivatives in the first quarter of 2008.</w:t>
      </w:r>
    </w:p>
    <w:p>
      <w:pPr>
        <w:spacing w:after="0" w:line="1" w:lineRule="exact"/>
        <w:rPr>
          <w:sz w:val="20"/>
          <w:szCs w:val="20"/>
          <w:color w:val="auto"/>
        </w:rPr>
      </w:pPr>
    </w:p>
    <w:p>
      <w:pPr>
        <w:ind w:left="680" w:right="20" w:firstLine="599"/>
        <w:spacing w:after="0" w:line="266" w:lineRule="auto"/>
        <w:rPr>
          <w:sz w:val="20"/>
          <w:szCs w:val="20"/>
          <w:color w:val="auto"/>
        </w:rPr>
      </w:pPr>
      <w:r>
        <w:rPr>
          <w:rFonts w:ascii="Arial" w:cs="Arial" w:eastAsia="Arial" w:hAnsi="Arial"/>
          <w:sz w:val="13"/>
          <w:szCs w:val="13"/>
          <w:color w:val="auto"/>
        </w:rPr>
        <w:t>The Emerging Issues Task Force (“EITF”) reached a final consensus on Issue 06-04, “Accounting for Deferred Compensation and Postretirement Benefit Aspects of Endorsement Split-Dollar Life Insurance Arrangements” and on Issue 06-10, “Accounting for Deferred Compensation and Postretirement Benefit Aspects of Collateral Assignment Split-Dollar Life Insurance Arrangements,” at its September 2006 and March 2007 meetings, respectively. The EITF consensus for each issue stipulates that an agreement by an employer to share a portion of the proceeds of a life insurance policy with an employee during the postretirement period is a postretirement benefit arrangement required to be accounted for under SFAS No. 106, “Employers’ Accounting for Postretirement Benefits Other Than Pensions,” or Accounting Principles Board Opinion (“APB”) No. 12, “Omnibus Opinion — 1967.” Each consensus concludes that the purchase of a split-dollar life insurance policy does not constitute a settlement under SFAS No. 106 and, therefore, a liability for the postretirement obligation must be recognized under SFAS No. 106 if the benefit is offered under an arrangement that constitutes a plan or under APB No. 12 if it is not part of a plan. Issue 06-04 and Issue 06-10 are effective for annual or interim reporting periods beginning after December 15, 2007. The provisions of both Issue 06-04 and Issue 06-10 should be applied through either a cumulative effect adjustment to retained earnings as of the beginning of the year of adoption or retrospective application. The Company has endorsement and collateral assignment split-dollar life insurance policies that it inherited through certain acquisitions that are associated with individuals who are no longer active employees. The adoption of the provisions of Issue 06-04 and Issue 06-10 on January 1, 2008 did not have a material effect on the Company’s financial position or results of operations.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left="680" w:right="40"/>
        <w:spacing w:after="0" w:line="248" w:lineRule="auto"/>
        <w:rPr>
          <w:sz w:val="20"/>
          <w:szCs w:val="20"/>
          <w:color w:val="auto"/>
        </w:rPr>
      </w:pPr>
      <w:r>
        <w:rPr>
          <w:rFonts w:ascii="Arial" w:cs="Arial" w:eastAsia="Arial" w:hAnsi="Arial"/>
          <w:sz w:val="14"/>
          <w:szCs w:val="14"/>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Future Factors include changes in interest rates, spreads on earning assets and interest-bearing liabilities, and interest rate sensitivity; prepayment speeds, loan originations, credit losses and market values on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 w:lineRule="exact"/>
        <w:rPr>
          <w:sz w:val="20"/>
          <w:szCs w:val="20"/>
          <w:color w:val="auto"/>
        </w:rPr>
      </w:pPr>
    </w:p>
    <w:p>
      <w:pPr>
        <w:jc w:val="both"/>
        <w:ind w:left="680" w:right="320" w:firstLine="599"/>
        <w:spacing w:after="0" w:line="278" w:lineRule="auto"/>
        <w:rPr>
          <w:sz w:val="20"/>
          <w:szCs w:val="20"/>
          <w:color w:val="auto"/>
        </w:rPr>
      </w:pPr>
      <w:r>
        <w:rPr>
          <w:rFonts w:ascii="Arial" w:cs="Arial" w:eastAsia="Arial" w:hAnsi="Arial"/>
          <w:sz w:val="13"/>
          <w:szCs w:val="13"/>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20</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QUARTERLY TRENDS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9"/>
                <w:szCs w:val="9"/>
                <w:b w:val="1"/>
                <w:bCs w:val="1"/>
                <w:color w:val="auto"/>
              </w:rPr>
              <w:t>2007 Quarters</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2006</w:t>
            </w:r>
          </w:p>
        </w:tc>
        <w:tc>
          <w:tcPr>
            <w:tcW w:w="7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9"/>
                <w:szCs w:val="9"/>
                <w:b w:val="1"/>
                <w:bCs w:val="1"/>
                <w:color w:val="auto"/>
                <w:w w:val="90"/>
              </w:rPr>
              <w:t>Quarters</w:t>
            </w: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86"/>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right"/>
              <w:ind w:right="220"/>
              <w:spacing w:after="0" w:line="86"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right"/>
              <w:ind w:right="220"/>
              <w:spacing w:after="0" w:line="86"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79"/>
              </w:rPr>
              <w:t>Second</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75"/>
              <w:spacing w:after="0" w:line="86" w:lineRule="exact"/>
              <w:rPr>
                <w:sz w:val="20"/>
                <w:szCs w:val="20"/>
                <w:color w:val="auto"/>
              </w:rPr>
            </w:pPr>
            <w:r>
              <w:rPr>
                <w:rFonts w:ascii="Arial" w:cs="Arial" w:eastAsia="Arial" w:hAnsi="Arial"/>
                <w:sz w:val="9"/>
                <w:szCs w:val="9"/>
                <w:b w:val="1"/>
                <w:bCs w:val="1"/>
                <w:color w:val="auto"/>
                <w:w w:val="92"/>
              </w:rPr>
              <w:t>First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91"/>
              </w:rPr>
              <w:t>Fourth</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55"/>
              <w:spacing w:after="0" w:line="86" w:lineRule="exact"/>
              <w:rPr>
                <w:sz w:val="20"/>
                <w:szCs w:val="20"/>
                <w:color w:val="auto"/>
              </w:rPr>
            </w:pPr>
            <w:r>
              <w:rPr>
                <w:rFonts w:ascii="Arial" w:cs="Arial" w:eastAsia="Arial" w:hAnsi="Arial"/>
                <w:sz w:val="9"/>
                <w:szCs w:val="9"/>
                <w:b w:val="1"/>
                <w:bCs w:val="1"/>
                <w:color w:val="auto"/>
                <w:w w:val="97"/>
              </w:rPr>
              <w:t>Third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79"/>
              </w:rPr>
              <w:t>Second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75"/>
              <w:spacing w:after="0" w:line="86" w:lineRule="exact"/>
              <w:rPr>
                <w:sz w:val="20"/>
                <w:szCs w:val="20"/>
                <w:color w:val="auto"/>
              </w:rPr>
            </w:pPr>
            <w:r>
              <w:rPr>
                <w:rFonts w:ascii="Arial" w:cs="Arial" w:eastAsia="Arial" w:hAnsi="Arial"/>
                <w:sz w:val="9"/>
                <w:szCs w:val="9"/>
                <w:b w:val="1"/>
                <w:bCs w:val="1"/>
                <w:color w:val="auto"/>
              </w:rPr>
              <w:t>First</w:t>
            </w:r>
          </w:p>
        </w:tc>
        <w:tc>
          <w:tcPr>
            <w:tcW w:w="80" w:type="dxa"/>
            <w:vAlign w:val="bottom"/>
          </w:tcPr>
          <w:p>
            <w:pPr>
              <w:spacing w:after="0"/>
              <w:rPr>
                <w:sz w:val="7"/>
                <w:szCs w:val="7"/>
                <w:color w:val="auto"/>
              </w:rPr>
            </w:pPr>
          </w:p>
        </w:tc>
      </w:tr>
      <w:tr>
        <w:trPr>
          <w:trHeight w:val="28"/>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Earnings and dividends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i w:val="1"/>
                <w:iCs w:val="1"/>
                <w:color w:val="auto"/>
              </w:rPr>
              <w:t>Amounts in thousands, except per share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Interest income (taxable-equivalent basis)</w:t>
            </w:r>
          </w:p>
        </w:tc>
        <w:tc>
          <w:tcPr>
            <w:tcW w:w="14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918,200</w:t>
            </w:r>
          </w:p>
        </w:tc>
        <w:tc>
          <w:tcPr>
            <w:tcW w:w="14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898,126</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883,148</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866,172</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876,197</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858,008</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817,552</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782,003</w:t>
            </w: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Interest expense</w:t>
            </w:r>
          </w:p>
        </w:tc>
        <w:tc>
          <w:tcPr>
            <w:tcW w:w="1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442,364</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425,326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416,264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410,622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404,356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395,652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366,298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330,246</w:t>
            </w: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Net interest income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475,836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472,800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466,884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455,550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471,841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462,356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451,254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451,757</w:t>
            </w: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Less: provision for credit losses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101,000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34,000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30,000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27,000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28,000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17,000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17,000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18,000</w:t>
            </w: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Other income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160,490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252,899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283,117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236,483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256,417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273,902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262,602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252,931</w:t>
            </w: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Less: other expense</w:t>
            </w:r>
          </w:p>
        </w:tc>
        <w:tc>
          <w:tcPr>
            <w:tcW w:w="1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445,473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390,528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392,651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399,037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383,810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408,941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8"/>
              </w:rPr>
              <w:t>376,997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382,003</w:t>
            </w: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Income before income taxes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89,853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301,171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327,350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265,996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316,448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310,317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319,859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304,685</w:t>
            </w: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Applicable income taxes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19,297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96,872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108,209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84,900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97,996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94,775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102,645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97,037</w:t>
            </w: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Taxable-equivalent adjustment</w:t>
            </w:r>
          </w:p>
        </w:tc>
        <w:tc>
          <w:tcPr>
            <w:tcW w:w="13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5,626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5,112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4,972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5,123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5,123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5,172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4,641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4,731</w:t>
            </w:r>
          </w:p>
        </w:tc>
        <w:tc>
          <w:tcPr>
            <w:tcW w:w="80" w:type="dxa"/>
            <w:vAlign w:val="bottom"/>
            <w:shd w:val="clear" w:color="auto" w:fill="CCEEFF"/>
          </w:tcPr>
          <w:p>
            <w:pPr>
              <w:spacing w:after="0"/>
              <w:rPr>
                <w:sz w:val="8"/>
                <w:szCs w:val="8"/>
                <w:color w:val="auto"/>
              </w:rPr>
            </w:pPr>
          </w:p>
        </w:tc>
      </w:tr>
      <w:tr>
        <w:trPr>
          <w:trHeight w:val="105"/>
        </w:trPr>
        <w:tc>
          <w:tcPr>
            <w:tcW w:w="3940" w:type="dxa"/>
            <w:vAlign w:val="bottom"/>
            <w:gridSpan w:val="2"/>
          </w:tcPr>
          <w:p>
            <w:pPr>
              <w:spacing w:after="0" w:line="96" w:lineRule="exact"/>
              <w:rPr>
                <w:sz w:val="20"/>
                <w:szCs w:val="20"/>
                <w:color w:val="auto"/>
              </w:rPr>
            </w:pPr>
            <w:r>
              <w:rPr>
                <w:rFonts w:ascii="Arial" w:cs="Arial" w:eastAsia="Arial" w:hAnsi="Arial"/>
                <w:sz w:val="9"/>
                <w:szCs w:val="9"/>
                <w:color w:val="auto"/>
              </w:rPr>
              <w:t>Net income</w:t>
            </w:r>
          </w:p>
        </w:tc>
        <w:tc>
          <w:tcPr>
            <w:tcW w:w="1360" w:type="dxa"/>
            <w:vAlign w:val="bottom"/>
          </w:tcPr>
          <w:p>
            <w:pPr>
              <w:spacing w:after="0"/>
              <w:rPr>
                <w:sz w:val="9"/>
                <w:szCs w:val="9"/>
                <w:color w:val="auto"/>
              </w:rPr>
            </w:pPr>
          </w:p>
        </w:tc>
        <w:tc>
          <w:tcPr>
            <w:tcW w:w="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64,930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199,187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214,169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2"/>
              </w:rPr>
              <w:t>175,973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213,329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210,370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212,573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2"/>
              </w:rPr>
              <w:t>202,917</w:t>
            </w:r>
          </w:p>
        </w:tc>
        <w:tc>
          <w:tcPr>
            <w:tcW w:w="8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9"/>
                <w:szCs w:val="9"/>
                <w:color w:val="auto"/>
              </w:rPr>
              <w:t>Per common share data</w:t>
            </w:r>
          </w:p>
        </w:tc>
        <w:tc>
          <w:tcPr>
            <w:tcW w:w="1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Basic earnings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.60</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1.86</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1.98</w:t>
            </w:r>
          </w:p>
        </w:tc>
        <w:tc>
          <w:tcPr>
            <w:tcW w:w="120" w:type="dxa"/>
            <w:vAlign w:val="bottom"/>
          </w:tcPr>
          <w:p>
            <w:pPr>
              <w:spacing w:after="0"/>
              <w:rPr>
                <w:sz w:val="8"/>
                <w:szCs w:val="8"/>
                <w:color w:val="auto"/>
              </w:rPr>
            </w:pPr>
          </w:p>
        </w:tc>
        <w:tc>
          <w:tcPr>
            <w:tcW w:w="14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1.60</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1.93</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1.89</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1.91</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1.82</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Diluted earnings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1.57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1.77</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Cash dividends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.60</w:t>
            </w:r>
          </w:p>
        </w:tc>
        <w:tc>
          <w:tcPr>
            <w:tcW w:w="120" w:type="dxa"/>
            <w:vAlign w:val="bottom"/>
          </w:tcPr>
          <w:p>
            <w:pPr>
              <w:spacing w:after="0"/>
              <w:rPr>
                <w:sz w:val="8"/>
                <w:szCs w:val="8"/>
                <w:color w:val="auto"/>
              </w:rPr>
            </w:pPr>
          </w:p>
        </w:tc>
        <w:tc>
          <w:tcPr>
            <w:tcW w:w="14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.60</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.60</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.60</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.60</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.45</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Average common shares outstanding</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Basic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107,859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107,056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107,939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w w:val="92"/>
              </w:rPr>
              <w:t>109,694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110,705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111,047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111,259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111,693</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Diluted</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109,034</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108,957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109,919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112,187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113,468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113,897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113,968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114,347</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line="97" w:lineRule="exact"/>
              <w:rPr>
                <w:sz w:val="20"/>
                <w:szCs w:val="20"/>
                <w:color w:val="auto"/>
              </w:rPr>
            </w:pPr>
            <w:r>
              <w:rPr>
                <w:rFonts w:ascii="Arial" w:cs="Arial" w:eastAsia="Arial" w:hAnsi="Arial"/>
                <w:sz w:val="9"/>
                <w:szCs w:val="9"/>
                <w:b w:val="1"/>
                <w:bCs w:val="1"/>
                <w:color w:val="auto"/>
              </w:rPr>
              <w:t>Performance ratios, annualized</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Return on</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Average assets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1.37%</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1.49%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1.25%</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1.50%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1.49%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1.54%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1.49%</w:t>
            </w: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Average common stockholders’ equity</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4.05%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12.78%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13.92%</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11.38%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13.55%</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13.72%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14.35%</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13.97%</w:t>
            </w:r>
          </w:p>
        </w:tc>
      </w:tr>
      <w:tr>
        <w:trPr>
          <w:trHeight w:val="96"/>
        </w:trPr>
        <w:tc>
          <w:tcPr>
            <w:tcW w:w="20" w:type="dxa"/>
            <w:vAlign w:val="bottom"/>
          </w:tcPr>
          <w:p>
            <w:pPr>
              <w:spacing w:after="0"/>
              <w:rPr>
                <w:sz w:val="8"/>
                <w:szCs w:val="8"/>
                <w:color w:val="auto"/>
              </w:rPr>
            </w:pPr>
          </w:p>
        </w:tc>
        <w:tc>
          <w:tcPr>
            <w:tcW w:w="3920" w:type="dxa"/>
            <w:vAlign w:val="bottom"/>
          </w:tcPr>
          <w:p>
            <w:pPr>
              <w:spacing w:after="0" w:line="97" w:lineRule="exact"/>
              <w:rPr>
                <w:sz w:val="20"/>
                <w:szCs w:val="20"/>
                <w:color w:val="auto"/>
              </w:rPr>
            </w:pPr>
            <w:r>
              <w:rPr>
                <w:rFonts w:ascii="Arial" w:cs="Arial" w:eastAsia="Arial" w:hAnsi="Arial"/>
                <w:sz w:val="9"/>
                <w:szCs w:val="9"/>
                <w:color w:val="auto"/>
              </w:rPr>
              <w:t>Net interest margin on average earning assets (taxable-equivalent basis)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3.45%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3.65%</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3.67%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3.64%</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3.73%</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3.68%</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3.66%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3.73%</w:t>
            </w: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Nonperforming loans to total loans and leases, net of unearned discount</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.93%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.83%</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.68%</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.63%</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.43%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.38%</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.35%</w:t>
            </w: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Efficiency ratio(a)</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56.39%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53.80%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52.37%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57.75%</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52.79%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55.47%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52.29%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54.21%</w:t>
            </w: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Net operating (tangible) results(b)</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Net operating income (in thousands)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83,719</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208,749</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224,190</w:t>
            </w:r>
          </w:p>
        </w:tc>
        <w:tc>
          <w:tcPr>
            <w:tcW w:w="120" w:type="dxa"/>
            <w:vAlign w:val="bottom"/>
          </w:tcPr>
          <w:p>
            <w:pPr>
              <w:spacing w:after="0"/>
              <w:rPr>
                <w:sz w:val="8"/>
                <w:szCs w:val="8"/>
                <w:color w:val="auto"/>
              </w:rPr>
            </w:pPr>
          </w:p>
        </w:tc>
        <w:tc>
          <w:tcPr>
            <w:tcW w:w="14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w w:val="92"/>
              </w:rPr>
              <w:t>187,162</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224,733</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223,228</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221,838</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210,856</w:t>
            </w: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Diluted net operating income per common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2.04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1.67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1.84</w:t>
            </w: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Annualized return on</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Average tangible assets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1.51%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1.65%</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1.40%</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1.67%</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1.67%</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1.69%</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1.64%</w:t>
            </w: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Average tangible common stockholders’ equity</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10.49%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26.80%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29.35%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24.11%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28.71%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30.22%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30.02%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29.31%</w:t>
            </w: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Efficiency ratio(a)</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54.30%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51.64%</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50.18%</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55.09%</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50.22%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52.76%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50.70%</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52.36%</w:t>
            </w: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b w:val="1"/>
                <w:bCs w:val="1"/>
                <w:color w:val="auto"/>
              </w:rPr>
              <w:t>Balance sheet data</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i w:val="1"/>
                <w:iCs w:val="1"/>
                <w:color w:val="auto"/>
              </w:rPr>
              <w:t>In millions, except per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Average balances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Total assets(c)</w:t>
            </w:r>
          </w:p>
        </w:tc>
        <w:tc>
          <w:tcPr>
            <w:tcW w:w="14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61,549</w:t>
            </w:r>
          </w:p>
        </w:tc>
        <w:tc>
          <w:tcPr>
            <w:tcW w:w="14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57,862</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57,523</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57,207</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56,575</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56,158</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55,498</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55,106</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Total tangible assets(c)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58,355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54,766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54,415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54,085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53,437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53,004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52,522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52,130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Earning assets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54,765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51,325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50,982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50,693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50,235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49,849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49,443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49,066</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Investment securities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7,905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7,260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6,886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7,214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7,556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7,898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8,314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8,383</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Loans and leases, net of unearned discount</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46,055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43,750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43,572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43,114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42,474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41,710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40,980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40,544</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Deposits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38,565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36,936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37,048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37,966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38,504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39,158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38,435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37,569</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Stockholders’ equity(c)</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6,360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6,186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6,172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6,270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6,244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6,085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5,940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5,893</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Tangible stockholders’ equity(c)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3,166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3,090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3,064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3,148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3,106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2,931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2,964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2,917</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At end of quarter</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Total assets(c)</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64,876</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60,008</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57,869</w:t>
            </w:r>
          </w:p>
        </w:tc>
        <w:tc>
          <w:tcPr>
            <w:tcW w:w="120" w:type="dxa"/>
            <w:vAlign w:val="bottom"/>
          </w:tcPr>
          <w:p>
            <w:pPr>
              <w:spacing w:after="0"/>
              <w:rPr>
                <w:sz w:val="8"/>
                <w:szCs w:val="8"/>
                <w:color w:val="auto"/>
              </w:rPr>
            </w:pPr>
          </w:p>
        </w:tc>
        <w:tc>
          <w:tcPr>
            <w:tcW w:w="14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57,842</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57,065</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56,373</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56,507</w:t>
            </w:r>
          </w:p>
        </w:tc>
        <w:tc>
          <w:tcPr>
            <w:tcW w:w="14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55,420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Total tangible assets(c)</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61,467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56,919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54,767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54,727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53,936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53,227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53,345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52,443</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Earning assets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57,163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53,267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51,131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51,046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50,379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49,950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49,628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49,281</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Investment securities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8,962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8,003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6,982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7,028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7,252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7,626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7,903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8,294</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Loans and leases, net of unearned discount</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48,022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44,778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43,744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43,507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42,947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42,098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41,599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40,859</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Deposits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41,266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38,473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39,419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38,938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39,911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39,079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38,514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38,171</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Stockholders’ equity(c)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6,485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6,238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6,175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6,253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6,281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6,151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6,000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5,919</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Tangible stockholders’ equity(c)</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3,076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3,149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3,073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3,138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3,152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3,005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2,838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2,942</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Equity per common share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58.99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58.40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57.59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57.32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56.94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55.58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54.01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53.11</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Tangible equity per common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27.98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29.48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28.66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28.77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28.57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27.15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25.55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26.41</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line="97" w:lineRule="exact"/>
              <w:rPr>
                <w:sz w:val="20"/>
                <w:szCs w:val="20"/>
                <w:color w:val="auto"/>
              </w:rPr>
            </w:pPr>
            <w:r>
              <w:rPr>
                <w:rFonts w:ascii="Arial" w:cs="Arial" w:eastAsia="Arial" w:hAnsi="Arial"/>
                <w:sz w:val="9"/>
                <w:szCs w:val="9"/>
                <w:b w:val="1"/>
                <w:bCs w:val="1"/>
                <w:color w:val="auto"/>
              </w:rPr>
              <w:t>Market price per common share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High</w:t>
            </w:r>
          </w:p>
        </w:tc>
        <w:tc>
          <w:tcPr>
            <w:tcW w:w="14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108.32</w:t>
            </w:r>
          </w:p>
        </w:tc>
        <w:tc>
          <w:tcPr>
            <w:tcW w:w="14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115.81</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114.33</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125.13</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124.98</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124.94</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119.93</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117.39</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Low</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77.39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97.26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104.00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112.05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117.31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116.00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112.90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105.72</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Closing</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81.57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103.45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106.90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115.83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122.16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119.96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117.92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114.14</w:t>
            </w:r>
          </w:p>
        </w:tc>
        <w:tc>
          <w:tcPr>
            <w:tcW w:w="80" w:type="dxa"/>
            <w:vAlign w:val="bottom"/>
            <w:shd w:val="clear" w:color="auto" w:fill="CCEEF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60960</wp:posOffset>
            </wp:positionV>
            <wp:extent cx="8274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3" w:lineRule="exact"/>
        <w:rPr>
          <w:sz w:val="20"/>
          <w:szCs w:val="20"/>
          <w:color w:val="auto"/>
        </w:rPr>
      </w:pPr>
    </w:p>
    <w:p>
      <w:pPr>
        <w:ind w:left="1000" w:hanging="315"/>
        <w:spacing w:after="0"/>
        <w:tabs>
          <w:tab w:leader="none" w:pos="1000" w:val="left"/>
        </w:tabs>
        <w:numPr>
          <w:ilvl w:val="0"/>
          <w:numId w:val="22"/>
        </w:numPr>
        <w:rPr>
          <w:rFonts w:ascii="Arial" w:cs="Arial" w:eastAsia="Arial" w:hAnsi="Arial"/>
          <w:sz w:val="9"/>
          <w:szCs w:val="9"/>
          <w:i w:val="1"/>
          <w:iCs w:val="1"/>
          <w:color w:val="auto"/>
        </w:rPr>
      </w:pPr>
      <w:r>
        <w:rPr>
          <w:rFonts w:ascii="Arial" w:cs="Arial" w:eastAsia="Arial" w:hAnsi="Arial"/>
          <w:sz w:val="9"/>
          <w:szCs w:val="9"/>
          <w:i w:val="1"/>
          <w:iCs w:val="1"/>
          <w:color w:val="auto"/>
        </w:rPr>
        <w:t>Excludes impact of merger-related expenses and net securities transactions.</w:t>
      </w:r>
    </w:p>
    <w:p>
      <w:pPr>
        <w:spacing w:after="0" w:line="1" w:lineRule="exact"/>
        <w:rPr>
          <w:rFonts w:ascii="Arial" w:cs="Arial" w:eastAsia="Arial" w:hAnsi="Arial"/>
          <w:sz w:val="9"/>
          <w:szCs w:val="9"/>
          <w:i w:val="1"/>
          <w:iCs w:val="1"/>
          <w:color w:val="auto"/>
        </w:rPr>
      </w:pPr>
    </w:p>
    <w:p>
      <w:pPr>
        <w:ind w:left="1000" w:right="140" w:hanging="315"/>
        <w:spacing w:after="0" w:line="223" w:lineRule="auto"/>
        <w:tabs>
          <w:tab w:leader="none" w:pos="1000" w:val="left"/>
        </w:tabs>
        <w:numPr>
          <w:ilvl w:val="0"/>
          <w:numId w:val="22"/>
        </w:numPr>
        <w:rPr>
          <w:rFonts w:ascii="Arial" w:cs="Arial" w:eastAsia="Arial" w:hAnsi="Arial"/>
          <w:sz w:val="9"/>
          <w:szCs w:val="9"/>
          <w:i w:val="1"/>
          <w:iCs w:val="1"/>
          <w:color w:val="auto"/>
        </w:rPr>
      </w:pPr>
      <w:r>
        <w:rPr>
          <w:rFonts w:ascii="Arial" w:cs="Arial" w:eastAsia="Arial" w:hAnsi="Arial"/>
          <w:sz w:val="9"/>
          <w:szCs w:val="9"/>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21.</w:t>
      </w:r>
    </w:p>
    <w:p>
      <w:pPr>
        <w:ind w:left="1000" w:right="20" w:hanging="315"/>
        <w:spacing w:after="0" w:line="235" w:lineRule="auto"/>
        <w:tabs>
          <w:tab w:leader="none" w:pos="1000" w:val="left"/>
        </w:tabs>
        <w:numPr>
          <w:ilvl w:val="0"/>
          <w:numId w:val="22"/>
        </w:numPr>
        <w:rPr>
          <w:rFonts w:ascii="Arial" w:cs="Arial" w:eastAsia="Arial" w:hAnsi="Arial"/>
          <w:sz w:val="9"/>
          <w:szCs w:val="9"/>
          <w:i w:val="1"/>
          <w:iCs w:val="1"/>
          <w:color w:val="auto"/>
        </w:rPr>
      </w:pPr>
      <w:r>
        <w:rPr>
          <w:rFonts w:ascii="Arial" w:cs="Arial" w:eastAsia="Arial" w:hAnsi="Arial"/>
          <w:sz w:val="9"/>
          <w:szCs w:val="9"/>
          <w:i w:val="1"/>
          <w:iCs w:val="1"/>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21.</w:t>
      </w:r>
    </w:p>
    <w:p>
      <w:pPr>
        <w:spacing w:after="0" w:line="14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21</w:t>
      </w:r>
    </w:p>
    <w:p>
      <w:pPr>
        <w:spacing w:after="0" w:line="90"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RECONCILIATION OF QUARTERLY GAAP TO NON-GAAP MEASURES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9"/>
                <w:szCs w:val="9"/>
                <w:b w:val="1"/>
                <w:bCs w:val="1"/>
                <w:color w:val="auto"/>
              </w:rPr>
              <w:t>2007 Quarters</w:t>
            </w: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9"/>
                <w:szCs w:val="9"/>
                <w:b w:val="1"/>
                <w:bCs w:val="1"/>
                <w:color w:val="auto"/>
              </w:rPr>
              <w:t>2006 Quarters</w:t>
            </w: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40"/>
              <w:spacing w:after="0" w:line="86" w:lineRule="exact"/>
              <w:rPr>
                <w:sz w:val="20"/>
                <w:szCs w:val="20"/>
                <w:color w:val="auto"/>
              </w:rPr>
            </w:pPr>
            <w:r>
              <w:rPr>
                <w:rFonts w:ascii="Arial" w:cs="Arial" w:eastAsia="Arial" w:hAnsi="Arial"/>
                <w:sz w:val="9"/>
                <w:szCs w:val="9"/>
                <w:b w:val="1"/>
                <w:bCs w:val="1"/>
                <w:color w:val="auto"/>
                <w:w w:val="98"/>
              </w:rPr>
              <w:t>Fourth</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60"/>
              <w:spacing w:after="0" w:line="86" w:lineRule="exact"/>
              <w:rPr>
                <w:sz w:val="20"/>
                <w:szCs w:val="20"/>
                <w:color w:val="auto"/>
              </w:rPr>
            </w:pPr>
            <w:r>
              <w:rPr>
                <w:rFonts w:ascii="Arial" w:cs="Arial" w:eastAsia="Arial" w:hAnsi="Arial"/>
                <w:sz w:val="9"/>
                <w:szCs w:val="9"/>
                <w:b w:val="1"/>
                <w:bCs w:val="1"/>
                <w:color w:val="auto"/>
              </w:rPr>
              <w:t>Third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40"/>
              <w:spacing w:after="0" w:line="86" w:lineRule="exact"/>
              <w:rPr>
                <w:sz w:val="20"/>
                <w:szCs w:val="20"/>
                <w:color w:val="auto"/>
              </w:rPr>
            </w:pPr>
            <w:r>
              <w:rPr>
                <w:rFonts w:ascii="Arial" w:cs="Arial" w:eastAsia="Arial" w:hAnsi="Arial"/>
                <w:sz w:val="9"/>
                <w:szCs w:val="9"/>
                <w:b w:val="1"/>
                <w:bCs w:val="1"/>
                <w:color w:val="auto"/>
                <w:w w:val="85"/>
              </w:rPr>
              <w:t>Second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ind w:right="109"/>
              <w:spacing w:after="0" w:line="86"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20"/>
              <w:spacing w:after="0" w:line="86" w:lineRule="exact"/>
              <w:rPr>
                <w:sz w:val="20"/>
                <w:szCs w:val="20"/>
                <w:color w:val="auto"/>
              </w:rPr>
            </w:pPr>
            <w:r>
              <w:rPr>
                <w:rFonts w:ascii="Arial" w:cs="Arial" w:eastAsia="Arial" w:hAnsi="Arial"/>
                <w:sz w:val="9"/>
                <w:szCs w:val="9"/>
                <w:b w:val="1"/>
                <w:bCs w:val="1"/>
                <w:color w:val="auto"/>
                <w:w w:val="98"/>
              </w:rPr>
              <w:t>Fourth</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60"/>
              <w:spacing w:after="0" w:line="86"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20"/>
              <w:spacing w:after="0" w:line="86" w:lineRule="exact"/>
              <w:rPr>
                <w:sz w:val="20"/>
                <w:szCs w:val="20"/>
                <w:color w:val="auto"/>
              </w:rPr>
            </w:pPr>
            <w:r>
              <w:rPr>
                <w:rFonts w:ascii="Arial" w:cs="Arial" w:eastAsia="Arial" w:hAnsi="Arial"/>
                <w:sz w:val="9"/>
                <w:szCs w:val="9"/>
                <w:b w:val="1"/>
                <w:bCs w:val="1"/>
                <w:color w:val="auto"/>
                <w:w w:val="85"/>
              </w:rPr>
              <w:t>Second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ind w:right="109"/>
              <w:spacing w:after="0" w:line="86" w:lineRule="exact"/>
              <w:rPr>
                <w:sz w:val="20"/>
                <w:szCs w:val="20"/>
                <w:color w:val="auto"/>
              </w:rPr>
            </w:pPr>
            <w:r>
              <w:rPr>
                <w:rFonts w:ascii="Arial" w:cs="Arial" w:eastAsia="Arial" w:hAnsi="Arial"/>
                <w:sz w:val="9"/>
                <w:szCs w:val="9"/>
                <w:b w:val="1"/>
                <w:bCs w:val="1"/>
                <w:color w:val="auto"/>
              </w:rPr>
              <w:t>First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Income statement data</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i w:val="1"/>
                <w:iCs w:val="1"/>
                <w:color w:val="auto"/>
              </w:rPr>
              <w:t>In thousands, except per share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Net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Net income</w:t>
            </w:r>
          </w:p>
        </w:tc>
        <w:tc>
          <w:tcPr>
            <w:tcW w:w="10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64,930</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199,187</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214,169</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w w:val="99"/>
              </w:rPr>
              <w:t>175,973</w:t>
            </w:r>
          </w:p>
        </w:tc>
        <w:tc>
          <w:tcPr>
            <w:tcW w:w="100" w:type="dxa"/>
            <w:vAlign w:val="bottom"/>
          </w:tcPr>
          <w:p>
            <w:pPr>
              <w:spacing w:after="0"/>
              <w:rPr>
                <w:sz w:val="9"/>
                <w:szCs w:val="9"/>
                <w:color w:val="auto"/>
              </w:rPr>
            </w:pPr>
          </w:p>
        </w:tc>
        <w:tc>
          <w:tcPr>
            <w:tcW w:w="1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213,329</w:t>
            </w:r>
          </w:p>
        </w:tc>
        <w:tc>
          <w:tcPr>
            <w:tcW w:w="10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210,370</w:t>
            </w:r>
          </w:p>
        </w:tc>
        <w:tc>
          <w:tcPr>
            <w:tcW w:w="120" w:type="dxa"/>
            <w:vAlign w:val="bottom"/>
          </w:tcPr>
          <w:p>
            <w:pPr>
              <w:spacing w:after="0"/>
              <w:rPr>
                <w:sz w:val="9"/>
                <w:szCs w:val="9"/>
                <w:color w:val="auto"/>
              </w:rPr>
            </w:pPr>
          </w:p>
        </w:tc>
        <w:tc>
          <w:tcPr>
            <w:tcW w:w="16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212,573</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w w:val="99"/>
              </w:rPr>
              <w:t>202,917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Amortization of core deposit and other intangible assets(a)</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9,719</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9,562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10,021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11,189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11,404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12,154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6,921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7,939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Merger-related expenses(a)</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9,070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704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2,344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continue"/>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Net operating income</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83,719</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208,749</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224,190</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9"/>
              </w:rPr>
              <w:t>187,162</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224,733</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223,228</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221,838</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9"/>
              </w:rPr>
              <w:t>210,856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500" w:type="dxa"/>
            <w:vAlign w:val="bottom"/>
            <w:gridSpan w:val="2"/>
          </w:tcPr>
          <w:p>
            <w:pPr>
              <w:spacing w:after="0"/>
              <w:rPr>
                <w:sz w:val="20"/>
                <w:szCs w:val="20"/>
                <w:color w:val="auto"/>
              </w:rPr>
            </w:pPr>
            <w:r>
              <w:rPr>
                <w:rFonts w:ascii="Arial" w:cs="Arial" w:eastAsia="Arial" w:hAnsi="Arial"/>
                <w:sz w:val="10"/>
                <w:szCs w:val="10"/>
                <w:b w:val="1"/>
                <w:bCs w:val="1"/>
                <w:color w:val="auto"/>
              </w:rPr>
              <w:t>Earnings per share</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Diluted earnings per common share</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.60</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1.83</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1.95</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1.57</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1.88</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1.85</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1.87</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Amortization of core deposit and other intangible assets(a)</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.09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.09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.09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.06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Merger-related expenses(a)</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.02</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tcPr>
          <w:p>
            <w:pPr>
              <w:ind w:left="100"/>
              <w:spacing w:after="0" w:line="106" w:lineRule="exact"/>
              <w:rPr>
                <w:sz w:val="20"/>
                <w:szCs w:val="20"/>
                <w:color w:val="auto"/>
              </w:rPr>
            </w:pPr>
            <w:r>
              <w:rPr>
                <w:rFonts w:ascii="Arial" w:cs="Arial" w:eastAsia="Arial" w:hAnsi="Arial"/>
                <w:sz w:val="10"/>
                <w:szCs w:val="10"/>
                <w:color w:val="auto"/>
              </w:rPr>
              <w:t>Diluted net operating earnings per share</w:t>
            </w: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.77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1.92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2.04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1.67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1.98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1.96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1.95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1.84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Other expense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Other expense</w:t>
            </w:r>
          </w:p>
        </w:tc>
        <w:tc>
          <w:tcPr>
            <w:tcW w:w="10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445,473</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390,528</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392,651</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w w:val="99"/>
              </w:rPr>
              <w:t>399,037</w:t>
            </w:r>
          </w:p>
        </w:tc>
        <w:tc>
          <w:tcPr>
            <w:tcW w:w="100" w:type="dxa"/>
            <w:vAlign w:val="bottom"/>
          </w:tcPr>
          <w:p>
            <w:pPr>
              <w:spacing w:after="0"/>
              <w:rPr>
                <w:sz w:val="9"/>
                <w:szCs w:val="9"/>
                <w:color w:val="auto"/>
              </w:rPr>
            </w:pPr>
          </w:p>
        </w:tc>
        <w:tc>
          <w:tcPr>
            <w:tcW w:w="1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383,810</w:t>
            </w:r>
          </w:p>
        </w:tc>
        <w:tc>
          <w:tcPr>
            <w:tcW w:w="10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408,941</w:t>
            </w:r>
          </w:p>
        </w:tc>
        <w:tc>
          <w:tcPr>
            <w:tcW w:w="120" w:type="dxa"/>
            <w:vAlign w:val="bottom"/>
          </w:tcPr>
          <w:p>
            <w:pPr>
              <w:spacing w:after="0"/>
              <w:rPr>
                <w:sz w:val="9"/>
                <w:szCs w:val="9"/>
                <w:color w:val="auto"/>
              </w:rPr>
            </w:pPr>
          </w:p>
        </w:tc>
        <w:tc>
          <w:tcPr>
            <w:tcW w:w="16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376,997</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w w:val="99"/>
              </w:rPr>
              <w:t>382,003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Amortization of core deposit and other intangible assets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(15,971)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(15,702)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(16,457)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(18,356)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(18,687)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(19,936)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(11,357)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(13,028)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Merger-related expenses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(14,887)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(1,155)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(3,842)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continue"/>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Noninterest operating expense</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414,615</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374,826</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376,194</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9"/>
              </w:rPr>
              <w:t>380,681</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365,123</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387,850</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361,798</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9"/>
              </w:rPr>
              <w:t>368,975</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500" w:type="dxa"/>
            <w:vAlign w:val="bottom"/>
            <w:gridSpan w:val="2"/>
          </w:tcPr>
          <w:p>
            <w:pPr>
              <w:spacing w:after="0"/>
              <w:rPr>
                <w:sz w:val="20"/>
                <w:szCs w:val="20"/>
                <w:color w:val="auto"/>
              </w:rPr>
            </w:pPr>
            <w:r>
              <w:rPr>
                <w:rFonts w:ascii="Arial" w:cs="Arial" w:eastAsia="Arial" w:hAnsi="Arial"/>
                <w:sz w:val="10"/>
                <w:szCs w:val="10"/>
                <w:b w:val="1"/>
                <w:bCs w:val="1"/>
                <w:color w:val="auto"/>
              </w:rPr>
              <w:t>Merger-related expenses</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Salaries and employee benefits</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1,333</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305</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510</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Equipment and net occupancy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238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212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Printing, postage and supplies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1,474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Other costs of operations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11,842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697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3,106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Total</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14,887</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1,155</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3,842</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6"/>
        </w:trPr>
        <w:tc>
          <w:tcPr>
            <w:tcW w:w="4500" w:type="dxa"/>
            <w:vAlign w:val="bottom"/>
            <w:gridSpan w:val="2"/>
          </w:tcPr>
          <w:p>
            <w:pPr>
              <w:spacing w:after="0"/>
              <w:rPr>
                <w:sz w:val="20"/>
                <w:szCs w:val="20"/>
                <w:color w:val="auto"/>
              </w:rPr>
            </w:pPr>
            <w:r>
              <w:rPr>
                <w:rFonts w:ascii="Arial" w:cs="Arial" w:eastAsia="Arial" w:hAnsi="Arial"/>
                <w:sz w:val="10"/>
                <w:szCs w:val="10"/>
                <w:b w:val="1"/>
                <w:bCs w:val="1"/>
                <w:color w:val="auto"/>
              </w:rPr>
              <w:t>Balance sheet data</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i w:val="1"/>
                <w:iCs w:val="1"/>
                <w:color w:val="auto"/>
              </w:rPr>
              <w:t>In millions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b w:val="1"/>
                <w:bCs w:val="1"/>
                <w:color w:val="auto"/>
              </w:rPr>
              <w:t>Average assets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Average assets</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61,549</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57,862</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57,523</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57,207</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56,575</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56,158</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55,498</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55,106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Goodwill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(3,006)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(2,907)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Core deposit and other intangible assets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(213)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(281)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Deferred taxes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Average tangible assets</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58,355</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54,766</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54,415</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54,085</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53,437</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53,004</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52,522</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52,130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500" w:type="dxa"/>
            <w:vAlign w:val="bottom"/>
            <w:gridSpan w:val="2"/>
          </w:tcPr>
          <w:p>
            <w:pPr>
              <w:spacing w:after="0"/>
              <w:rPr>
                <w:sz w:val="20"/>
                <w:szCs w:val="20"/>
                <w:color w:val="auto"/>
              </w:rPr>
            </w:pPr>
            <w:r>
              <w:rPr>
                <w:rFonts w:ascii="Arial" w:cs="Arial" w:eastAsia="Arial" w:hAnsi="Arial"/>
                <w:sz w:val="10"/>
                <w:szCs w:val="10"/>
                <w:b w:val="1"/>
                <w:bCs w:val="1"/>
                <w:color w:val="auto"/>
              </w:rPr>
              <w:t>Average equity</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Average equity</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6,360</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6,186</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6,172</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6,270</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6,244</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6,085</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5,940</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5,893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Goodwill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(3,006)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(2,907)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Core deposit and other intangible assets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(213)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(281)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Deferred taxes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Average tangible equity</w:t>
            </w:r>
          </w:p>
        </w:tc>
        <w:tc>
          <w:tcPr>
            <w:tcW w:w="10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3,166</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3,090</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3,064</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3,148</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3,106</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2,931</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2,964</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2,917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500" w:type="dxa"/>
            <w:vAlign w:val="bottom"/>
            <w:gridSpan w:val="2"/>
          </w:tcPr>
          <w:p>
            <w:pPr>
              <w:spacing w:after="0"/>
              <w:rPr>
                <w:sz w:val="20"/>
                <w:szCs w:val="20"/>
                <w:color w:val="auto"/>
              </w:rPr>
            </w:pPr>
            <w:r>
              <w:rPr>
                <w:rFonts w:ascii="Arial" w:cs="Arial" w:eastAsia="Arial" w:hAnsi="Arial"/>
                <w:sz w:val="10"/>
                <w:szCs w:val="10"/>
                <w:b w:val="1"/>
                <w:bCs w:val="1"/>
                <w:color w:val="auto"/>
              </w:rPr>
              <w:t>At end of quarter</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Total assets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Total assets</w:t>
            </w:r>
          </w:p>
        </w:tc>
        <w:tc>
          <w:tcPr>
            <w:tcW w:w="10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64,876</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60,008</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57,869</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57,842</w:t>
            </w:r>
          </w:p>
        </w:tc>
        <w:tc>
          <w:tcPr>
            <w:tcW w:w="100" w:type="dxa"/>
            <w:vAlign w:val="bottom"/>
          </w:tcPr>
          <w:p>
            <w:pPr>
              <w:spacing w:after="0"/>
              <w:rPr>
                <w:sz w:val="9"/>
                <w:szCs w:val="9"/>
                <w:color w:val="auto"/>
              </w:rPr>
            </w:pPr>
          </w:p>
        </w:tc>
        <w:tc>
          <w:tcPr>
            <w:tcW w:w="1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57,065</w:t>
            </w:r>
          </w:p>
        </w:tc>
        <w:tc>
          <w:tcPr>
            <w:tcW w:w="10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56,373</w:t>
            </w:r>
          </w:p>
        </w:tc>
        <w:tc>
          <w:tcPr>
            <w:tcW w:w="120" w:type="dxa"/>
            <w:vAlign w:val="bottom"/>
          </w:tcPr>
          <w:p>
            <w:pPr>
              <w:spacing w:after="0"/>
              <w:rPr>
                <w:sz w:val="9"/>
                <w:szCs w:val="9"/>
                <w:color w:val="auto"/>
              </w:rPr>
            </w:pPr>
          </w:p>
        </w:tc>
        <w:tc>
          <w:tcPr>
            <w:tcW w:w="16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56,507</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55,420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Goodwill</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(3,196)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(2,909)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Core deposit and other intangible assets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(216)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(232)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(250)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(271)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Deferred taxes</w:t>
            </w: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tcPr>
          <w:p>
            <w:pPr>
              <w:ind w:left="100"/>
              <w:spacing w:after="0" w:line="106" w:lineRule="exact"/>
              <w:rPr>
                <w:sz w:val="20"/>
                <w:szCs w:val="20"/>
                <w:color w:val="auto"/>
              </w:rPr>
            </w:pPr>
            <w:r>
              <w:rPr>
                <w:rFonts w:ascii="Arial" w:cs="Arial" w:eastAsia="Arial" w:hAnsi="Arial"/>
                <w:sz w:val="10"/>
                <w:szCs w:val="10"/>
                <w:color w:val="auto"/>
              </w:rPr>
              <w:t>Total tangible assets</w:t>
            </w:r>
          </w:p>
        </w:tc>
        <w:tc>
          <w:tcPr>
            <w:tcW w:w="2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61,467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56,919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54,767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54,727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53,936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53,227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53,345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52,443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equity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Total equity</w:t>
            </w:r>
          </w:p>
        </w:tc>
        <w:tc>
          <w:tcPr>
            <w:tcW w:w="10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6,485</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6,238</w:t>
            </w:r>
          </w:p>
        </w:tc>
        <w:tc>
          <w:tcPr>
            <w:tcW w:w="12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6,175</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6,253</w:t>
            </w:r>
          </w:p>
        </w:tc>
        <w:tc>
          <w:tcPr>
            <w:tcW w:w="100" w:type="dxa"/>
            <w:vAlign w:val="bottom"/>
          </w:tcPr>
          <w:p>
            <w:pPr>
              <w:spacing w:after="0"/>
              <w:rPr>
                <w:sz w:val="9"/>
                <w:szCs w:val="9"/>
                <w:color w:val="auto"/>
              </w:rPr>
            </w:pPr>
          </w:p>
        </w:tc>
        <w:tc>
          <w:tcPr>
            <w:tcW w:w="1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6,281</w:t>
            </w:r>
          </w:p>
        </w:tc>
        <w:tc>
          <w:tcPr>
            <w:tcW w:w="100" w:type="dxa"/>
            <w:vAlign w:val="bottom"/>
          </w:tcPr>
          <w:p>
            <w:pPr>
              <w:spacing w:after="0"/>
              <w:rPr>
                <w:sz w:val="9"/>
                <w:szCs w:val="9"/>
                <w:color w:val="auto"/>
              </w:rPr>
            </w:pPr>
          </w:p>
        </w:tc>
        <w:tc>
          <w:tcPr>
            <w:tcW w:w="1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6,151</w:t>
            </w:r>
          </w:p>
        </w:tc>
        <w:tc>
          <w:tcPr>
            <w:tcW w:w="120" w:type="dxa"/>
            <w:vAlign w:val="bottom"/>
          </w:tcPr>
          <w:p>
            <w:pPr>
              <w:spacing w:after="0"/>
              <w:rPr>
                <w:sz w:val="9"/>
                <w:szCs w:val="9"/>
                <w:color w:val="auto"/>
              </w:rPr>
            </w:pPr>
          </w:p>
        </w:tc>
        <w:tc>
          <w:tcPr>
            <w:tcW w:w="16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6,000</w:t>
            </w:r>
          </w:p>
        </w:tc>
        <w:tc>
          <w:tcPr>
            <w:tcW w:w="120" w:type="dxa"/>
            <w:vAlign w:val="bottom"/>
          </w:tcPr>
          <w:p>
            <w:pPr>
              <w:spacing w:after="0"/>
              <w:rPr>
                <w:sz w:val="9"/>
                <w:szCs w:val="9"/>
                <w:color w:val="auto"/>
              </w:rPr>
            </w:pPr>
          </w:p>
        </w:tc>
        <w:tc>
          <w:tcPr>
            <w:tcW w:w="180" w:type="dxa"/>
            <w:vAlign w:val="bottom"/>
            <w:gridSpan w:val="2"/>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5,919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Goodwill</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(3,196)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(2,909)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Pr>
          <w:p>
            <w:pPr>
              <w:spacing w:after="0" w:line="106" w:lineRule="exact"/>
              <w:rPr>
                <w:sz w:val="20"/>
                <w:szCs w:val="20"/>
                <w:color w:val="auto"/>
              </w:rPr>
            </w:pPr>
            <w:r>
              <w:rPr>
                <w:rFonts w:ascii="Arial" w:cs="Arial" w:eastAsia="Arial" w:hAnsi="Arial"/>
                <w:sz w:val="10"/>
                <w:szCs w:val="10"/>
                <w:color w:val="auto"/>
              </w:rPr>
              <w:t>Core deposit and other intangible assets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(216)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(232)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(250)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(271)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Deferred taxes</w:t>
            </w: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80" w:type="dxa"/>
            <w:vAlign w:val="bottom"/>
          </w:tcPr>
          <w:p>
            <w:pPr>
              <w:ind w:left="100"/>
              <w:spacing w:after="0" w:line="106" w:lineRule="exact"/>
              <w:rPr>
                <w:sz w:val="20"/>
                <w:szCs w:val="20"/>
                <w:color w:val="auto"/>
              </w:rPr>
            </w:pPr>
            <w:r>
              <w:rPr>
                <w:rFonts w:ascii="Arial" w:cs="Arial" w:eastAsia="Arial" w:hAnsi="Arial"/>
                <w:sz w:val="10"/>
                <w:szCs w:val="10"/>
                <w:color w:val="auto"/>
              </w:rPr>
              <w:t>Total tangible equity</w:t>
            </w: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3,076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3,149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3,073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3,138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3,152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3,005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2,838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2,942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67310</wp:posOffset>
            </wp:positionV>
            <wp:extent cx="8274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31" w:lineRule="exact"/>
        <w:rPr>
          <w:sz w:val="20"/>
          <w:szCs w:val="20"/>
          <w:color w:val="auto"/>
        </w:rPr>
      </w:pPr>
    </w:p>
    <w:p>
      <w:pPr>
        <w:ind w:left="980"/>
        <w:spacing w:after="0"/>
        <w:tabs>
          <w:tab w:leader="none" w:pos="1160" w:val="left"/>
        </w:tabs>
        <w:rPr>
          <w:sz w:val="20"/>
          <w:szCs w:val="20"/>
          <w:color w:val="auto"/>
        </w:rPr>
      </w:pPr>
      <w:r>
        <w:rPr>
          <w:rFonts w:ascii="Arial" w:cs="Arial" w:eastAsia="Arial" w:hAnsi="Arial"/>
          <w:sz w:val="10"/>
          <w:szCs w:val="10"/>
          <w:i w:val="1"/>
          <w:iCs w:val="1"/>
          <w:color w:val="auto"/>
        </w:rPr>
        <w:t>(a)</w:t>
      </w:r>
      <w:r>
        <w:rPr>
          <w:sz w:val="20"/>
          <w:szCs w:val="20"/>
          <w:color w:val="auto"/>
        </w:rPr>
        <w:tab/>
      </w:r>
      <w:r>
        <w:rPr>
          <w:rFonts w:ascii="Arial" w:cs="Arial" w:eastAsia="Arial" w:hAnsi="Arial"/>
          <w:sz w:val="9"/>
          <w:szCs w:val="9"/>
          <w:i w:val="1"/>
          <w:iCs w:val="1"/>
          <w:color w:val="auto"/>
        </w:rPr>
        <w:t>After any related tax effect.</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4" w:lineRule="exact"/>
        <w:rPr>
          <w:sz w:val="20"/>
          <w:szCs w:val="20"/>
          <w:color w:val="auto"/>
        </w:rPr>
      </w:pPr>
    </w:p>
    <w:p>
      <w:pPr>
        <w:ind w:left="680" w:right="920"/>
        <w:spacing w:after="0" w:line="272" w:lineRule="auto"/>
        <w:rPr>
          <w:sz w:val="20"/>
          <w:szCs w:val="20"/>
          <w:color w:val="auto"/>
        </w:rPr>
      </w:pPr>
      <w:r>
        <w:rPr>
          <w:rFonts w:ascii="Arial" w:cs="Arial" w:eastAsia="Arial" w:hAnsi="Arial"/>
          <w:sz w:val="14"/>
          <w:szCs w:val="14"/>
          <w:color w:val="auto"/>
        </w:rPr>
        <w:t>Incorporated by reference to the discussion contained in Part II, Item 7, “Management’s Discussion and Analysis of Financial Condition and Results of Operations,” under the captions “Liquidity, Market Risk, and Interest Rate Sensitivity” (including Table 18) and “Capital.”</w:t>
      </w:r>
    </w:p>
    <w:p>
      <w:pPr>
        <w:spacing w:after="0" w:line="12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94" w:lineRule="exact"/>
        <w:rPr>
          <w:sz w:val="20"/>
          <w:szCs w:val="20"/>
          <w:color w:val="auto"/>
        </w:rPr>
      </w:pPr>
    </w:p>
    <w:p>
      <w:pPr>
        <w:ind w:left="680" w:right="920"/>
        <w:spacing w:after="0" w:line="272" w:lineRule="auto"/>
        <w:rPr>
          <w:sz w:val="20"/>
          <w:szCs w:val="20"/>
          <w:color w:val="auto"/>
        </w:rPr>
      </w:pPr>
      <w:r>
        <w:rPr>
          <w:rFonts w:ascii="Arial" w:cs="Arial" w:eastAsia="Arial" w:hAnsi="Arial"/>
          <w:sz w:val="14"/>
          <w:szCs w:val="14"/>
          <w:color w:val="auto"/>
        </w:rPr>
        <w:t>Financial Statements and Supplementary Data consist of the financial statements as indexed and presented below and Table 20 “Quarterly Trends” presented in Part II, Item 7, “Management’s Discussion and Analysis of Financial Condition and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8080" w:type="dxa"/>
            <w:vAlign w:val="bottom"/>
            <w:gridSpan w:val="9"/>
          </w:tcPr>
          <w:p>
            <w:pPr>
              <w:spacing w:after="0"/>
              <w:rPr>
                <w:sz w:val="20"/>
                <w:szCs w:val="20"/>
                <w:color w:val="auto"/>
              </w:rPr>
            </w:pPr>
            <w:r>
              <w:rPr>
                <w:rFonts w:ascii="Arial" w:cs="Arial" w:eastAsia="Arial" w:hAnsi="Arial"/>
                <w:sz w:val="13"/>
                <w:szCs w:val="13"/>
                <w:b w:val="1"/>
                <w:bCs w:val="1"/>
                <w:color w:val="auto"/>
              </w:rPr>
              <w:t>Index to Financial Statements and Financial Statement Schedules</w:t>
            </w:r>
          </w:p>
        </w:tc>
        <w:tc>
          <w:tcPr>
            <w:tcW w:w="272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3000" w:type="dxa"/>
            <w:vAlign w:val="bottom"/>
            <w:tcBorders>
              <w:bottom w:val="single" w:sz="8" w:color="0000EE"/>
            </w:tcBorders>
            <w:gridSpan w:val="3"/>
          </w:tcPr>
          <w:p>
            <w:pPr>
              <w:spacing w:after="0"/>
              <w:rPr>
                <w:rFonts w:ascii="Arial" w:cs="Arial" w:eastAsia="Arial" w:hAnsi="Arial"/>
                <w:sz w:val="14"/>
                <w:szCs w:val="14"/>
                <w:color w:val="0000EE"/>
                <w:w w:val="93"/>
              </w:rPr>
            </w:pPr>
            <w:hyperlink w:anchor="page87">
              <w:r>
                <w:rPr>
                  <w:rFonts w:ascii="Arial" w:cs="Arial" w:eastAsia="Arial" w:hAnsi="Arial"/>
                  <w:sz w:val="14"/>
                  <w:szCs w:val="14"/>
                  <w:color w:val="0000EE"/>
                  <w:w w:val="93"/>
                </w:rPr>
                <w:t>Report on Internal Control Over Financial Reporting</w:t>
              </w:r>
            </w:hyperlink>
          </w:p>
        </w:tc>
        <w:tc>
          <w:tcPr>
            <w:tcW w:w="5080" w:type="dxa"/>
            <w:vAlign w:val="bottom"/>
            <w:gridSpan w:val="6"/>
          </w:tcPr>
          <w:p>
            <w:pPr>
              <w:spacing w:after="0"/>
              <w:rPr>
                <w:sz w:val="14"/>
                <w:szCs w:val="14"/>
                <w:color w:val="auto"/>
              </w:rPr>
            </w:pPr>
          </w:p>
        </w:tc>
        <w:tc>
          <w:tcPr>
            <w:tcW w:w="2720" w:type="dxa"/>
            <w:vAlign w:val="bottom"/>
          </w:tcPr>
          <w:p>
            <w:pPr>
              <w:jc w:val="right"/>
              <w:ind w:right="791"/>
              <w:spacing w:after="0"/>
              <w:rPr>
                <w:sz w:val="20"/>
                <w:szCs w:val="20"/>
                <w:color w:val="auto"/>
              </w:rPr>
            </w:pPr>
            <w:r>
              <w:rPr>
                <w:rFonts w:ascii="Arial" w:cs="Arial" w:eastAsia="Arial" w:hAnsi="Arial"/>
                <w:sz w:val="14"/>
                <w:szCs w:val="14"/>
                <w:color w:val="auto"/>
              </w:rPr>
              <w:t>86</w:t>
            </w:r>
          </w:p>
        </w:tc>
      </w:tr>
      <w:tr>
        <w:trPr>
          <w:trHeight w:val="144"/>
        </w:trPr>
        <w:tc>
          <w:tcPr>
            <w:tcW w:w="680" w:type="dxa"/>
            <w:vAlign w:val="bottom"/>
          </w:tcPr>
          <w:p>
            <w:pPr>
              <w:spacing w:after="0"/>
              <w:rPr>
                <w:sz w:val="12"/>
                <w:szCs w:val="12"/>
                <w:color w:val="auto"/>
              </w:rPr>
            </w:pPr>
          </w:p>
        </w:tc>
        <w:tc>
          <w:tcPr>
            <w:tcW w:w="8080" w:type="dxa"/>
            <w:vAlign w:val="bottom"/>
            <w:gridSpan w:val="9"/>
          </w:tcPr>
          <w:p>
            <w:pPr>
              <w:spacing w:after="0" w:line="144" w:lineRule="exact"/>
              <w:rPr>
                <w:rFonts w:ascii="Arial" w:cs="Arial" w:eastAsia="Arial" w:hAnsi="Arial"/>
                <w:sz w:val="14"/>
                <w:szCs w:val="14"/>
                <w:color w:val="0000EE"/>
              </w:rPr>
            </w:pPr>
            <w:hyperlink w:anchor="page88">
              <w:r>
                <w:rPr>
                  <w:rFonts w:ascii="Arial" w:cs="Arial" w:eastAsia="Arial" w:hAnsi="Arial"/>
                  <w:sz w:val="14"/>
                  <w:szCs w:val="14"/>
                  <w:color w:val="0000EE"/>
                </w:rPr>
                <w:t>Report of Independent Registered Public Accounting Firm</w:t>
              </w:r>
            </w:hyperlink>
          </w:p>
        </w:tc>
        <w:tc>
          <w:tcPr>
            <w:tcW w:w="2720" w:type="dxa"/>
            <w:vAlign w:val="bottom"/>
          </w:tcPr>
          <w:p>
            <w:pPr>
              <w:jc w:val="right"/>
              <w:ind w:right="791"/>
              <w:spacing w:after="0" w:line="144" w:lineRule="exact"/>
              <w:rPr>
                <w:sz w:val="20"/>
                <w:szCs w:val="20"/>
                <w:color w:val="auto"/>
              </w:rPr>
            </w:pPr>
            <w:r>
              <w:rPr>
                <w:rFonts w:ascii="Arial" w:cs="Arial" w:eastAsia="Arial" w:hAnsi="Arial"/>
                <w:sz w:val="14"/>
                <w:szCs w:val="14"/>
                <w:color w:val="auto"/>
              </w:rPr>
              <w:t>87</w:t>
            </w:r>
          </w:p>
        </w:tc>
      </w:tr>
      <w:tr>
        <w:trPr>
          <w:trHeight w:val="20"/>
        </w:trPr>
        <w:tc>
          <w:tcPr>
            <w:tcW w:w="6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3480" w:type="dxa"/>
            <w:vAlign w:val="bottom"/>
            <w:tcBorders>
              <w:bottom w:val="single" w:sz="8" w:color="0000EE"/>
            </w:tcBorders>
            <w:gridSpan w:val="5"/>
          </w:tcPr>
          <w:p>
            <w:pPr>
              <w:spacing w:after="0" w:line="144" w:lineRule="exact"/>
              <w:rPr>
                <w:rFonts w:ascii="Arial" w:cs="Arial" w:eastAsia="Arial" w:hAnsi="Arial"/>
                <w:sz w:val="14"/>
                <w:szCs w:val="14"/>
                <w:color w:val="0000EE"/>
                <w:w w:val="90"/>
              </w:rPr>
            </w:pPr>
            <w:hyperlink w:anchor="page89">
              <w:r>
                <w:rPr>
                  <w:rFonts w:ascii="Arial" w:cs="Arial" w:eastAsia="Arial" w:hAnsi="Arial"/>
                  <w:sz w:val="14"/>
                  <w:szCs w:val="14"/>
                  <w:color w:val="0000EE"/>
                  <w:w w:val="90"/>
                </w:rPr>
                <w:t>Consolidated Balance Sheet — December 31, 2007 and 2006</w:t>
              </w:r>
            </w:hyperlink>
          </w:p>
        </w:tc>
        <w:tc>
          <w:tcPr>
            <w:tcW w:w="4600" w:type="dxa"/>
            <w:vAlign w:val="bottom"/>
            <w:gridSpan w:val="4"/>
          </w:tcPr>
          <w:p>
            <w:pPr>
              <w:spacing w:after="0"/>
              <w:rPr>
                <w:sz w:val="12"/>
                <w:szCs w:val="12"/>
                <w:color w:val="auto"/>
              </w:rPr>
            </w:pPr>
          </w:p>
        </w:tc>
        <w:tc>
          <w:tcPr>
            <w:tcW w:w="2720" w:type="dxa"/>
            <w:vAlign w:val="bottom"/>
          </w:tcPr>
          <w:p>
            <w:pPr>
              <w:jc w:val="right"/>
              <w:ind w:right="791"/>
              <w:spacing w:after="0" w:line="144" w:lineRule="exact"/>
              <w:rPr>
                <w:sz w:val="20"/>
                <w:szCs w:val="20"/>
                <w:color w:val="auto"/>
              </w:rPr>
            </w:pPr>
            <w:r>
              <w:rPr>
                <w:rFonts w:ascii="Arial" w:cs="Arial" w:eastAsia="Arial" w:hAnsi="Arial"/>
                <w:sz w:val="14"/>
                <w:szCs w:val="14"/>
                <w:color w:val="auto"/>
              </w:rPr>
              <w:t>88</w:t>
            </w:r>
          </w:p>
        </w:tc>
      </w:tr>
      <w:tr>
        <w:trPr>
          <w:trHeight w:val="144"/>
        </w:trPr>
        <w:tc>
          <w:tcPr>
            <w:tcW w:w="680" w:type="dxa"/>
            <w:vAlign w:val="bottom"/>
          </w:tcPr>
          <w:p>
            <w:pPr>
              <w:spacing w:after="0"/>
              <w:rPr>
                <w:sz w:val="12"/>
                <w:szCs w:val="12"/>
                <w:color w:val="auto"/>
              </w:rPr>
            </w:pPr>
          </w:p>
        </w:tc>
        <w:tc>
          <w:tcPr>
            <w:tcW w:w="8080" w:type="dxa"/>
            <w:vAlign w:val="bottom"/>
            <w:gridSpan w:val="9"/>
          </w:tcPr>
          <w:p>
            <w:pPr>
              <w:spacing w:after="0" w:line="144" w:lineRule="exact"/>
              <w:rPr>
                <w:rFonts w:ascii="Arial" w:cs="Arial" w:eastAsia="Arial" w:hAnsi="Arial"/>
                <w:sz w:val="14"/>
                <w:szCs w:val="14"/>
                <w:color w:val="0000EE"/>
              </w:rPr>
            </w:pPr>
            <w:hyperlink w:anchor="page90">
              <w:r>
                <w:rPr>
                  <w:rFonts w:ascii="Arial" w:cs="Arial" w:eastAsia="Arial" w:hAnsi="Arial"/>
                  <w:sz w:val="14"/>
                  <w:szCs w:val="14"/>
                  <w:color w:val="0000EE"/>
                </w:rPr>
                <w:t>Consolidated Statement of Income — Years ended December 31, 2007, 2006 and 2005</w:t>
              </w:r>
            </w:hyperlink>
          </w:p>
        </w:tc>
        <w:tc>
          <w:tcPr>
            <w:tcW w:w="2720" w:type="dxa"/>
            <w:vAlign w:val="bottom"/>
          </w:tcPr>
          <w:p>
            <w:pPr>
              <w:jc w:val="right"/>
              <w:ind w:right="791"/>
              <w:spacing w:after="0" w:line="144" w:lineRule="exact"/>
              <w:rPr>
                <w:sz w:val="20"/>
                <w:szCs w:val="20"/>
                <w:color w:val="auto"/>
              </w:rPr>
            </w:pPr>
            <w:r>
              <w:rPr>
                <w:rFonts w:ascii="Arial" w:cs="Arial" w:eastAsia="Arial" w:hAnsi="Arial"/>
                <w:sz w:val="14"/>
                <w:szCs w:val="14"/>
                <w:color w:val="auto"/>
              </w:rPr>
              <w:t>89</w:t>
            </w:r>
          </w:p>
        </w:tc>
      </w:tr>
      <w:tr>
        <w:trPr>
          <w:trHeight w:val="20"/>
        </w:trPr>
        <w:tc>
          <w:tcPr>
            <w:tcW w:w="6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gridSpan w:val="9"/>
          </w:tcPr>
          <w:p>
            <w:pPr>
              <w:spacing w:after="0" w:line="144" w:lineRule="exact"/>
              <w:rPr>
                <w:rFonts w:ascii="Arial" w:cs="Arial" w:eastAsia="Arial" w:hAnsi="Arial"/>
                <w:sz w:val="14"/>
                <w:szCs w:val="14"/>
                <w:color w:val="0000EE"/>
              </w:rPr>
            </w:pPr>
            <w:hyperlink w:anchor="page91">
              <w:r>
                <w:rPr>
                  <w:rFonts w:ascii="Arial" w:cs="Arial" w:eastAsia="Arial" w:hAnsi="Arial"/>
                  <w:sz w:val="14"/>
                  <w:szCs w:val="14"/>
                  <w:color w:val="0000EE"/>
                </w:rPr>
                <w:t>Consolidated Statement of Cash Flows — Years ended December 31, 2007, 2006 and 2005</w:t>
              </w:r>
            </w:hyperlink>
          </w:p>
        </w:tc>
        <w:tc>
          <w:tcPr>
            <w:tcW w:w="2720" w:type="dxa"/>
            <w:vAlign w:val="bottom"/>
          </w:tcPr>
          <w:p>
            <w:pPr>
              <w:jc w:val="right"/>
              <w:ind w:right="791"/>
              <w:spacing w:after="0" w:line="144" w:lineRule="exact"/>
              <w:rPr>
                <w:sz w:val="20"/>
                <w:szCs w:val="20"/>
                <w:color w:val="auto"/>
              </w:rPr>
            </w:pPr>
            <w:r>
              <w:rPr>
                <w:rFonts w:ascii="Arial" w:cs="Arial" w:eastAsia="Arial" w:hAnsi="Arial"/>
                <w:sz w:val="14"/>
                <w:szCs w:val="14"/>
                <w:color w:val="auto"/>
              </w:rPr>
              <w:t>90</w:t>
            </w:r>
          </w:p>
        </w:tc>
      </w:tr>
      <w:tr>
        <w:trPr>
          <w:trHeight w:val="20"/>
        </w:trPr>
        <w:tc>
          <w:tcPr>
            <w:tcW w:w="6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8080" w:type="dxa"/>
            <w:vAlign w:val="bottom"/>
            <w:gridSpan w:val="9"/>
          </w:tcPr>
          <w:p>
            <w:pPr>
              <w:spacing w:after="0" w:line="144" w:lineRule="exact"/>
              <w:rPr>
                <w:rFonts w:ascii="Arial" w:cs="Arial" w:eastAsia="Arial" w:hAnsi="Arial"/>
                <w:sz w:val="14"/>
                <w:szCs w:val="14"/>
                <w:color w:val="0000EE"/>
              </w:rPr>
            </w:pPr>
            <w:hyperlink w:anchor="page92">
              <w:r>
                <w:rPr>
                  <w:rFonts w:ascii="Arial" w:cs="Arial" w:eastAsia="Arial" w:hAnsi="Arial"/>
                  <w:sz w:val="14"/>
                  <w:szCs w:val="14"/>
                  <w:color w:val="0000EE"/>
                </w:rPr>
                <w:t>Consolidated Statement of Changes in Stockholders’ Equity — Years ended December 31, 2007, 2006 and 2005</w:t>
              </w:r>
            </w:hyperlink>
          </w:p>
        </w:tc>
        <w:tc>
          <w:tcPr>
            <w:tcW w:w="2720" w:type="dxa"/>
            <w:vAlign w:val="bottom"/>
          </w:tcPr>
          <w:p>
            <w:pPr>
              <w:jc w:val="right"/>
              <w:ind w:right="791"/>
              <w:spacing w:after="0" w:line="144" w:lineRule="exact"/>
              <w:rPr>
                <w:sz w:val="20"/>
                <w:szCs w:val="20"/>
                <w:color w:val="auto"/>
              </w:rPr>
            </w:pPr>
            <w:r>
              <w:rPr>
                <w:rFonts w:ascii="Arial" w:cs="Arial" w:eastAsia="Arial" w:hAnsi="Arial"/>
                <w:sz w:val="14"/>
                <w:szCs w:val="14"/>
                <w:color w:val="auto"/>
              </w:rPr>
              <w:t>91</w:t>
            </w:r>
          </w:p>
        </w:tc>
      </w:tr>
      <w:tr>
        <w:trPr>
          <w:trHeight w:val="144"/>
        </w:trPr>
        <w:tc>
          <w:tcPr>
            <w:tcW w:w="680" w:type="dxa"/>
            <w:vAlign w:val="bottom"/>
          </w:tcPr>
          <w:p>
            <w:pPr>
              <w:spacing w:after="0"/>
              <w:rPr>
                <w:sz w:val="12"/>
                <w:szCs w:val="12"/>
                <w:color w:val="auto"/>
              </w:rPr>
            </w:pPr>
          </w:p>
        </w:tc>
        <w:tc>
          <w:tcPr>
            <w:tcW w:w="6360" w:type="dxa"/>
            <w:vAlign w:val="bottom"/>
            <w:tcBorders>
              <w:top w:val="single" w:sz="8" w:color="0000EE"/>
            </w:tcBorders>
            <w:gridSpan w:val="8"/>
          </w:tcPr>
          <w:p>
            <w:pPr>
              <w:spacing w:after="0" w:line="144" w:lineRule="exact"/>
              <w:rPr>
                <w:rFonts w:ascii="Arial" w:cs="Arial" w:eastAsia="Arial" w:hAnsi="Arial"/>
                <w:sz w:val="14"/>
                <w:szCs w:val="14"/>
                <w:color w:val="0000EE"/>
              </w:rPr>
            </w:pPr>
            <w:hyperlink w:anchor="page93">
              <w:r>
                <w:rPr>
                  <w:rFonts w:ascii="Arial" w:cs="Arial" w:eastAsia="Arial" w:hAnsi="Arial"/>
                  <w:sz w:val="14"/>
                  <w:szCs w:val="14"/>
                  <w:color w:val="0000EE"/>
                </w:rPr>
                <w:t>Notes to Financial Statements</w:t>
              </w:r>
            </w:hyperlink>
          </w:p>
        </w:tc>
        <w:tc>
          <w:tcPr>
            <w:tcW w:w="1720" w:type="dxa"/>
            <w:vAlign w:val="bottom"/>
          </w:tcPr>
          <w:p>
            <w:pPr>
              <w:spacing w:after="0"/>
              <w:rPr>
                <w:sz w:val="12"/>
                <w:szCs w:val="12"/>
                <w:color w:val="auto"/>
              </w:rPr>
            </w:pPr>
          </w:p>
        </w:tc>
        <w:tc>
          <w:tcPr>
            <w:tcW w:w="2720" w:type="dxa"/>
            <w:vAlign w:val="bottom"/>
          </w:tcPr>
          <w:p>
            <w:pPr>
              <w:jc w:val="right"/>
              <w:ind w:right="791"/>
              <w:spacing w:after="0" w:line="144" w:lineRule="exact"/>
              <w:rPr>
                <w:sz w:val="20"/>
                <w:szCs w:val="20"/>
                <w:color w:val="auto"/>
              </w:rPr>
            </w:pPr>
            <w:r>
              <w:rPr>
                <w:rFonts w:ascii="Arial" w:cs="Arial" w:eastAsia="Arial" w:hAnsi="Arial"/>
                <w:sz w:val="14"/>
                <w:szCs w:val="14"/>
                <w:color w:val="auto"/>
              </w:rPr>
              <w:t>92</w:t>
            </w:r>
          </w:p>
        </w:tc>
      </w:tr>
      <w:tr>
        <w:trPr>
          <w:trHeight w:val="303"/>
        </w:trPr>
        <w:tc>
          <w:tcPr>
            <w:tcW w:w="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20" w:type="dxa"/>
            <w:vAlign w:val="bottom"/>
          </w:tcPr>
          <w:p>
            <w:pPr>
              <w:jc w:val="right"/>
              <w:ind w:right="751"/>
              <w:spacing w:after="0"/>
              <w:rPr>
                <w:sz w:val="20"/>
                <w:szCs w:val="20"/>
                <w:color w:val="auto"/>
              </w:rPr>
            </w:pPr>
            <w:r>
              <w:rPr>
                <w:rFonts w:ascii="Arial" w:cs="Arial" w:eastAsia="Arial" w:hAnsi="Arial"/>
                <w:sz w:val="12"/>
                <w:szCs w:val="12"/>
                <w:color w:val="auto"/>
              </w:rPr>
              <w:t>85</w:t>
            </w: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on Internal Control Over Financial Reporting</w:t>
      </w:r>
    </w:p>
    <w:p>
      <w:pPr>
        <w:spacing w:after="0" w:line="94"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2007 based on criteria described in “Internal Control-Integrated Framework” issued by the Committee of Sponsoring Organizations of the Treadway Commission. Based on that assessment, management concluded that the Company maintained effective internal control over financial reporting as of December 31, 2007.</w:t>
      </w:r>
    </w:p>
    <w:p>
      <w:pPr>
        <w:ind w:left="680" w:right="80" w:firstLine="599"/>
        <w:spacing w:after="0" w:line="249" w:lineRule="auto"/>
        <w:rPr>
          <w:sz w:val="20"/>
          <w:szCs w:val="20"/>
          <w:color w:val="auto"/>
        </w:rPr>
      </w:pPr>
      <w:r>
        <w:rPr>
          <w:rFonts w:ascii="Arial" w:cs="Arial" w:eastAsia="Arial" w:hAnsi="Arial"/>
          <w:sz w:val="14"/>
          <w:szCs w:val="14"/>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97"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212090</wp:posOffset>
            </wp:positionV>
            <wp:extent cx="1752600" cy="281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52600" cy="28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4"/>
          <w:szCs w:val="14"/>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204470</wp:posOffset>
            </wp:positionV>
            <wp:extent cx="918845" cy="4718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88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80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4"/>
          <w:szCs w:val="14"/>
          <w:i w:val="1"/>
          <w:iCs w:val="1"/>
          <w:color w:val="auto"/>
        </w:rPr>
        <w:t>Executive Vice President and Chief Financial Officer</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M&amp;T Bank Corporation</w:t>
      </w:r>
    </w:p>
    <w:p>
      <w:pPr>
        <w:spacing w:after="0" w:line="80" w:lineRule="exact"/>
        <w:rPr>
          <w:sz w:val="20"/>
          <w:szCs w:val="20"/>
          <w:color w:val="auto"/>
        </w:rPr>
      </w:pPr>
    </w:p>
    <w:p>
      <w:pPr>
        <w:ind w:left="680"/>
        <w:spacing w:after="0" w:line="290" w:lineRule="auto"/>
        <w:rPr>
          <w:sz w:val="20"/>
          <w:szCs w:val="20"/>
          <w:color w:val="auto"/>
        </w:rPr>
      </w:pPr>
      <w:r>
        <w:rPr>
          <w:rFonts w:ascii="Arial" w:cs="Arial" w:eastAsia="Arial" w:hAnsi="Arial"/>
          <w:sz w:val="12"/>
          <w:szCs w:val="12"/>
          <w:color w:val="auto"/>
        </w:rPr>
        <w:t xml:space="preserve">In our opinion, the consolidated financial statements listed in the accompanying index present fairly, in all material respects, the financial position of M&amp;T Bank Corporation and its subsidiaries (the “Company”) at December 31, 2007 and 2006, and the results of its operations and its cash flows for each of the three years in the period ended December 31, 2007 in conformity with accounting principles generally accepted in the United States of America. Also in our opinion, the Company maintained, in all material respects, effective internal control over financial reporting as of December 31, 2007,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9"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jc w:val="both"/>
        <w:ind w:left="680" w:right="220"/>
        <w:spacing w:after="0" w:line="25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144145</wp:posOffset>
            </wp:positionV>
            <wp:extent cx="901065" cy="220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01065" cy="2203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Buffalo, New York</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21, 2008</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Balance Sheet</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7700" w:type="dxa"/>
            <w:vAlign w:val="bottom"/>
            <w:gridSpan w:val="2"/>
          </w:tcPr>
          <w:p>
            <w:pPr>
              <w:spacing w:after="0"/>
              <w:rPr>
                <w:sz w:val="20"/>
                <w:szCs w:val="20"/>
                <w:color w:val="auto"/>
              </w:rPr>
            </w:pPr>
            <w:r>
              <w:rPr>
                <w:rFonts w:ascii="Arial" w:cs="Arial" w:eastAsia="Arial" w:hAnsi="Arial"/>
                <w:sz w:val="10"/>
                <w:szCs w:val="10"/>
                <w:b w:val="1"/>
                <w:bCs w:val="1"/>
                <w:color w:val="auto"/>
              </w:rPr>
              <w:t>(Dollars in thousands, except per share)</w:t>
            </w: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0"/>
              <w:spacing w:after="0" w:line="96"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90"/>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1,719,509</w:t>
            </w:r>
          </w:p>
        </w:tc>
        <w:tc>
          <w:tcPr>
            <w:tcW w:w="220" w:type="dxa"/>
            <w:vAlign w:val="bottom"/>
          </w:tcPr>
          <w:p>
            <w:pPr>
              <w:spacing w:after="0"/>
              <w:rPr>
                <w:sz w:val="14"/>
                <w:szCs w:val="14"/>
                <w:color w:val="auto"/>
              </w:rPr>
            </w:pP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1,605,506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deposits at banks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Federal funds sold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48,038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Agreements to resell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Trading account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281,244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136,752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Investment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Available for sale (cost: $8,451,411 in 2007; $6,878,332 in 2006)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8,379,169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6,829,848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Held to maturity (fair value: $78,250 in 2007; $66,729 in 2006)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76,441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Other (fair value: $506,388 in 2007; $356,851 in 2006)</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506,388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investment securities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8,961,998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7,251,598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rPr>
                <w:sz w:val="20"/>
                <w:szCs w:val="20"/>
                <w:color w:val="auto"/>
              </w:rPr>
            </w:pPr>
            <w:r>
              <w:rPr>
                <w:rFonts w:ascii="Arial" w:cs="Arial" w:eastAsia="Arial" w:hAnsi="Arial"/>
                <w:sz w:val="14"/>
                <w:szCs w:val="14"/>
                <w:color w:val="auto"/>
              </w:rPr>
              <w:t>Loans and leases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48,352,262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43,206,954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Unearned discount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(330,700)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(259,657)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Allowance for credit 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(759,439)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(649,948)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and leases, net</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47,262,123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42,297,349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rPr>
                <w:sz w:val="20"/>
                <w:szCs w:val="20"/>
                <w:color w:val="auto"/>
              </w:rPr>
            </w:pPr>
            <w:r>
              <w:rPr>
                <w:rFonts w:ascii="Arial" w:cs="Arial" w:eastAsia="Arial" w:hAnsi="Arial"/>
                <w:sz w:val="14"/>
                <w:szCs w:val="14"/>
                <w:color w:val="auto"/>
              </w:rPr>
              <w:t>Premises and equipment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370,765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3,196,433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2,908,849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Core deposit and other intangible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248,556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250,233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and other assets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2,768,542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2,153,513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64,875,639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57,064,905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8,131,662</w:t>
            </w:r>
          </w:p>
        </w:tc>
        <w:tc>
          <w:tcPr>
            <w:tcW w:w="220" w:type="dxa"/>
            <w:vAlign w:val="bottom"/>
          </w:tcPr>
          <w:p>
            <w:pPr>
              <w:spacing w:after="0"/>
              <w:rPr>
                <w:sz w:val="14"/>
                <w:szCs w:val="14"/>
                <w:color w:val="auto"/>
              </w:rPr>
            </w:pP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7,879,977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1,190,161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940,439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Savings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15,419,357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14,169,790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10,668,581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11,490,629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5,856,427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5,429,668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deposits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41,266,188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39,910,503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rPr>
                <w:sz w:val="20"/>
                <w:szCs w:val="20"/>
                <w:color w:val="auto"/>
              </w:rPr>
            </w:pPr>
            <w:r>
              <w:rPr>
                <w:rFonts w:ascii="Arial" w:cs="Arial" w:eastAsia="Arial" w:hAnsi="Arial"/>
                <w:sz w:val="14"/>
                <w:szCs w:val="14"/>
                <w:color w:val="auto"/>
              </w:rPr>
              <w:t>Federal funds purchased and agreements to repurchase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4,351,313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2,531,684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Other short-term borrowings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1,470,584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Accrued interest and other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984,353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888,352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10,317,945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6,890,741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58,390,383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50,783,810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Preferred stock, $1 par, 1,000,000 shares authorized, none outstanding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Common stock, $.50 par, 250,000,000 shares authorized, 120,396,611 shares issued in 2007 and 2006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Common stock issuable, 82,912 shares in 2007; 90,949 shares in 2006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2,848,752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2,889,449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Retained earnings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4,815,585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4,443,441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net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(114,822)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(53,574)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Treasury stock — common, at cost — 10,544,259 shares in 2007; 10,179,802 shares in 2006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(1,129,233)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(1,063,479)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6,485,256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6,281,095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Arial" w:cs="Arial" w:eastAsia="Arial" w:hAnsi="Arial"/>
                <w:sz w:val="14"/>
                <w:szCs w:val="14"/>
                <w:color w:val="auto"/>
              </w:rPr>
              <w:t>Total liabilities and stockholders’ equity</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64,875,639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57,064,905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Income</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5000" w:type="dxa"/>
            <w:vAlign w:val="bottom"/>
            <w:gridSpan w:val="2"/>
          </w:tcPr>
          <w:p>
            <w:pPr>
              <w:spacing w:after="0"/>
              <w:rPr>
                <w:sz w:val="20"/>
                <w:szCs w:val="20"/>
                <w:color w:val="auto"/>
              </w:rPr>
            </w:pPr>
            <w:r>
              <w:rPr>
                <w:rFonts w:ascii="Arial" w:cs="Arial" w:eastAsia="Arial" w:hAnsi="Arial"/>
                <w:sz w:val="10"/>
                <w:szCs w:val="10"/>
                <w:b w:val="1"/>
                <w:bCs w:val="1"/>
                <w:color w:val="auto"/>
              </w:rPr>
              <w:t>(In thousands, except per share)</w:t>
            </w:r>
          </w:p>
        </w:tc>
        <w:tc>
          <w:tcPr>
            <w:tcW w:w="1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8"/>
              </w:rPr>
              <w:t>Year Ended December 31</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Loans and leases, including fees</w:t>
            </w:r>
          </w:p>
        </w:tc>
        <w:tc>
          <w:tcPr>
            <w:tcW w:w="1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3,155,967</w:t>
            </w:r>
          </w:p>
        </w:tc>
        <w:tc>
          <w:tcPr>
            <w:tcW w:w="14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2,927,411</w:t>
            </w:r>
          </w:p>
        </w:tc>
        <w:tc>
          <w:tcPr>
            <w:tcW w:w="280" w:type="dxa"/>
            <w:vAlign w:val="bottom"/>
          </w:tcPr>
          <w:p>
            <w:pPr>
              <w:spacing w:after="0"/>
              <w:rPr>
                <w:sz w:val="14"/>
                <w:szCs w:val="1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2,420,660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banks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Federal funds sold</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Agreements to resell securities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Trading account</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2,446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securities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240"/>
              <w:spacing w:after="0"/>
              <w:rPr>
                <w:sz w:val="20"/>
                <w:szCs w:val="20"/>
                <w:color w:val="auto"/>
              </w:rPr>
            </w:pPr>
            <w:r>
              <w:rPr>
                <w:rFonts w:ascii="Arial" w:cs="Arial" w:eastAsia="Arial" w:hAnsi="Arial"/>
                <w:sz w:val="14"/>
                <w:szCs w:val="14"/>
                <w:color w:val="auto"/>
              </w:rPr>
              <w:t>Fully taxable</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352,628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363,401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351,423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Exempt from federal taxes</w:t>
            </w:r>
          </w:p>
        </w:tc>
        <w:tc>
          <w:tcPr>
            <w:tcW w:w="17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14,866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tcPr>
          <w:p>
            <w:pPr>
              <w:ind w:left="380"/>
              <w:spacing w:after="0"/>
              <w:rPr>
                <w:sz w:val="20"/>
                <w:szCs w:val="20"/>
                <w:color w:val="auto"/>
              </w:rPr>
            </w:pPr>
            <w:r>
              <w:rPr>
                <w:rFonts w:ascii="Arial" w:cs="Arial" w:eastAsia="Arial" w:hAnsi="Arial"/>
                <w:sz w:val="14"/>
                <w:szCs w:val="14"/>
                <w:color w:val="auto"/>
              </w:rPr>
              <w:t>Total interest income</w:t>
            </w: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3,544,813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3,314,093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2,788,694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NOW accounts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4,638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3,461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Savings deposits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250,313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201,543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Time deposits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496,378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551,514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294,782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foreign office</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207,990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178,348</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Short-term borrowings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274,079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227,850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157,853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17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461,178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333,836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tcPr>
          <w:p>
            <w:pPr>
              <w:ind w:left="380"/>
              <w:spacing w:after="0"/>
              <w:rPr>
                <w:sz w:val="20"/>
                <w:szCs w:val="20"/>
                <w:color w:val="auto"/>
              </w:rPr>
            </w:pPr>
            <w:r>
              <w:rPr>
                <w:rFonts w:ascii="Arial" w:cs="Arial" w:eastAsia="Arial" w:hAnsi="Arial"/>
                <w:sz w:val="14"/>
                <w:szCs w:val="14"/>
                <w:color w:val="auto"/>
              </w:rPr>
              <w:t>Total interest expense</w:t>
            </w: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1,694,576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1,496,552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Net interest income</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1,850,237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1,817,541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1,794,343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192,000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interest income after provision for credit losses</w:t>
            </w:r>
          </w:p>
        </w:tc>
        <w:tc>
          <w:tcPr>
            <w:tcW w:w="17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1,658,237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1,737,541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1,706,343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Other income</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Mortgage banking revenues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111,893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143,181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Service charges on deposit accounts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409,462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380,950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369,918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Trust income</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152,636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140,781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Brokerage services income</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59,533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60,295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55,572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Trading account and foreign exchange gains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Gain (loss) on bank investment securities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(126,096)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(28,133)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in earnings of Bayview Lending Group LLC</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Other revenues from operations</w:t>
            </w: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286,355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other income</w:t>
            </w:r>
          </w:p>
        </w:tc>
        <w:tc>
          <w:tcPr>
            <w:tcW w:w="17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932,989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1,045,852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949,718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Other expense</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Salaries and employee benefits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908,315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873,353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822,239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Equipment and net occupancy</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169,050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168,776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Printing, postage and supplies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Amortization of core deposit and other intangible assets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66,486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63,008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56,805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costs of operations</w:t>
            </w:r>
          </w:p>
        </w:tc>
        <w:tc>
          <w:tcPr>
            <w:tcW w:w="17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448,073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412,658</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tcPr>
          <w:p>
            <w:pPr>
              <w:ind w:left="380"/>
              <w:spacing w:after="0"/>
              <w:rPr>
                <w:sz w:val="20"/>
                <w:szCs w:val="20"/>
                <w:color w:val="auto"/>
              </w:rPr>
            </w:pPr>
            <w:r>
              <w:rPr>
                <w:rFonts w:ascii="Arial" w:cs="Arial" w:eastAsia="Arial" w:hAnsi="Arial"/>
                <w:sz w:val="14"/>
                <w:szCs w:val="14"/>
                <w:color w:val="auto"/>
              </w:rPr>
              <w:t>Total other expense</w:t>
            </w: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1,627,689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1,551,751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1,485,142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taxes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963,537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1,231,642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1,170,919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Income taxes</w:t>
            </w: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309,278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392,453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Net income</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654,259</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839,189</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Net income per common share</w:t>
            </w:r>
          </w:p>
        </w:tc>
        <w:tc>
          <w:tcPr>
            <w:tcW w:w="17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Diluted</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524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2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5220" w:type="dxa"/>
            <w:vAlign w:val="bottom"/>
            <w:shd w:val="clear" w:color="auto" w:fill="CCEEFF"/>
          </w:tcPr>
          <w:p>
            <w:pPr>
              <w:spacing w:after="0" w:line="97" w:lineRule="exact"/>
              <w:rPr>
                <w:sz w:val="20"/>
                <w:szCs w:val="20"/>
                <w:color w:val="auto"/>
              </w:rPr>
            </w:pPr>
            <w:r>
              <w:rPr>
                <w:rFonts w:ascii="Arial" w:cs="Arial" w:eastAsia="Arial" w:hAnsi="Arial"/>
                <w:sz w:val="9"/>
                <w:szCs w:val="9"/>
                <w:b w:val="1"/>
                <w:bCs w:val="1"/>
                <w:color w:val="auto"/>
              </w:rPr>
              <w:t>Cash flows from operating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Net income</w:t>
            </w:r>
          </w:p>
        </w:tc>
        <w:tc>
          <w:tcPr>
            <w:tcW w:w="23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654,259</w:t>
            </w:r>
          </w:p>
        </w:tc>
        <w:tc>
          <w:tcPr>
            <w:tcW w:w="160" w:type="dxa"/>
            <w:vAlign w:val="bottom"/>
          </w:tcPr>
          <w:p>
            <w:pPr>
              <w:spacing w:after="0"/>
              <w:rPr>
                <w:sz w:val="8"/>
                <w:szCs w:val="8"/>
                <w:color w:val="auto"/>
              </w:rPr>
            </w:pPr>
          </w:p>
        </w:tc>
        <w:tc>
          <w:tcPr>
            <w:tcW w:w="2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839,189</w:t>
            </w:r>
          </w:p>
        </w:tc>
        <w:tc>
          <w:tcPr>
            <w:tcW w:w="260" w:type="dxa"/>
            <w:vAlign w:val="bottom"/>
          </w:tcPr>
          <w:p>
            <w:pPr>
              <w:spacing w:after="0"/>
              <w:rPr>
                <w:sz w:val="8"/>
                <w:szCs w:val="8"/>
                <w:color w:val="auto"/>
              </w:rPr>
            </w:pPr>
          </w:p>
        </w:tc>
        <w:tc>
          <w:tcPr>
            <w:tcW w:w="14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782,183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Adjustments to reconcile net income to net cash provided by operating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Provision for credit losses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192,000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80,000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88,000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Depreciation and amortization of premises and equipment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48,742</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51,916</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58,477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Amortization of capitalized servicing rights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62,931</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61,007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58,466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Amortization of core deposit and other intangible assets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66,486</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63,008</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56,805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Provision for deferred income taxes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(44,670)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(68,249)</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(88,071)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Asset write-downs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139,779</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7,713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32,765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Net gain on sales of assets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(5,495)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(12,915)</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(9,694)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Net change in accrued interest receivable, payable</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780</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21,493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3,099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Net change in other accrued income and expense</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(18,461)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58,707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(25,017)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Net change in loans originated for sale</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305,138</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(605,240)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(609,433)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Net change in trading account assets and liabilities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(66,732)</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43,234</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(49,208)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6" w:lineRule="exact"/>
              <w:rPr>
                <w:sz w:val="20"/>
                <w:szCs w:val="20"/>
                <w:color w:val="auto"/>
              </w:rPr>
            </w:pPr>
            <w:r>
              <w:rPr>
                <w:rFonts w:ascii="Arial" w:cs="Arial" w:eastAsia="Arial" w:hAnsi="Arial"/>
                <w:sz w:val="9"/>
                <w:szCs w:val="9"/>
                <w:color w:val="auto"/>
              </w:rPr>
              <w:t>Net cash provided by operating activities</w:t>
            </w:r>
          </w:p>
        </w:tc>
        <w:tc>
          <w:tcPr>
            <w:tcW w:w="2260" w:type="dxa"/>
            <w:vAlign w:val="bottom"/>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1,334,757</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539,863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298,372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240" w:type="dxa"/>
            <w:vAlign w:val="bottom"/>
            <w:gridSpan w:val="2"/>
          </w:tcPr>
          <w:p>
            <w:pPr>
              <w:spacing w:after="0" w:line="96" w:lineRule="exact"/>
              <w:rPr>
                <w:sz w:val="20"/>
                <w:szCs w:val="20"/>
                <w:color w:val="auto"/>
              </w:rPr>
            </w:pPr>
            <w:r>
              <w:rPr>
                <w:rFonts w:ascii="Arial" w:cs="Arial" w:eastAsia="Arial" w:hAnsi="Arial"/>
                <w:sz w:val="9"/>
                <w:szCs w:val="9"/>
                <w:b w:val="1"/>
                <w:bCs w:val="1"/>
                <w:color w:val="auto"/>
              </w:rPr>
              <w:t>Cash flows from investing activities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Proceeds from sales of investment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Available for sale</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40,160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110,501</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20,673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Other</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19,361</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42,300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62,047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Proceeds from maturities of investment securities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Available for sale</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2,184,773</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1,701,402</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2,158,675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Held to maturity</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46,781</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95,951</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104,500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Purchases of investment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Available for sale</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(2,219,861)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(675,737)</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(2,047,939)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Held to maturity</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(39,588)</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(59,814)</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(107,540)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Other</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(130,865)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(31,749)</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(107,597)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Net change in agreements to resell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100,000</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(100,000)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1,026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Net increase in loans and leases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(4,074,220)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(1,827,918)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(1,509,896)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Other investments, net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(309,666)</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(21,314)</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(56,717)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Additions to capitalized servicing rights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(53,049)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(49,984)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(50,367)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Capital expenditures, net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(56,681)</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(41,988)</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(26,546)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Acquisitions, net of cash acquired</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Banks and bank holding companies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(239,012)</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Deposits and banking offices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(12,894)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494,990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Other</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(11,272)</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Other, net</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(37,906)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7,927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(16,545)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6" w:lineRule="exact"/>
              <w:rPr>
                <w:sz w:val="20"/>
                <w:szCs w:val="20"/>
                <w:color w:val="auto"/>
              </w:rPr>
            </w:pPr>
            <w:r>
              <w:rPr>
                <w:rFonts w:ascii="Arial" w:cs="Arial" w:eastAsia="Arial" w:hAnsi="Arial"/>
                <w:sz w:val="9"/>
                <w:szCs w:val="9"/>
                <w:color w:val="auto"/>
              </w:rPr>
              <w:t>Net cash used by investing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6" w:lineRule="exact"/>
              <w:rPr>
                <w:sz w:val="20"/>
                <w:szCs w:val="20"/>
                <w:color w:val="auto"/>
              </w:rPr>
            </w:pPr>
            <w:r>
              <w:rPr>
                <w:rFonts w:ascii="Arial" w:cs="Arial" w:eastAsia="Arial" w:hAnsi="Arial"/>
                <w:sz w:val="9"/>
                <w:szCs w:val="9"/>
                <w:color w:val="auto"/>
              </w:rPr>
              <w:t>(4,782,667)</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6" w:lineRule="exact"/>
              <w:rPr>
                <w:sz w:val="20"/>
                <w:szCs w:val="20"/>
                <w:color w:val="auto"/>
              </w:rPr>
            </w:pPr>
            <w:r>
              <w:rPr>
                <w:rFonts w:ascii="Arial" w:cs="Arial" w:eastAsia="Arial" w:hAnsi="Arial"/>
                <w:sz w:val="9"/>
                <w:szCs w:val="9"/>
                <w:color w:val="auto"/>
              </w:rPr>
              <w:t>(366,705)</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6" w:lineRule="exact"/>
              <w:rPr>
                <w:sz w:val="20"/>
                <w:szCs w:val="20"/>
                <w:color w:val="auto"/>
              </w:rPr>
            </w:pPr>
            <w:r>
              <w:rPr>
                <w:rFonts w:ascii="Arial" w:cs="Arial" w:eastAsia="Arial" w:hAnsi="Arial"/>
                <w:sz w:val="9"/>
                <w:szCs w:val="9"/>
                <w:color w:val="auto"/>
              </w:rPr>
              <w:t>(1,576,226)</w:t>
            </w:r>
          </w:p>
        </w:tc>
        <w:tc>
          <w:tcPr>
            <w:tcW w:w="0" w:type="dxa"/>
            <w:vAlign w:val="bottom"/>
          </w:tcPr>
          <w:p>
            <w:pPr>
              <w:spacing w:after="0"/>
              <w:rPr>
                <w:sz w:val="1"/>
                <w:szCs w:val="1"/>
                <w:color w:val="auto"/>
              </w:rPr>
            </w:pPr>
          </w:p>
        </w:tc>
      </w:tr>
      <w:tr>
        <w:trPr>
          <w:trHeight w:val="96"/>
        </w:trPr>
        <w:tc>
          <w:tcPr>
            <w:tcW w:w="5240" w:type="dxa"/>
            <w:vAlign w:val="bottom"/>
            <w:gridSpan w:val="2"/>
          </w:tcPr>
          <w:p>
            <w:pPr>
              <w:spacing w:after="0" w:line="96" w:lineRule="exact"/>
              <w:rPr>
                <w:sz w:val="20"/>
                <w:szCs w:val="20"/>
                <w:color w:val="auto"/>
              </w:rPr>
            </w:pPr>
            <w:r>
              <w:rPr>
                <w:rFonts w:ascii="Arial" w:cs="Arial" w:eastAsia="Arial" w:hAnsi="Arial"/>
                <w:sz w:val="9"/>
                <w:szCs w:val="9"/>
                <w:b w:val="1"/>
                <w:bCs w:val="1"/>
                <w:color w:val="auto"/>
              </w:rPr>
              <w:t>Cash flows from financing activities</w:t>
            </w:r>
          </w:p>
        </w:tc>
        <w:tc>
          <w:tcPr>
            <w:tcW w:w="2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Net increase (decrease) in deposits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(1,036,502)</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1,847,505</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1,680,945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Net increase (decrease) in short-term borrowings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2,324,859</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(2,058,658)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450,230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Proceeds from long-term borrowings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3,550,229</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2,000,000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1,801,657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Payments on long-term borrowings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(528,515)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(1,294,857)</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(1,927,070)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Purchases of treasury stock</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(508,404)</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(373,860)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(509,609)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Dividends paid — common</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(281,900)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(249,817)</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(198,619)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Other, net</w:t>
            </w:r>
          </w:p>
        </w:tc>
        <w:tc>
          <w:tcPr>
            <w:tcW w:w="226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70,726</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91,034</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106,975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6" w:lineRule="exact"/>
              <w:rPr>
                <w:sz w:val="20"/>
                <w:szCs w:val="20"/>
                <w:color w:val="auto"/>
              </w:rPr>
            </w:pPr>
            <w:r>
              <w:rPr>
                <w:rFonts w:ascii="Arial" w:cs="Arial" w:eastAsia="Arial" w:hAnsi="Arial"/>
                <w:sz w:val="9"/>
                <w:szCs w:val="9"/>
                <w:color w:val="auto"/>
              </w:rPr>
              <w:t>Net cash provided (used) by financing activities</w:t>
            </w: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3,590,493</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(38,653)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1,404,509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24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Net increase in cash and cash equivalents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142,583</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134,505</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126,655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240" w:type="dxa"/>
            <w:vAlign w:val="bottom"/>
            <w:gridSpan w:val="2"/>
          </w:tcPr>
          <w:p>
            <w:pPr>
              <w:spacing w:after="0" w:line="97" w:lineRule="exact"/>
              <w:rPr>
                <w:sz w:val="20"/>
                <w:szCs w:val="20"/>
                <w:color w:val="auto"/>
              </w:rPr>
            </w:pPr>
            <w:r>
              <w:rPr>
                <w:rFonts w:ascii="Arial" w:cs="Arial" w:eastAsia="Arial" w:hAnsi="Arial"/>
                <w:sz w:val="9"/>
                <w:szCs w:val="9"/>
                <w:color w:val="auto"/>
              </w:rPr>
              <w:t>Cash and cash equivalents at beginning of year</w:t>
            </w: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1,624,964</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1,490,459</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1,363,804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4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Cash and cash equivalents at end of year</w:t>
            </w:r>
          </w:p>
        </w:tc>
        <w:tc>
          <w:tcPr>
            <w:tcW w:w="2380" w:type="dxa"/>
            <w:vAlign w:val="bottom"/>
            <w:gridSpan w:val="2"/>
            <w:shd w:val="clear" w:color="auto" w:fill="CCEEFF"/>
          </w:tcPr>
          <w:p>
            <w:pPr>
              <w:jc w:val="right"/>
              <w:ind w:right="60"/>
              <w:spacing w:after="0" w:line="96"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1,767,547</w:t>
            </w:r>
          </w:p>
        </w:tc>
        <w:tc>
          <w:tcPr>
            <w:tcW w:w="16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80"/>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1,624,964</w:t>
            </w:r>
          </w:p>
        </w:tc>
        <w:tc>
          <w:tcPr>
            <w:tcW w:w="2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80"/>
              <w:spacing w:after="0" w:line="96" w:lineRule="exact"/>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1,490,459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240" w:type="dxa"/>
            <w:vAlign w:val="bottom"/>
            <w:gridSpan w:val="2"/>
          </w:tcPr>
          <w:p>
            <w:pPr>
              <w:spacing w:after="0"/>
              <w:rPr>
                <w:sz w:val="20"/>
                <w:szCs w:val="20"/>
                <w:color w:val="auto"/>
              </w:rPr>
            </w:pPr>
            <w:r>
              <w:rPr>
                <w:rFonts w:ascii="Arial" w:cs="Arial" w:eastAsia="Arial" w:hAnsi="Arial"/>
                <w:sz w:val="9"/>
                <w:szCs w:val="9"/>
                <w:b w:val="1"/>
                <w:bCs w:val="1"/>
                <w:color w:val="auto"/>
              </w:rPr>
              <w:t>Supplemental disclosure of cash flow information</w:t>
            </w:r>
          </w:p>
        </w:tc>
        <w:tc>
          <w:tcPr>
            <w:tcW w:w="2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Interest received during the year</w:t>
            </w:r>
          </w:p>
        </w:tc>
        <w:tc>
          <w:tcPr>
            <w:tcW w:w="23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3,545,094</w:t>
            </w:r>
          </w:p>
        </w:tc>
        <w:tc>
          <w:tcPr>
            <w:tcW w:w="1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3,298,620</w:t>
            </w:r>
          </w:p>
        </w:tc>
        <w:tc>
          <w:tcPr>
            <w:tcW w:w="26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2,721,155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Interest paid during the year</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1,683,403</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1,443,335</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964,548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Income taxes paid during the year</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370,103</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345,763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472,773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line="97" w:lineRule="exact"/>
              <w:rPr>
                <w:sz w:val="20"/>
                <w:szCs w:val="20"/>
                <w:color w:val="auto"/>
              </w:rPr>
            </w:pPr>
            <w:r>
              <w:rPr>
                <w:rFonts w:ascii="Arial" w:cs="Arial" w:eastAsia="Arial" w:hAnsi="Arial"/>
                <w:sz w:val="9"/>
                <w:szCs w:val="9"/>
                <w:b w:val="1"/>
                <w:bCs w:val="1"/>
                <w:color w:val="auto"/>
              </w:rPr>
              <w:t>Supplemental schedule of noncash investing and financing activities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Loans held for sale transferred to loans held for investment</w:t>
            </w:r>
          </w:p>
        </w:tc>
        <w:tc>
          <w:tcPr>
            <w:tcW w:w="23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870,759</w:t>
            </w:r>
          </w:p>
        </w:tc>
        <w:tc>
          <w:tcPr>
            <w:tcW w:w="1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14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Real estate acquired in settlement of loans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48,163</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15,973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10,417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Acquisitions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80"/>
              <w:spacing w:after="0" w:line="97" w:lineRule="exact"/>
              <w:rPr>
                <w:sz w:val="20"/>
                <w:szCs w:val="20"/>
                <w:color w:val="auto"/>
              </w:rPr>
            </w:pPr>
            <w:r>
              <w:rPr>
                <w:rFonts w:ascii="Arial" w:cs="Arial" w:eastAsia="Arial" w:hAnsi="Arial"/>
                <w:sz w:val="9"/>
                <w:szCs w:val="9"/>
                <w:color w:val="auto"/>
              </w:rPr>
              <w:t>Common stock issued</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277,015</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Fair value of</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280"/>
              <w:spacing w:after="0" w:line="97" w:lineRule="exact"/>
              <w:rPr>
                <w:sz w:val="20"/>
                <w:szCs w:val="20"/>
                <w:color w:val="auto"/>
              </w:rPr>
            </w:pPr>
            <w:r>
              <w:rPr>
                <w:rFonts w:ascii="Arial" w:cs="Arial" w:eastAsia="Arial" w:hAnsi="Arial"/>
                <w:sz w:val="9"/>
                <w:szCs w:val="9"/>
                <w:color w:val="auto"/>
              </w:rPr>
              <w:t>Assets acquired (noncash)</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3,744,853</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514,955</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280"/>
              <w:spacing w:after="0" w:line="97" w:lineRule="exact"/>
              <w:rPr>
                <w:sz w:val="20"/>
                <w:szCs w:val="20"/>
                <w:color w:val="auto"/>
              </w:rPr>
            </w:pPr>
            <w:r>
              <w:rPr>
                <w:rFonts w:ascii="Arial" w:cs="Arial" w:eastAsia="Arial" w:hAnsi="Arial"/>
                <w:sz w:val="9"/>
                <w:szCs w:val="9"/>
                <w:color w:val="auto"/>
              </w:rPr>
              <w:t>Liabilities assumed</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3,207,521</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998,673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Securitization of residential mortgage loans allocated to</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80"/>
              <w:spacing w:after="0" w:line="97" w:lineRule="exact"/>
              <w:rPr>
                <w:sz w:val="20"/>
                <w:szCs w:val="20"/>
                <w:color w:val="auto"/>
              </w:rPr>
            </w:pPr>
            <w:r>
              <w:rPr>
                <w:rFonts w:ascii="Arial" w:cs="Arial" w:eastAsia="Arial" w:hAnsi="Arial"/>
                <w:sz w:val="9"/>
                <w:szCs w:val="9"/>
                <w:color w:val="auto"/>
              </w:rPr>
              <w:t>Available for sale investment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942,048</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124,600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20" w:type="dxa"/>
            <w:vAlign w:val="bottom"/>
          </w:tcPr>
          <w:p>
            <w:pPr>
              <w:ind w:left="180"/>
              <w:spacing w:after="0"/>
              <w:rPr>
                <w:sz w:val="20"/>
                <w:szCs w:val="20"/>
                <w:color w:val="auto"/>
              </w:rPr>
            </w:pPr>
            <w:r>
              <w:rPr>
                <w:rFonts w:ascii="Arial" w:cs="Arial" w:eastAsia="Arial" w:hAnsi="Arial"/>
                <w:sz w:val="9"/>
                <w:szCs w:val="9"/>
                <w:color w:val="auto"/>
              </w:rPr>
              <w:t>Capitalized servicing rights</w:t>
            </w: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7,873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1,410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1"/>
              </w:rPr>
              <w:t>Other</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b w:val="1"/>
                <w:bCs w:val="1"/>
                <w:color w:val="auto"/>
              </w:rPr>
              <w:t>(In thousands, except per share)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center"/>
              <w:ind w:right="220"/>
              <w:spacing w:after="0" w:line="97" w:lineRule="exact"/>
              <w:rPr>
                <w:sz w:val="20"/>
                <w:szCs w:val="20"/>
                <w:color w:val="auto"/>
              </w:rPr>
            </w:pPr>
            <w:r>
              <w:rPr>
                <w:rFonts w:ascii="Arial" w:cs="Arial" w:eastAsia="Arial" w:hAnsi="Arial"/>
                <w:sz w:val="9"/>
                <w:szCs w:val="9"/>
                <w:b w:val="1"/>
                <w:bCs w:val="1"/>
                <w:color w:val="auto"/>
                <w:w w:val="92"/>
              </w:rPr>
              <w:t>Common</w:t>
            </w:r>
          </w:p>
        </w:tc>
        <w:tc>
          <w:tcPr>
            <w:tcW w:w="680" w:type="dxa"/>
            <w:vAlign w:val="bottom"/>
            <w:gridSpan w:val="2"/>
          </w:tcPr>
          <w:p>
            <w:pPr>
              <w:jc w:val="right"/>
              <w:ind w:right="240"/>
              <w:spacing w:after="0" w:line="97" w:lineRule="exact"/>
              <w:rPr>
                <w:sz w:val="20"/>
                <w:szCs w:val="20"/>
                <w:color w:val="auto"/>
              </w:rPr>
            </w:pPr>
            <w:r>
              <w:rPr>
                <w:rFonts w:ascii="Arial" w:cs="Arial" w:eastAsia="Arial" w:hAnsi="Arial"/>
                <w:sz w:val="9"/>
                <w:szCs w:val="9"/>
                <w:b w:val="1"/>
                <w:bCs w:val="1"/>
                <w:color w:val="auto"/>
                <w:w w:val="95"/>
              </w:rPr>
              <w:t>Additional</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180"/>
              <w:spacing w:after="0" w:line="97" w:lineRule="exact"/>
              <w:rPr>
                <w:sz w:val="20"/>
                <w:szCs w:val="20"/>
                <w:color w:val="auto"/>
              </w:rPr>
            </w:pPr>
            <w:r>
              <w:rPr>
                <w:rFonts w:ascii="Arial" w:cs="Arial" w:eastAsia="Arial" w:hAnsi="Arial"/>
                <w:sz w:val="9"/>
                <w:szCs w:val="9"/>
                <w:b w:val="1"/>
                <w:bCs w:val="1"/>
                <w:color w:val="auto"/>
                <w:w w:val="88"/>
              </w:rPr>
              <w:t>Comprehensive</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gridSpan w:val="2"/>
          </w:tcPr>
          <w:p>
            <w:pPr>
              <w:spacing w:after="0" w:line="97" w:lineRule="exact"/>
              <w:rPr>
                <w:sz w:val="20"/>
                <w:szCs w:val="20"/>
                <w:color w:val="auto"/>
              </w:rPr>
            </w:pPr>
            <w:r>
              <w:rPr>
                <w:rFonts w:ascii="Arial" w:cs="Arial" w:eastAsia="Arial" w:hAnsi="Arial"/>
                <w:sz w:val="9"/>
                <w:szCs w:val="9"/>
                <w:b w:val="1"/>
                <w:bCs w:val="1"/>
                <w:color w:val="auto"/>
                <w:w w:val="89"/>
              </w:rPr>
              <w:t>Preferred</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b w:val="1"/>
                <w:bCs w:val="1"/>
                <w:color w:val="auto"/>
                <w:w w:val="92"/>
              </w:rPr>
              <w:t>Common</w:t>
            </w:r>
          </w:p>
        </w:tc>
        <w:tc>
          <w:tcPr>
            <w:tcW w:w="200" w:type="dxa"/>
            <w:vAlign w:val="bottom"/>
          </w:tcPr>
          <w:p>
            <w:pPr>
              <w:spacing w:after="0"/>
              <w:rPr>
                <w:sz w:val="8"/>
                <w:szCs w:val="8"/>
                <w:color w:val="auto"/>
              </w:rPr>
            </w:pPr>
          </w:p>
        </w:tc>
        <w:tc>
          <w:tcPr>
            <w:tcW w:w="58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89"/>
              </w:rPr>
              <w:t>Stock</w:t>
            </w:r>
          </w:p>
        </w:tc>
        <w:tc>
          <w:tcPr>
            <w:tcW w:w="680" w:type="dxa"/>
            <w:vAlign w:val="bottom"/>
            <w:gridSpan w:val="2"/>
          </w:tcPr>
          <w:p>
            <w:pPr>
              <w:jc w:val="right"/>
              <w:ind w:right="300"/>
              <w:spacing w:after="0" w:line="97" w:lineRule="exact"/>
              <w:rPr>
                <w:sz w:val="20"/>
                <w:szCs w:val="20"/>
                <w:color w:val="auto"/>
              </w:rPr>
            </w:pPr>
            <w:r>
              <w:rPr>
                <w:rFonts w:ascii="Arial" w:cs="Arial" w:eastAsia="Arial" w:hAnsi="Arial"/>
                <w:sz w:val="9"/>
                <w:szCs w:val="9"/>
                <w:b w:val="1"/>
                <w:bCs w:val="1"/>
                <w:color w:val="auto"/>
              </w:rPr>
              <w:t>Paid-in</w:t>
            </w:r>
          </w:p>
        </w:tc>
        <w:tc>
          <w:tcPr>
            <w:tcW w:w="660" w:type="dxa"/>
            <w:vAlign w:val="bottom"/>
            <w:gridSpan w:val="2"/>
          </w:tcPr>
          <w:p>
            <w:pPr>
              <w:jc w:val="right"/>
              <w:ind w:right="260"/>
              <w:spacing w:after="0" w:line="97" w:lineRule="exact"/>
              <w:rPr>
                <w:sz w:val="20"/>
                <w:szCs w:val="20"/>
                <w:color w:val="auto"/>
              </w:rPr>
            </w:pPr>
            <w:r>
              <w:rPr>
                <w:rFonts w:ascii="Arial" w:cs="Arial" w:eastAsia="Arial" w:hAnsi="Arial"/>
                <w:sz w:val="9"/>
                <w:szCs w:val="9"/>
                <w:b w:val="1"/>
                <w:bCs w:val="1"/>
                <w:color w:val="auto"/>
                <w:w w:val="99"/>
              </w:rPr>
              <w:t>Retained</w:t>
            </w:r>
          </w:p>
        </w:tc>
        <w:tc>
          <w:tcPr>
            <w:tcW w:w="98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1"/>
              </w:rPr>
              <w:t>Income (Loss),</w:t>
            </w:r>
          </w:p>
        </w:tc>
        <w:tc>
          <w:tcPr>
            <w:tcW w:w="700" w:type="dxa"/>
            <w:vAlign w:val="bottom"/>
            <w:gridSpan w:val="2"/>
          </w:tcPr>
          <w:p>
            <w:pPr>
              <w:jc w:val="right"/>
              <w:ind w:right="280"/>
              <w:spacing w:after="0" w:line="97" w:lineRule="exact"/>
              <w:rPr>
                <w:sz w:val="20"/>
                <w:szCs w:val="20"/>
                <w:color w:val="auto"/>
              </w:rPr>
            </w:pPr>
            <w:r>
              <w:rPr>
                <w:rFonts w:ascii="Arial" w:cs="Arial" w:eastAsia="Arial" w:hAnsi="Arial"/>
                <w:sz w:val="9"/>
                <w:szCs w:val="9"/>
                <w:b w:val="1"/>
                <w:bCs w:val="1"/>
                <w:color w:val="auto"/>
              </w:rPr>
              <w:t>Treasury</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ind w:left="20"/>
              <w:spacing w:after="0"/>
              <w:rPr>
                <w:sz w:val="20"/>
                <w:szCs w:val="20"/>
                <w:color w:val="auto"/>
              </w:rPr>
            </w:pPr>
            <w:r>
              <w:rPr>
                <w:rFonts w:ascii="Arial" w:cs="Arial" w:eastAsia="Arial" w:hAnsi="Arial"/>
                <w:sz w:val="9"/>
                <w:szCs w:val="9"/>
                <w:b w:val="1"/>
                <w:bCs w:val="1"/>
                <w:color w:val="auto"/>
              </w:rPr>
              <w:t>Stock</w:t>
            </w:r>
          </w:p>
        </w:tc>
        <w:tc>
          <w:tcPr>
            <w:tcW w:w="200" w:type="dxa"/>
            <w:vAlign w:val="bottom"/>
          </w:tcPr>
          <w:p>
            <w:pPr>
              <w:spacing w:after="0"/>
              <w:rPr>
                <w:sz w:val="9"/>
                <w:szCs w:val="9"/>
                <w:color w:val="auto"/>
              </w:rPr>
            </w:pPr>
          </w:p>
        </w:tc>
        <w:tc>
          <w:tcPr>
            <w:tcW w:w="400" w:type="dxa"/>
            <w:vAlign w:val="bottom"/>
          </w:tcPr>
          <w:p>
            <w:pPr>
              <w:jc w:val="right"/>
              <w:ind w:right="55"/>
              <w:spacing w:after="0"/>
              <w:rPr>
                <w:sz w:val="20"/>
                <w:szCs w:val="20"/>
                <w:color w:val="auto"/>
              </w:rPr>
            </w:pPr>
            <w:r>
              <w:rPr>
                <w:rFonts w:ascii="Arial" w:cs="Arial" w:eastAsia="Arial" w:hAnsi="Arial"/>
                <w:sz w:val="9"/>
                <w:szCs w:val="9"/>
                <w:b w:val="1"/>
                <w:bCs w:val="1"/>
                <w:color w:val="auto"/>
              </w:rPr>
              <w:t>Stock</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Issuable</w:t>
            </w:r>
          </w:p>
        </w:tc>
        <w:tc>
          <w:tcPr>
            <w:tcW w:w="68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Capital</w:t>
            </w:r>
          </w:p>
        </w:tc>
        <w:tc>
          <w:tcPr>
            <w:tcW w:w="66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98"/>
              </w:rPr>
              <w:t>Earnings</w:t>
            </w: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Net</w:t>
            </w:r>
          </w:p>
        </w:tc>
        <w:tc>
          <w:tcPr>
            <w:tcW w:w="7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Stock</w:t>
            </w:r>
          </w:p>
        </w:tc>
        <w:tc>
          <w:tcPr>
            <w:tcW w:w="54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Total</w:t>
            </w:r>
          </w:p>
        </w:tc>
      </w:tr>
      <w:tr>
        <w:trPr>
          <w:trHeight w:val="28"/>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2005</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color w:val="auto"/>
              </w:rPr>
              <w:t>Balance — January 1, 2005</w:t>
            </w:r>
          </w:p>
        </w:tc>
        <w:tc>
          <w:tcPr>
            <w:tcW w:w="80" w:type="dxa"/>
            <w:vAlign w:val="bottom"/>
            <w:gridSpan w:val="2"/>
          </w:tcPr>
          <w:p>
            <w:pPr>
              <w:jc w:val="right"/>
              <w:spacing w:after="0" w:line="97" w:lineRule="exact"/>
              <w:rPr>
                <w:sz w:val="20"/>
                <w:szCs w:val="20"/>
                <w:color w:val="auto"/>
              </w:rPr>
            </w:pPr>
            <w:r>
              <w:rPr>
                <w:rFonts w:ascii="Arial" w:cs="Arial" w:eastAsia="Arial" w:hAnsi="Arial"/>
                <w:sz w:val="9"/>
                <w:szCs w:val="9"/>
                <w:color w:val="auto"/>
                <w:w w:val="78"/>
              </w:rPr>
              <w:t>$</w:t>
            </w: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600" w:type="dxa"/>
            <w:vAlign w:val="bottom"/>
            <w:gridSpan w:val="2"/>
          </w:tcPr>
          <w:p>
            <w:pPr>
              <w:jc w:val="right"/>
              <w:spacing w:after="0" w:line="97" w:lineRule="exact"/>
              <w:rPr>
                <w:sz w:val="20"/>
                <w:szCs w:val="20"/>
                <w:color w:val="auto"/>
              </w:rPr>
            </w:pPr>
            <w:r>
              <w:rPr>
                <w:rFonts w:ascii="Arial" w:cs="Arial" w:eastAsia="Arial" w:hAnsi="Arial"/>
                <w:sz w:val="9"/>
                <w:szCs w:val="9"/>
                <w:color w:val="auto"/>
              </w:rPr>
              <w:t>60,198</w:t>
            </w:r>
          </w:p>
        </w:tc>
        <w:tc>
          <w:tcPr>
            <w:tcW w:w="580" w:type="dxa"/>
            <w:vAlign w:val="bottom"/>
            <w:gridSpan w:val="2"/>
          </w:tcPr>
          <w:p>
            <w:pPr>
              <w:jc w:val="right"/>
              <w:spacing w:after="0" w:line="97" w:lineRule="exact"/>
              <w:rPr>
                <w:sz w:val="20"/>
                <w:szCs w:val="20"/>
                <w:color w:val="auto"/>
              </w:rPr>
            </w:pPr>
            <w:r>
              <w:rPr>
                <w:rFonts w:ascii="Arial" w:cs="Arial" w:eastAsia="Arial" w:hAnsi="Arial"/>
                <w:sz w:val="9"/>
                <w:szCs w:val="9"/>
                <w:color w:val="auto"/>
              </w:rPr>
              <w:t>5,779</w:t>
            </w:r>
          </w:p>
        </w:tc>
        <w:tc>
          <w:tcPr>
            <w:tcW w:w="20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2,897,912</w:t>
            </w:r>
          </w:p>
        </w:tc>
        <w:tc>
          <w:tcPr>
            <w:tcW w:w="18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3,270,887</w:t>
            </w:r>
          </w:p>
        </w:tc>
        <w:tc>
          <w:tcPr>
            <w:tcW w:w="200" w:type="dxa"/>
            <w:vAlign w:val="bottom"/>
          </w:tcPr>
          <w:p>
            <w:pPr>
              <w:spacing w:after="0"/>
              <w:rPr>
                <w:sz w:val="8"/>
                <w:szCs w:val="8"/>
                <w:color w:val="auto"/>
              </w:rPr>
            </w:pPr>
          </w:p>
        </w:tc>
        <w:tc>
          <w:tcPr>
            <w:tcW w:w="9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(17,209)</w:t>
            </w:r>
          </w:p>
        </w:tc>
        <w:tc>
          <w:tcPr>
            <w:tcW w:w="700" w:type="dxa"/>
            <w:vAlign w:val="bottom"/>
            <w:gridSpan w:val="2"/>
          </w:tcPr>
          <w:p>
            <w:pPr>
              <w:jc w:val="right"/>
              <w:ind w:right="180"/>
              <w:spacing w:after="0" w:line="97" w:lineRule="exact"/>
              <w:rPr>
                <w:sz w:val="20"/>
                <w:szCs w:val="20"/>
                <w:color w:val="auto"/>
              </w:rPr>
            </w:pPr>
            <w:r>
              <w:rPr>
                <w:rFonts w:ascii="Arial" w:cs="Arial" w:eastAsia="Arial" w:hAnsi="Arial"/>
                <w:sz w:val="9"/>
                <w:szCs w:val="9"/>
                <w:color w:val="auto"/>
              </w:rPr>
              <w:t>(487,953)</w:t>
            </w: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5,729,614</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Comprehensive income: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Net income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782,183</w:t>
            </w:r>
          </w:p>
        </w:tc>
        <w:tc>
          <w:tcPr>
            <w:tcW w:w="200" w:type="dxa"/>
            <w:vAlign w:val="bottom"/>
          </w:tcPr>
          <w:p>
            <w:pPr>
              <w:spacing w:after="0"/>
              <w:rPr>
                <w:sz w:val="8"/>
                <w:szCs w:val="8"/>
                <w:color w:val="auto"/>
              </w:rPr>
            </w:pP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782,183</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Other comprehensive income, net of tax and reclassification adjustments: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340"/>
              <w:spacing w:after="0" w:line="97" w:lineRule="exact"/>
              <w:rPr>
                <w:sz w:val="20"/>
                <w:szCs w:val="20"/>
                <w:color w:val="auto"/>
              </w:rPr>
            </w:pPr>
            <w:r>
              <w:rPr>
                <w:rFonts w:ascii="Arial" w:cs="Arial" w:eastAsia="Arial" w:hAnsi="Arial"/>
                <w:sz w:val="9"/>
                <w:szCs w:val="9"/>
                <w:color w:val="auto"/>
              </w:rPr>
              <w:t>Unrealized losses on investment securities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(43,864)</w:t>
            </w: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(43,864)</w:t>
            </w: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340"/>
              <w:spacing w:after="0" w:line="97" w:lineRule="exact"/>
              <w:rPr>
                <w:sz w:val="20"/>
                <w:szCs w:val="20"/>
                <w:color w:val="auto"/>
              </w:rPr>
            </w:pPr>
            <w:r>
              <w:rPr>
                <w:rFonts w:ascii="Arial" w:cs="Arial" w:eastAsia="Arial" w:hAnsi="Arial"/>
                <w:sz w:val="9"/>
                <w:szCs w:val="9"/>
                <w:color w:val="auto"/>
              </w:rPr>
              <w:t>Minimum pension liability adjustment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(36,857)</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(36,857)</w:t>
            </w: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701,462</w:t>
            </w:r>
          </w:p>
        </w:tc>
        <w:tc>
          <w:tcPr>
            <w:tcW w:w="80" w:type="dxa"/>
            <w:vAlign w:val="bottom"/>
          </w:tcPr>
          <w:p>
            <w:pPr>
              <w:spacing w:after="0"/>
              <w:rPr>
                <w:sz w:val="8"/>
                <w:szCs w:val="8"/>
                <w:color w:val="auto"/>
              </w:rPr>
            </w:pP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Purchases of treasury stock</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7" w:lineRule="exact"/>
              <w:rPr>
                <w:sz w:val="20"/>
                <w:szCs w:val="20"/>
                <w:color w:val="auto"/>
              </w:rPr>
            </w:pPr>
            <w:r>
              <w:rPr>
                <w:rFonts w:ascii="Arial" w:cs="Arial" w:eastAsia="Arial" w:hAnsi="Arial"/>
                <w:sz w:val="9"/>
                <w:szCs w:val="9"/>
                <w:color w:val="auto"/>
              </w:rPr>
              <w:t>(509,609)</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(509,609)</w:t>
            </w: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color w:val="auto"/>
              </w:rPr>
              <w:t>Repayment of management stock ownership program receivable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304</w:t>
            </w:r>
          </w:p>
        </w:tc>
        <w:tc>
          <w:tcPr>
            <w:tcW w:w="180" w:type="dxa"/>
            <w:vAlign w:val="bottom"/>
          </w:tcPr>
          <w:p>
            <w:pPr>
              <w:spacing w:after="0"/>
              <w:rPr>
                <w:sz w:val="8"/>
                <w:szCs w:val="8"/>
                <w:color w:val="auto"/>
              </w:rPr>
            </w:pP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304</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Stock-based compensation plans: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Stock option and purchase plans: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Compensation expense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45,191</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45,191</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160"/>
              <w:spacing w:after="0" w:line="97" w:lineRule="exact"/>
              <w:rPr>
                <w:sz w:val="20"/>
                <w:szCs w:val="20"/>
                <w:color w:val="auto"/>
              </w:rPr>
            </w:pPr>
            <w:r>
              <w:rPr>
                <w:rFonts w:ascii="Arial" w:cs="Arial" w:eastAsia="Arial" w:hAnsi="Arial"/>
                <w:sz w:val="9"/>
                <w:szCs w:val="9"/>
                <w:color w:val="auto"/>
              </w:rPr>
              <w:t>Exercises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(57,112)</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163,864</w:t>
            </w:r>
          </w:p>
        </w:tc>
        <w:tc>
          <w:tcPr>
            <w:tcW w:w="2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106,752</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Directors’ stock plan</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87</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1,009</w:t>
            </w: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1,096</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Deferred compensation plans, net, including dividend equivalents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160"/>
              <w:spacing w:after="0" w:line="97" w:lineRule="exact"/>
              <w:rPr>
                <w:sz w:val="20"/>
                <w:szCs w:val="20"/>
                <w:color w:val="auto"/>
              </w:rPr>
            </w:pPr>
            <w:r>
              <w:rPr>
                <w:rFonts w:ascii="Arial" w:cs="Arial" w:eastAsia="Arial" w:hAnsi="Arial"/>
                <w:sz w:val="9"/>
                <w:szCs w:val="9"/>
                <w:color w:val="auto"/>
              </w:rPr>
              <w:t>(416)</w:t>
            </w:r>
          </w:p>
        </w:tc>
        <w:tc>
          <w:tcPr>
            <w:tcW w:w="6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(229)</w:t>
            </w:r>
          </w:p>
        </w:tc>
        <w:tc>
          <w:tcPr>
            <w:tcW w:w="66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(176)</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1,016</w:t>
            </w:r>
          </w:p>
        </w:tc>
        <w:tc>
          <w:tcPr>
            <w:tcW w:w="2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195</w:t>
            </w:r>
          </w:p>
        </w:tc>
        <w:tc>
          <w:tcPr>
            <w:tcW w:w="80" w:type="dxa"/>
            <w:vAlign w:val="bottom"/>
          </w:tcPr>
          <w:p>
            <w:pPr>
              <w:spacing w:after="0"/>
              <w:rPr>
                <w:sz w:val="8"/>
                <w:szCs w:val="8"/>
                <w:color w:val="auto"/>
              </w:rPr>
            </w:pP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Common stock cash dividends — $1.75 per share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(198,619)</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(198,619)</w:t>
            </w:r>
          </w:p>
        </w:tc>
      </w:tr>
      <w:tr>
        <w:trPr>
          <w:trHeight w:val="96"/>
        </w:trPr>
        <w:tc>
          <w:tcPr>
            <w:tcW w:w="4640" w:type="dxa"/>
            <w:vAlign w:val="bottom"/>
            <w:gridSpan w:val="2"/>
          </w:tcPr>
          <w:p>
            <w:pPr>
              <w:spacing w:after="0" w:line="96" w:lineRule="exact"/>
              <w:rPr>
                <w:sz w:val="20"/>
                <w:szCs w:val="20"/>
                <w:color w:val="auto"/>
              </w:rPr>
            </w:pPr>
            <w:r>
              <w:rPr>
                <w:rFonts w:ascii="Arial" w:cs="Arial" w:eastAsia="Arial" w:hAnsi="Arial"/>
                <w:sz w:val="9"/>
                <w:szCs w:val="9"/>
                <w:color w:val="auto"/>
              </w:rPr>
              <w:t>Balance — December 31, 2005</w:t>
            </w:r>
          </w:p>
        </w:tc>
        <w:tc>
          <w:tcPr>
            <w:tcW w:w="2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60,198</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5,363</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2,886,153</w:t>
            </w:r>
          </w:p>
        </w:tc>
        <w:tc>
          <w:tcPr>
            <w:tcW w:w="180" w:type="dxa"/>
            <w:vAlign w:val="bottom"/>
          </w:tcPr>
          <w:p>
            <w:pPr>
              <w:spacing w:after="0"/>
              <w:rPr>
                <w:sz w:val="8"/>
                <w:szCs w:val="8"/>
                <w:color w:val="auto"/>
              </w:rPr>
            </w:pPr>
          </w:p>
        </w:tc>
        <w:tc>
          <w:tcPr>
            <w:tcW w:w="4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3,854,275</w:t>
            </w:r>
          </w:p>
        </w:tc>
        <w:tc>
          <w:tcPr>
            <w:tcW w:w="200" w:type="dxa"/>
            <w:vAlign w:val="bottom"/>
          </w:tcPr>
          <w:p>
            <w:pPr>
              <w:spacing w:after="0"/>
              <w:rPr>
                <w:sz w:val="8"/>
                <w:szCs w:val="8"/>
                <w:color w:val="auto"/>
              </w:rPr>
            </w:pPr>
          </w:p>
        </w:tc>
        <w:tc>
          <w:tcPr>
            <w:tcW w:w="8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(97,930)</w:t>
            </w:r>
          </w:p>
        </w:tc>
        <w:tc>
          <w:tcPr>
            <w:tcW w:w="180" w:type="dxa"/>
            <w:vAlign w:val="bottom"/>
          </w:tcPr>
          <w:p>
            <w:pPr>
              <w:spacing w:after="0"/>
              <w:rPr>
                <w:sz w:val="8"/>
                <w:szCs w:val="8"/>
                <w:color w:val="auto"/>
              </w:rPr>
            </w:pPr>
          </w:p>
        </w:tc>
        <w:tc>
          <w:tcPr>
            <w:tcW w:w="5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(831,673)</w:t>
            </w:r>
          </w:p>
        </w:tc>
        <w:tc>
          <w:tcPr>
            <w:tcW w:w="200" w:type="dxa"/>
            <w:vAlign w:val="bottom"/>
          </w:tcPr>
          <w:p>
            <w:pPr>
              <w:spacing w:after="0"/>
              <w:rPr>
                <w:sz w:val="8"/>
                <w:szCs w:val="8"/>
                <w:color w:val="auto"/>
              </w:rPr>
            </w:pPr>
          </w:p>
        </w:tc>
        <w:tc>
          <w:tcPr>
            <w:tcW w:w="4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5,876,386</w:t>
            </w:r>
          </w:p>
        </w:tc>
        <w:tc>
          <w:tcPr>
            <w:tcW w:w="80" w:type="dxa"/>
            <w:vAlign w:val="bottom"/>
          </w:tcPr>
          <w:p>
            <w:pPr>
              <w:spacing w:after="0"/>
              <w:rPr>
                <w:sz w:val="8"/>
                <w:szCs w:val="8"/>
                <w:color w:val="auto"/>
              </w:rPr>
            </w:pP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2006</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color w:val="auto"/>
              </w:rPr>
              <w:t>Comprehensive income: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Net income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839,189</w:t>
            </w:r>
          </w:p>
        </w:tc>
        <w:tc>
          <w:tcPr>
            <w:tcW w:w="2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839,189</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Other comprehensive income, net of tax and reclassification adjustments: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340"/>
              <w:spacing w:after="0" w:line="97" w:lineRule="exact"/>
              <w:rPr>
                <w:sz w:val="20"/>
                <w:szCs w:val="20"/>
                <w:color w:val="auto"/>
              </w:rPr>
            </w:pPr>
            <w:r>
              <w:rPr>
                <w:rFonts w:ascii="Arial" w:cs="Arial" w:eastAsia="Arial" w:hAnsi="Arial"/>
                <w:sz w:val="9"/>
                <w:szCs w:val="9"/>
                <w:color w:val="auto"/>
              </w:rPr>
              <w:t>Unrealized gains on investment securities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23,265</w:t>
            </w: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23,265</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340"/>
              <w:spacing w:after="0" w:line="97" w:lineRule="exact"/>
              <w:rPr>
                <w:sz w:val="20"/>
                <w:szCs w:val="20"/>
                <w:color w:val="auto"/>
              </w:rPr>
            </w:pPr>
            <w:r>
              <w:rPr>
                <w:rFonts w:ascii="Arial" w:cs="Arial" w:eastAsia="Arial" w:hAnsi="Arial"/>
                <w:sz w:val="9"/>
                <w:szCs w:val="9"/>
                <w:color w:val="auto"/>
              </w:rPr>
              <w:t>Minimum pension liability adjustment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97" w:lineRule="exact"/>
              <w:rPr>
                <w:sz w:val="20"/>
                <w:szCs w:val="20"/>
                <w:color w:val="auto"/>
              </w:rPr>
            </w:pPr>
            <w:r>
              <w:rPr>
                <w:rFonts w:ascii="Arial" w:cs="Arial" w:eastAsia="Arial" w:hAnsi="Arial"/>
                <w:sz w:val="9"/>
                <w:szCs w:val="9"/>
                <w:color w:val="auto"/>
              </w:rPr>
              <w:t>30,932</w:t>
            </w:r>
          </w:p>
        </w:tc>
        <w:tc>
          <w:tcPr>
            <w:tcW w:w="180" w:type="dxa"/>
            <w:vAlign w:val="bottom"/>
          </w:tcPr>
          <w:p>
            <w:pPr>
              <w:spacing w:after="0"/>
              <w:rPr>
                <w:sz w:val="8"/>
                <w:szCs w:val="8"/>
                <w:color w:val="auto"/>
              </w:rPr>
            </w:pP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30,932</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893,386</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line="97" w:lineRule="exact"/>
              <w:rPr>
                <w:sz w:val="20"/>
                <w:szCs w:val="20"/>
                <w:color w:val="auto"/>
              </w:rPr>
            </w:pPr>
            <w:r>
              <w:rPr>
                <w:rFonts w:ascii="Arial" w:cs="Arial" w:eastAsia="Arial" w:hAnsi="Arial"/>
                <w:sz w:val="9"/>
                <w:szCs w:val="9"/>
                <w:color w:val="auto"/>
              </w:rPr>
              <w:t>Change in accounting for defined benefit plans (note 11)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(9,841)</w:t>
            </w: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(9,841)</w:t>
            </w: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Purchases of treasury stock</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line="97" w:lineRule="exact"/>
              <w:rPr>
                <w:sz w:val="20"/>
                <w:szCs w:val="20"/>
                <w:color w:val="auto"/>
              </w:rPr>
            </w:pPr>
            <w:r>
              <w:rPr>
                <w:rFonts w:ascii="Arial" w:cs="Arial" w:eastAsia="Arial" w:hAnsi="Arial"/>
                <w:sz w:val="9"/>
                <w:szCs w:val="9"/>
                <w:color w:val="auto"/>
              </w:rPr>
              <w:t>(373,860)</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(373,860)</w:t>
            </w: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color w:val="auto"/>
              </w:rPr>
              <w:t>Repayment of management stock ownership program receivable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225</w:t>
            </w:r>
          </w:p>
        </w:tc>
        <w:tc>
          <w:tcPr>
            <w:tcW w:w="180" w:type="dxa"/>
            <w:vAlign w:val="bottom"/>
          </w:tcPr>
          <w:p>
            <w:pPr>
              <w:spacing w:after="0"/>
              <w:rPr>
                <w:sz w:val="8"/>
                <w:szCs w:val="8"/>
                <w:color w:val="auto"/>
              </w:rPr>
            </w:pP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225</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Stock-based compensation plans: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Stock option and purchase plans: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260"/>
              <w:spacing w:after="0" w:line="97" w:lineRule="exact"/>
              <w:rPr>
                <w:sz w:val="20"/>
                <w:szCs w:val="20"/>
                <w:color w:val="auto"/>
              </w:rPr>
            </w:pPr>
            <w:r>
              <w:rPr>
                <w:rFonts w:ascii="Arial" w:cs="Arial" w:eastAsia="Arial" w:hAnsi="Arial"/>
                <w:sz w:val="9"/>
                <w:szCs w:val="9"/>
                <w:color w:val="auto"/>
              </w:rPr>
              <w:t>Compensation expense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51,237</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51,237</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260"/>
              <w:spacing w:after="0" w:line="97" w:lineRule="exact"/>
              <w:rPr>
                <w:sz w:val="20"/>
                <w:szCs w:val="20"/>
                <w:color w:val="auto"/>
              </w:rPr>
            </w:pPr>
            <w:r>
              <w:rPr>
                <w:rFonts w:ascii="Arial" w:cs="Arial" w:eastAsia="Arial" w:hAnsi="Arial"/>
                <w:sz w:val="9"/>
                <w:szCs w:val="9"/>
                <w:color w:val="auto"/>
              </w:rPr>
              <w:t>Exercises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(47,742)</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140,053</w:t>
            </w:r>
          </w:p>
        </w:tc>
        <w:tc>
          <w:tcPr>
            <w:tcW w:w="2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92,311</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Directors’ stock plan</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133</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977</w:t>
            </w: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1,110</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Deferred compensation plans, net, including dividend equivalents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160"/>
              <w:spacing w:after="0" w:line="97" w:lineRule="exact"/>
              <w:rPr>
                <w:sz w:val="20"/>
                <w:szCs w:val="20"/>
                <w:color w:val="auto"/>
              </w:rPr>
            </w:pPr>
            <w:r>
              <w:rPr>
                <w:rFonts w:ascii="Arial" w:cs="Arial" w:eastAsia="Arial" w:hAnsi="Arial"/>
                <w:sz w:val="9"/>
                <w:szCs w:val="9"/>
                <w:color w:val="auto"/>
              </w:rPr>
              <w:t>(303)</w:t>
            </w:r>
          </w:p>
        </w:tc>
        <w:tc>
          <w:tcPr>
            <w:tcW w:w="6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(557)</w:t>
            </w:r>
          </w:p>
        </w:tc>
        <w:tc>
          <w:tcPr>
            <w:tcW w:w="66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(206)</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1,024</w:t>
            </w:r>
          </w:p>
        </w:tc>
        <w:tc>
          <w:tcPr>
            <w:tcW w:w="200" w:type="dxa"/>
            <w:vAlign w:val="bottom"/>
          </w:tcPr>
          <w:p>
            <w:pPr>
              <w:spacing w:after="0"/>
              <w:rPr>
                <w:sz w:val="8"/>
                <w:szCs w:val="8"/>
                <w:color w:val="auto"/>
              </w:rPr>
            </w:pPr>
          </w:p>
        </w:tc>
        <w:tc>
          <w:tcPr>
            <w:tcW w:w="5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(42)</w:t>
            </w: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Common stock cash dividends — $2.25 per share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(249,817)</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(249,817)</w:t>
            </w:r>
          </w:p>
        </w:tc>
      </w:tr>
      <w:tr>
        <w:trPr>
          <w:trHeight w:val="96"/>
        </w:trPr>
        <w:tc>
          <w:tcPr>
            <w:tcW w:w="4640" w:type="dxa"/>
            <w:vAlign w:val="bottom"/>
            <w:gridSpan w:val="2"/>
          </w:tcPr>
          <w:p>
            <w:pPr>
              <w:spacing w:after="0" w:line="96" w:lineRule="exact"/>
              <w:rPr>
                <w:sz w:val="20"/>
                <w:szCs w:val="20"/>
                <w:color w:val="auto"/>
              </w:rPr>
            </w:pPr>
            <w:r>
              <w:rPr>
                <w:rFonts w:ascii="Arial" w:cs="Arial" w:eastAsia="Arial" w:hAnsi="Arial"/>
                <w:sz w:val="9"/>
                <w:szCs w:val="9"/>
                <w:color w:val="auto"/>
              </w:rPr>
              <w:t>Balance — December 31, 2006</w:t>
            </w:r>
          </w:p>
        </w:tc>
        <w:tc>
          <w:tcPr>
            <w:tcW w:w="2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60,198</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5,060</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2,889,449</w:t>
            </w:r>
          </w:p>
        </w:tc>
        <w:tc>
          <w:tcPr>
            <w:tcW w:w="180" w:type="dxa"/>
            <w:vAlign w:val="bottom"/>
          </w:tcPr>
          <w:p>
            <w:pPr>
              <w:spacing w:after="0"/>
              <w:rPr>
                <w:sz w:val="8"/>
                <w:szCs w:val="8"/>
                <w:color w:val="auto"/>
              </w:rPr>
            </w:pPr>
          </w:p>
        </w:tc>
        <w:tc>
          <w:tcPr>
            <w:tcW w:w="4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4,443,441</w:t>
            </w:r>
          </w:p>
        </w:tc>
        <w:tc>
          <w:tcPr>
            <w:tcW w:w="200" w:type="dxa"/>
            <w:vAlign w:val="bottom"/>
          </w:tcPr>
          <w:p>
            <w:pPr>
              <w:spacing w:after="0"/>
              <w:rPr>
                <w:sz w:val="8"/>
                <w:szCs w:val="8"/>
                <w:color w:val="auto"/>
              </w:rPr>
            </w:pPr>
          </w:p>
        </w:tc>
        <w:tc>
          <w:tcPr>
            <w:tcW w:w="8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(53,574)</w:t>
            </w:r>
          </w:p>
        </w:tc>
        <w:tc>
          <w:tcPr>
            <w:tcW w:w="180" w:type="dxa"/>
            <w:vAlign w:val="bottom"/>
          </w:tcPr>
          <w:p>
            <w:pPr>
              <w:spacing w:after="0"/>
              <w:rPr>
                <w:sz w:val="8"/>
                <w:szCs w:val="8"/>
                <w:color w:val="auto"/>
              </w:rPr>
            </w:pPr>
          </w:p>
        </w:tc>
        <w:tc>
          <w:tcPr>
            <w:tcW w:w="5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(1,063,479)</w:t>
            </w:r>
          </w:p>
        </w:tc>
        <w:tc>
          <w:tcPr>
            <w:tcW w:w="200" w:type="dxa"/>
            <w:vAlign w:val="bottom"/>
          </w:tcPr>
          <w:p>
            <w:pPr>
              <w:spacing w:after="0"/>
              <w:rPr>
                <w:sz w:val="8"/>
                <w:szCs w:val="8"/>
                <w:color w:val="auto"/>
              </w:rPr>
            </w:pPr>
          </w:p>
        </w:tc>
        <w:tc>
          <w:tcPr>
            <w:tcW w:w="4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6,281,095</w:t>
            </w:r>
          </w:p>
        </w:tc>
        <w:tc>
          <w:tcPr>
            <w:tcW w:w="80" w:type="dxa"/>
            <w:vAlign w:val="bottom"/>
          </w:tcPr>
          <w:p>
            <w:pPr>
              <w:spacing w:after="0"/>
              <w:rPr>
                <w:sz w:val="8"/>
                <w:szCs w:val="8"/>
                <w:color w:val="auto"/>
              </w:rPr>
            </w:pP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2007</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color w:val="auto"/>
              </w:rPr>
              <w:t>Comprehensive income: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Net income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654,259</w:t>
            </w:r>
          </w:p>
        </w:tc>
        <w:tc>
          <w:tcPr>
            <w:tcW w:w="2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654,259</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Other comprehensive income, net of tax and reclassification adjustments: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340"/>
              <w:spacing w:after="0" w:line="97" w:lineRule="exact"/>
              <w:rPr>
                <w:sz w:val="20"/>
                <w:szCs w:val="20"/>
                <w:color w:val="auto"/>
              </w:rPr>
            </w:pPr>
            <w:r>
              <w:rPr>
                <w:rFonts w:ascii="Arial" w:cs="Arial" w:eastAsia="Arial" w:hAnsi="Arial"/>
                <w:sz w:val="9"/>
                <w:szCs w:val="9"/>
                <w:color w:val="auto"/>
              </w:rPr>
              <w:t>Unrealized losses on investment securities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(34,095)</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(34,095)</w:t>
            </w:r>
          </w:p>
        </w:tc>
      </w:tr>
      <w:tr>
        <w:trPr>
          <w:trHeight w:val="96"/>
        </w:trPr>
        <w:tc>
          <w:tcPr>
            <w:tcW w:w="20" w:type="dxa"/>
            <w:vAlign w:val="bottom"/>
          </w:tcPr>
          <w:p>
            <w:pPr>
              <w:spacing w:after="0"/>
              <w:rPr>
                <w:sz w:val="8"/>
                <w:szCs w:val="8"/>
                <w:color w:val="auto"/>
              </w:rPr>
            </w:pPr>
          </w:p>
        </w:tc>
        <w:tc>
          <w:tcPr>
            <w:tcW w:w="4620" w:type="dxa"/>
            <w:vAlign w:val="bottom"/>
          </w:tcPr>
          <w:p>
            <w:pPr>
              <w:ind w:left="340"/>
              <w:spacing w:after="0" w:line="97" w:lineRule="exact"/>
              <w:rPr>
                <w:sz w:val="20"/>
                <w:szCs w:val="20"/>
                <w:color w:val="auto"/>
              </w:rPr>
            </w:pPr>
            <w:r>
              <w:rPr>
                <w:rFonts w:ascii="Arial" w:cs="Arial" w:eastAsia="Arial" w:hAnsi="Arial"/>
                <w:sz w:val="9"/>
                <w:szCs w:val="9"/>
                <w:color w:val="auto"/>
              </w:rPr>
              <w:t>Defined benefit plan liability adjustment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(18,222)</w:t>
            </w:r>
          </w:p>
        </w:tc>
        <w:tc>
          <w:tcPr>
            <w:tcW w:w="70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(18,222)</w:t>
            </w: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340"/>
              <w:spacing w:after="0" w:line="97" w:lineRule="exact"/>
              <w:rPr>
                <w:sz w:val="20"/>
                <w:szCs w:val="20"/>
                <w:color w:val="auto"/>
              </w:rPr>
            </w:pPr>
            <w:r>
              <w:rPr>
                <w:rFonts w:ascii="Arial" w:cs="Arial" w:eastAsia="Arial" w:hAnsi="Arial"/>
                <w:sz w:val="9"/>
                <w:szCs w:val="9"/>
                <w:color w:val="auto"/>
              </w:rPr>
              <w:t>Unrealized losses on cash flow hedges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(8,931)</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(8,931)</w:t>
            </w: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593,011</w:t>
            </w:r>
          </w:p>
        </w:tc>
        <w:tc>
          <w:tcPr>
            <w:tcW w:w="80" w:type="dxa"/>
            <w:vAlign w:val="bottom"/>
          </w:tcPr>
          <w:p>
            <w:pPr>
              <w:spacing w:after="0"/>
              <w:rPr>
                <w:sz w:val="8"/>
                <w:szCs w:val="8"/>
                <w:color w:val="auto"/>
              </w:rPr>
            </w:pP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Acquisition of Partners Trust Financial Group, Inc. — common stock issued</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(54,628)</w:t>
            </w: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331,643</w:t>
            </w: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277,015</w:t>
            </w:r>
          </w:p>
        </w:tc>
        <w:tc>
          <w:tcPr>
            <w:tcW w:w="80" w:type="dxa"/>
            <w:vAlign w:val="bottom"/>
            <w:shd w:val="clear" w:color="auto" w:fill="CCEEFF"/>
          </w:tcPr>
          <w:p>
            <w:pPr>
              <w:spacing w:after="0"/>
              <w:rPr>
                <w:sz w:val="8"/>
                <w:szCs w:val="8"/>
                <w:color w:val="auto"/>
              </w:rPr>
            </w:pPr>
          </w:p>
        </w:tc>
      </w:tr>
      <w:tr>
        <w:trPr>
          <w:trHeight w:val="96"/>
        </w:trPr>
        <w:tc>
          <w:tcPr>
            <w:tcW w:w="4640" w:type="dxa"/>
            <w:vAlign w:val="bottom"/>
            <w:gridSpan w:val="2"/>
          </w:tcPr>
          <w:p>
            <w:pPr>
              <w:spacing w:after="0" w:line="97" w:lineRule="exact"/>
              <w:rPr>
                <w:sz w:val="20"/>
                <w:szCs w:val="20"/>
                <w:color w:val="auto"/>
              </w:rPr>
            </w:pPr>
            <w:r>
              <w:rPr>
                <w:rFonts w:ascii="Arial" w:cs="Arial" w:eastAsia="Arial" w:hAnsi="Arial"/>
                <w:sz w:val="9"/>
                <w:szCs w:val="9"/>
                <w:color w:val="auto"/>
              </w:rPr>
              <w:t>Purchases of treasury 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80"/>
              <w:spacing w:after="0" w:line="97" w:lineRule="exact"/>
              <w:rPr>
                <w:sz w:val="20"/>
                <w:szCs w:val="20"/>
                <w:color w:val="auto"/>
              </w:rPr>
            </w:pPr>
            <w:r>
              <w:rPr>
                <w:rFonts w:ascii="Arial" w:cs="Arial" w:eastAsia="Arial" w:hAnsi="Arial"/>
                <w:sz w:val="9"/>
                <w:szCs w:val="9"/>
                <w:color w:val="auto"/>
              </w:rPr>
              <w:t>(508,404)</w:t>
            </w:r>
          </w:p>
        </w:tc>
        <w:tc>
          <w:tcPr>
            <w:tcW w:w="5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(508,404)</w:t>
            </w: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Stock-based compensation plans: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Stock option and purchase plans: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260"/>
              <w:spacing w:after="0" w:line="97" w:lineRule="exact"/>
              <w:rPr>
                <w:sz w:val="20"/>
                <w:szCs w:val="20"/>
                <w:color w:val="auto"/>
              </w:rPr>
            </w:pPr>
            <w:r>
              <w:rPr>
                <w:rFonts w:ascii="Arial" w:cs="Arial" w:eastAsia="Arial" w:hAnsi="Arial"/>
                <w:sz w:val="9"/>
                <w:szCs w:val="9"/>
                <w:color w:val="auto"/>
              </w:rPr>
              <w:t>Compensation expense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49,824</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1,605</w:t>
            </w: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51,429</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260"/>
              <w:spacing w:after="0" w:line="97" w:lineRule="exact"/>
              <w:rPr>
                <w:sz w:val="20"/>
                <w:szCs w:val="20"/>
                <w:color w:val="auto"/>
              </w:rPr>
            </w:pPr>
            <w:r>
              <w:rPr>
                <w:rFonts w:ascii="Arial" w:cs="Arial" w:eastAsia="Arial" w:hAnsi="Arial"/>
                <w:sz w:val="9"/>
                <w:szCs w:val="9"/>
                <w:color w:val="auto"/>
              </w:rPr>
              <w:t>Exercises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(35,397)</w:t>
            </w:r>
          </w:p>
        </w:tc>
        <w:tc>
          <w:tcPr>
            <w:tcW w:w="66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107,116</w:t>
            </w:r>
          </w:p>
        </w:tc>
        <w:tc>
          <w:tcPr>
            <w:tcW w:w="20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71,719</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Directors’ stock plan</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63</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1,278</w:t>
            </w: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1,341</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ind w:left="80"/>
              <w:spacing w:after="0" w:line="97" w:lineRule="exact"/>
              <w:rPr>
                <w:sz w:val="20"/>
                <w:szCs w:val="20"/>
                <w:color w:val="auto"/>
              </w:rPr>
            </w:pPr>
            <w:r>
              <w:rPr>
                <w:rFonts w:ascii="Arial" w:cs="Arial" w:eastAsia="Arial" w:hAnsi="Arial"/>
                <w:sz w:val="9"/>
                <w:szCs w:val="9"/>
                <w:color w:val="auto"/>
              </w:rPr>
              <w:t>Deferred compensation plans, net, including dividend equivalents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160"/>
              <w:spacing w:after="0" w:line="97" w:lineRule="exact"/>
              <w:rPr>
                <w:sz w:val="20"/>
                <w:szCs w:val="20"/>
                <w:color w:val="auto"/>
              </w:rPr>
            </w:pPr>
            <w:r>
              <w:rPr>
                <w:rFonts w:ascii="Arial" w:cs="Arial" w:eastAsia="Arial" w:hAnsi="Arial"/>
                <w:sz w:val="9"/>
                <w:szCs w:val="9"/>
                <w:color w:val="auto"/>
              </w:rPr>
              <w:t>(284)</w:t>
            </w:r>
          </w:p>
        </w:tc>
        <w:tc>
          <w:tcPr>
            <w:tcW w:w="68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(559)</w:t>
            </w:r>
          </w:p>
        </w:tc>
        <w:tc>
          <w:tcPr>
            <w:tcW w:w="660" w:type="dxa"/>
            <w:vAlign w:val="bottom"/>
            <w:gridSpan w:val="2"/>
          </w:tcPr>
          <w:p>
            <w:pPr>
              <w:jc w:val="right"/>
              <w:ind w:right="160"/>
              <w:spacing w:after="0" w:line="97" w:lineRule="exact"/>
              <w:rPr>
                <w:sz w:val="20"/>
                <w:szCs w:val="20"/>
                <w:color w:val="auto"/>
              </w:rPr>
            </w:pPr>
            <w:r>
              <w:rPr>
                <w:rFonts w:ascii="Arial" w:cs="Arial" w:eastAsia="Arial" w:hAnsi="Arial"/>
                <w:sz w:val="9"/>
                <w:szCs w:val="9"/>
                <w:color w:val="auto"/>
              </w:rPr>
              <w:t>(215)</w:t>
            </w:r>
          </w:p>
        </w:tc>
        <w:tc>
          <w:tcPr>
            <w:tcW w:w="980" w:type="dxa"/>
            <w:vAlign w:val="bottom"/>
            <w:gridSpan w:val="2"/>
          </w:tcPr>
          <w:p>
            <w:pPr>
              <w:jc w:val="right"/>
              <w:ind w:right="200"/>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1,008</w:t>
            </w:r>
          </w:p>
        </w:tc>
        <w:tc>
          <w:tcPr>
            <w:tcW w:w="200" w:type="dxa"/>
            <w:vAlign w:val="bottom"/>
          </w:tcPr>
          <w:p>
            <w:pPr>
              <w:spacing w:after="0"/>
              <w:rPr>
                <w:sz w:val="8"/>
                <w:szCs w:val="8"/>
                <w:color w:val="auto"/>
              </w:rPr>
            </w:pPr>
          </w:p>
        </w:tc>
        <w:tc>
          <w:tcPr>
            <w:tcW w:w="5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(50)</w:t>
            </w:r>
          </w:p>
        </w:tc>
      </w:tr>
      <w:tr>
        <w:trPr>
          <w:trHeight w:val="96"/>
        </w:trPr>
        <w:tc>
          <w:tcPr>
            <w:tcW w:w="46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Common stock cash dividends — $2.60 per share</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(281,900)</w:t>
            </w:r>
          </w:p>
        </w:tc>
        <w:tc>
          <w:tcPr>
            <w:tcW w:w="9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(281,900)</w:t>
            </w:r>
          </w:p>
        </w:tc>
      </w:tr>
      <w:tr>
        <w:trPr>
          <w:trHeight w:val="105"/>
        </w:trPr>
        <w:tc>
          <w:tcPr>
            <w:tcW w:w="4640" w:type="dxa"/>
            <w:vAlign w:val="bottom"/>
            <w:gridSpan w:val="2"/>
          </w:tcPr>
          <w:p>
            <w:pPr>
              <w:spacing w:after="0" w:line="96" w:lineRule="exact"/>
              <w:rPr>
                <w:sz w:val="20"/>
                <w:szCs w:val="20"/>
                <w:color w:val="auto"/>
              </w:rPr>
            </w:pPr>
            <w:r>
              <w:rPr>
                <w:rFonts w:ascii="Arial" w:cs="Arial" w:eastAsia="Arial" w:hAnsi="Arial"/>
                <w:sz w:val="9"/>
                <w:szCs w:val="9"/>
                <w:color w:val="auto"/>
              </w:rPr>
              <w:t>Balance — December 31, 2007</w:t>
            </w:r>
          </w:p>
        </w:tc>
        <w:tc>
          <w:tcPr>
            <w:tcW w:w="2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60,198</w:t>
            </w:r>
          </w:p>
        </w:tc>
        <w:tc>
          <w:tcPr>
            <w:tcW w:w="20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4,776</w:t>
            </w:r>
          </w:p>
        </w:tc>
        <w:tc>
          <w:tcPr>
            <w:tcW w:w="2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2,848,752</w:t>
            </w:r>
          </w:p>
        </w:tc>
        <w:tc>
          <w:tcPr>
            <w:tcW w:w="18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4,815,585</w:t>
            </w:r>
          </w:p>
        </w:tc>
        <w:tc>
          <w:tcPr>
            <w:tcW w:w="200" w:type="dxa"/>
            <w:vAlign w:val="bottom"/>
          </w:tcPr>
          <w:p>
            <w:pPr>
              <w:spacing w:after="0"/>
              <w:rPr>
                <w:sz w:val="9"/>
                <w:szCs w:val="9"/>
                <w:color w:val="auto"/>
              </w:rPr>
            </w:pPr>
          </w:p>
        </w:tc>
        <w:tc>
          <w:tcPr>
            <w:tcW w:w="8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(114,822)</w:t>
            </w:r>
          </w:p>
        </w:tc>
        <w:tc>
          <w:tcPr>
            <w:tcW w:w="1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(1,129,233)</w:t>
            </w:r>
          </w:p>
        </w:tc>
        <w:tc>
          <w:tcPr>
            <w:tcW w:w="20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6,485,256</w:t>
            </w:r>
          </w:p>
        </w:tc>
        <w:tc>
          <w:tcPr>
            <w:tcW w:w="80" w:type="dxa"/>
            <w:vAlign w:val="bottom"/>
          </w:tcPr>
          <w:p>
            <w:pPr>
              <w:spacing w:after="0"/>
              <w:rPr>
                <w:sz w:val="9"/>
                <w:szCs w:val="9"/>
                <w:color w:val="auto"/>
              </w:rPr>
            </w:pPr>
          </w:p>
        </w:tc>
      </w:tr>
    </w:tbl>
    <w:p>
      <w:pPr>
        <w:spacing w:after="0" w:line="49"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w:t>
      </w:r>
    </w:p>
    <w:p>
      <w:pPr>
        <w:spacing w:after="0" w:line="90" w:lineRule="exact"/>
        <w:rPr>
          <w:sz w:val="20"/>
          <w:szCs w:val="20"/>
          <w:color w:val="auto"/>
        </w:rPr>
      </w:pPr>
    </w:p>
    <w:p>
      <w:pPr>
        <w:ind w:left="1000" w:hanging="315"/>
        <w:spacing w:after="0"/>
        <w:tabs>
          <w:tab w:leader="none" w:pos="100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Virginia and the District of Columbia and on small and medium-size businesses based in those areas. Banking services are also provided in Delaware, West Virginia and New Jersey, while certain subsidiaries also conduct activities in other states.</w:t>
      </w:r>
    </w:p>
    <w:p>
      <w:pPr>
        <w:spacing w:after="0" w:line="2" w:lineRule="exact"/>
        <w:rPr>
          <w:sz w:val="20"/>
          <w:szCs w:val="20"/>
          <w:color w:val="auto"/>
        </w:rPr>
      </w:pPr>
    </w:p>
    <w:p>
      <w:pPr>
        <w:ind w:left="680" w:right="140" w:firstLine="599"/>
        <w:spacing w:after="0" w:line="247" w:lineRule="auto"/>
        <w:rPr>
          <w:sz w:val="20"/>
          <w:szCs w:val="20"/>
          <w:color w:val="auto"/>
        </w:rPr>
      </w:pPr>
      <w:r>
        <w:rPr>
          <w:rFonts w:ascii="Arial" w:cs="Arial" w:eastAsia="Arial" w:hAnsi="Arial"/>
          <w:sz w:val="14"/>
          <w:szCs w:val="14"/>
          <w:color w:val="auto"/>
        </w:rPr>
        <w:t>The accounting and reporting policies of M&amp;T and subsidiaries (“the Company”) conform to generally accepted accounting principles (“GAAP”) and to general practices within the banking industry.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Consolidation</w:t>
      </w:r>
    </w:p>
    <w:p>
      <w:pPr>
        <w:spacing w:after="0" w:line="15" w:lineRule="exact"/>
        <w:rPr>
          <w:sz w:val="20"/>
          <w:szCs w:val="20"/>
          <w:color w:val="auto"/>
        </w:rPr>
      </w:pPr>
    </w:p>
    <w:p>
      <w:pPr>
        <w:ind w:left="680" w:right="300"/>
        <w:spacing w:after="0" w:line="311" w:lineRule="auto"/>
        <w:rPr>
          <w:sz w:val="20"/>
          <w:szCs w:val="20"/>
          <w:color w:val="auto"/>
        </w:rPr>
      </w:pPr>
      <w:r>
        <w:rPr>
          <w:rFonts w:ascii="Arial" w:cs="Arial" w:eastAsia="Arial" w:hAnsi="Arial"/>
          <w:sz w:val="12"/>
          <w:szCs w:val="12"/>
          <w:color w:val="auto"/>
        </w:rPr>
        <w:t>Except as described in note 18, 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18.</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Consolidated Statement of Cash Flows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purposes of this statement, cash and due from banks and federal funds sold are considered cash and cash equivalents.</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Securities purchased under agreements to resell and securities sold under agreements to repurchase</w:t>
      </w:r>
    </w:p>
    <w:p>
      <w:pPr>
        <w:spacing w:after="0" w:line="15" w:lineRule="exact"/>
        <w:rPr>
          <w:sz w:val="20"/>
          <w:szCs w:val="20"/>
          <w:color w:val="auto"/>
        </w:rPr>
      </w:pPr>
    </w:p>
    <w:p>
      <w:pPr>
        <w:ind w:left="680" w:right="400"/>
        <w:spacing w:after="0" w:line="337" w:lineRule="auto"/>
        <w:rPr>
          <w:sz w:val="20"/>
          <w:szCs w:val="20"/>
          <w:color w:val="auto"/>
        </w:rPr>
      </w:pPr>
      <w:r>
        <w:rPr>
          <w:rFonts w:ascii="Arial" w:cs="Arial" w:eastAsia="Arial" w:hAnsi="Arial"/>
          <w:sz w:val="12"/>
          <w:szCs w:val="12"/>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w:t>
      </w:r>
    </w:p>
    <w:p>
      <w:pPr>
        <w:spacing w:after="0" w:line="15" w:lineRule="exact"/>
        <w:rPr>
          <w:sz w:val="20"/>
          <w:szCs w:val="20"/>
          <w:color w:val="auto"/>
        </w:rPr>
      </w:pPr>
    </w:p>
    <w:p>
      <w:pPr>
        <w:ind w:left="680"/>
        <w:spacing w:after="0" w:line="255" w:lineRule="auto"/>
        <w:rPr>
          <w:sz w:val="20"/>
          <w:szCs w:val="20"/>
          <w:color w:val="auto"/>
        </w:rPr>
      </w:pPr>
      <w:r>
        <w:rPr>
          <w:rFonts w:ascii="Arial" w:cs="Arial" w:eastAsia="Arial" w:hAnsi="Arial"/>
          <w:sz w:val="14"/>
          <w:szCs w:val="14"/>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 w:lineRule="exact"/>
        <w:rPr>
          <w:sz w:val="20"/>
          <w:szCs w:val="20"/>
          <w:color w:val="auto"/>
        </w:rPr>
      </w:pPr>
    </w:p>
    <w:p>
      <w:pPr>
        <w:ind w:left="680" w:right="120"/>
        <w:spacing w:after="0" w:line="244" w:lineRule="auto"/>
        <w:rPr>
          <w:sz w:val="20"/>
          <w:szCs w:val="20"/>
          <w:color w:val="auto"/>
        </w:rPr>
      </w:pPr>
      <w:r>
        <w:rPr>
          <w:rFonts w:ascii="Arial" w:cs="Arial" w:eastAsia="Arial" w:hAnsi="Arial"/>
          <w:sz w:val="14"/>
          <w:szCs w:val="14"/>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Other securities are stated at cost and include stock of the Federal Reserve Bank of New York and the Federal Home Loan Bank of New York.</w:t>
      </w:r>
    </w:p>
    <w:p>
      <w:pPr>
        <w:spacing w:after="0" w:line="3" w:lineRule="exact"/>
        <w:rPr>
          <w:sz w:val="20"/>
          <w:szCs w:val="20"/>
          <w:color w:val="auto"/>
        </w:rPr>
      </w:pPr>
    </w:p>
    <w:p>
      <w:pPr>
        <w:ind w:left="680" w:right="100" w:firstLine="599"/>
        <w:spacing w:after="0" w:line="255" w:lineRule="auto"/>
        <w:rPr>
          <w:sz w:val="20"/>
          <w:szCs w:val="20"/>
          <w:color w:val="auto"/>
        </w:rPr>
      </w:pPr>
      <w:r>
        <w:rPr>
          <w:rFonts w:ascii="Arial" w:cs="Arial" w:eastAsia="Arial" w:hAnsi="Arial"/>
          <w:sz w:val="14"/>
          <w:szCs w:val="14"/>
          <w:color w:val="auto"/>
        </w:rPr>
        <w:t>Amortization of premiums and accretion of discounts for investment securities available for sale and held to maturity are included in interest income. The cost basis of individual securities is written down to estimated fair value through a charge to earnings when declines in value below amortized cost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are considered to be other than temporary. Realized gains and losses on the sales of investment securities are determined using the specific identification method.</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5"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Loan balances are charged off when it becomes evident that such balances are not fully collectible.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2"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Except for consumer and residential mortgage loans that are considered smaller balance homogenous loans and are evaluated collectively, the Company considers a loan to be impaired for purposes of applying Statement of Financial Accounting Standards (“SFAS”) No. 114, “Accounting by Creditors for Impairment of a Loan,” as amended, when, based on current information and events, it is probable that the Company will be unable to collect all amounts according to the contractual terms of the loan agreement or the loan is delinquent 90 days. Impaired loans are classified as either nonaccrual or as loans renegotiated at below market rates. Loans less than 90 days delinquent are deemed to have an insignificant delay in payment and are generally not considered impaired for purposes of applying SFAS No. 114. Impairment of a loan is measured based on the present value of expected future cash flows discounted at the loan’s effective interest rate, the loan’s observable market price, or the fair value of collateral if the loan is collateral dependent. Interest received on impaired loans placed on nonaccrual status is applied to reduce the carrying value of the loan or, if principal is considered fully collectible, recognized as interest income.</w:t>
      </w:r>
    </w:p>
    <w:p>
      <w:pPr>
        <w:spacing w:after="0" w:line="3" w:lineRule="exact"/>
        <w:rPr>
          <w:sz w:val="20"/>
          <w:szCs w:val="20"/>
          <w:color w:val="auto"/>
        </w:rPr>
      </w:pPr>
    </w:p>
    <w:p>
      <w:pPr>
        <w:ind w:left="680" w:right="320" w:firstLine="599"/>
        <w:spacing w:after="0" w:line="247" w:lineRule="auto"/>
        <w:rPr>
          <w:sz w:val="20"/>
          <w:szCs w:val="20"/>
          <w:color w:val="auto"/>
        </w:rPr>
      </w:pPr>
      <w:r>
        <w:rPr>
          <w:rFonts w:ascii="Arial" w:cs="Arial" w:eastAsia="Arial" w:hAnsi="Arial"/>
          <w:sz w:val="14"/>
          <w:szCs w:val="14"/>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 Initial estimates of residual value for automobile leases are recorded based on published industry standards and historical residual value losses incurred relative to the published industry standards. Automobile leases are considered small homogenous leases and, as such, impairments to residual value are determined based on projected residual value losses relative to the initially recorded residual values.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5" w:lineRule="exact"/>
        <w:rPr>
          <w:sz w:val="20"/>
          <w:szCs w:val="20"/>
          <w:color w:val="auto"/>
        </w:rPr>
      </w:pPr>
    </w:p>
    <w:p>
      <w:pPr>
        <w:ind w:left="680"/>
        <w:spacing w:after="0" w:line="248" w:lineRule="auto"/>
        <w:rPr>
          <w:sz w:val="20"/>
          <w:szCs w:val="20"/>
          <w:color w:val="auto"/>
        </w:rPr>
      </w:pPr>
      <w:r>
        <w:rPr>
          <w:rFonts w:ascii="Arial" w:cs="Arial" w:eastAsia="Arial" w:hAnsi="Arial"/>
          <w:sz w:val="14"/>
          <w:szCs w:val="14"/>
          <w:color w:val="auto"/>
        </w:rPr>
        <w:t>The allowance for credit losses represents the amount which, in management’s judgment, will be adequate to absorb credit losses inherent in the loan and lease portfolio as of the balance sheet date. The adequacy of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Premises and equipment</w:t>
      </w:r>
    </w:p>
    <w:p>
      <w:pPr>
        <w:spacing w:after="0" w:line="15" w:lineRule="exact"/>
        <w:rPr>
          <w:sz w:val="20"/>
          <w:szCs w:val="20"/>
          <w:color w:val="auto"/>
        </w:rPr>
      </w:pPr>
    </w:p>
    <w:p>
      <w:pPr>
        <w:ind w:left="680" w:right="40"/>
        <w:spacing w:after="0" w:line="255" w:lineRule="auto"/>
        <w:rPr>
          <w:sz w:val="20"/>
          <w:szCs w:val="20"/>
          <w:color w:val="auto"/>
        </w:rPr>
      </w:pPr>
      <w:r>
        <w:rPr>
          <w:rFonts w:ascii="Arial" w:cs="Arial" w:eastAsia="Arial" w:hAnsi="Arial"/>
          <w:sz w:val="14"/>
          <w:szCs w:val="14"/>
          <w:color w:val="auto"/>
        </w:rPr>
        <w:t>Premises and equipment are stated at cost less accumulated depreciation. Depreciation expense is computed principally using the straight-line method over the estimated useful lives of the assets.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5" w:lineRule="exact"/>
        <w:rPr>
          <w:sz w:val="20"/>
          <w:szCs w:val="20"/>
          <w:color w:val="auto"/>
        </w:rPr>
      </w:pPr>
    </w:p>
    <w:p>
      <w:pPr>
        <w:ind w:left="680" w:right="540"/>
        <w:spacing w:after="0" w:line="293" w:lineRule="auto"/>
        <w:rPr>
          <w:sz w:val="20"/>
          <w:szCs w:val="20"/>
          <w:color w:val="auto"/>
        </w:rPr>
      </w:pPr>
      <w:r>
        <w:rPr>
          <w:rFonts w:ascii="Arial" w:cs="Arial" w:eastAsia="Arial" w:hAnsi="Arial"/>
          <w:sz w:val="13"/>
          <w:szCs w:val="13"/>
          <w:color w:val="auto"/>
        </w:rPr>
        <w:t>Capitalized servicing assets are included in other assets in the Company’s consolidated balance sheet. Effective January 1, 2007, the Company adopted SFAS No. 156, “Accounting for Servicing of Financial Assets — an amendment of FASB Statement No. 140,” which requires that all separately recognized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47" w:lineRule="auto"/>
        <w:rPr>
          <w:sz w:val="20"/>
          <w:szCs w:val="20"/>
          <w:color w:val="auto"/>
        </w:rPr>
      </w:pPr>
      <w:r>
        <w:rPr>
          <w:rFonts w:ascii="Arial" w:cs="Arial" w:eastAsia="Arial" w:hAnsi="Arial"/>
          <w:sz w:val="14"/>
          <w:szCs w:val="14"/>
          <w:color w:val="auto"/>
        </w:rPr>
        <w:t>servicing assets be initially measured at fair value and permits an entity to choose its subsequent measurement method for each class of separately recognized servicing assets as either the amortization method or fair value method. M&amp;T has not elected to subsequently measure any of its capitalized servicing rights at fair value, but rather uses the amortization method under which capitalized servicing assets are charged to expense in proportion to and over the period of estimated net servicing income. Prior to January 1, 2007, the Company initially measured servicing assets retained in sales and securitization transactions for which it was the transferor under the relative fair value method prescribed in SFAS No. 140, “Accounting for Transfers and Servicing of Financial Assets and Extinguishments of Liabilities,” and subsequently charged such assets to expense using the amortization method.</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Sales and securitizations of financial assets</w:t>
      </w:r>
    </w:p>
    <w:p>
      <w:pPr>
        <w:spacing w:after="0" w:line="15" w:lineRule="exact"/>
        <w:rPr>
          <w:sz w:val="20"/>
          <w:szCs w:val="20"/>
          <w:color w:val="auto"/>
        </w:rPr>
      </w:pPr>
    </w:p>
    <w:p>
      <w:pPr>
        <w:ind w:left="680"/>
        <w:spacing w:after="0" w:line="269" w:lineRule="auto"/>
        <w:rPr>
          <w:sz w:val="20"/>
          <w:szCs w:val="20"/>
          <w:color w:val="auto"/>
        </w:rPr>
      </w:pPr>
      <w:r>
        <w:rPr>
          <w:rFonts w:ascii="Arial" w:cs="Arial" w:eastAsia="Arial" w:hAnsi="Arial"/>
          <w:sz w:val="13"/>
          <w:szCs w:val="13"/>
          <w:color w:val="auto"/>
        </w:rPr>
        <w:t>Transfers of financial assets for which the Company has surrendered control of the financial assets are accounted for as sales to the extent that consideration other than beneficial interests in the transferred assets is received in exchange. Interests in a sale or securitization of financial assets that continue to be held by the Company, other than servicing rights which as of January 1, 2007 are initially measured at fair value, are measured at the date of transfer by allocating the previous carrying amount between the assets transferred and the retained interests based on their relative estimated fair values.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Goodwill and core deposit and other intangible assets</w:t>
      </w:r>
    </w:p>
    <w:p>
      <w:pPr>
        <w:spacing w:after="0" w:line="15"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Goodwill represents the excess of the cost of an acquired entity over the fair value of the identifiable net assets acquired. Similar to goodwill, other intangible assets, which include core deposit intangibles, also lack physical substance but, as required by SFAS No. 141, “Business Combinations,” portions of the cost of an acquired entity have been assigned to such assets. The Company accounts for goodwill and other intangible assets in accordance with SFAS No. 142, “Goodwill and Other Intangible Assets,” which, in general, requires that goodwill not be amortized, but rather that it be tested for impairment at least annually at the reporting unit level, which is either at the same level or one level below an operating segment. Other acquired intangible assets with finite lives, such as core deposit intangibles, are required to be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5" w:lineRule="exact"/>
        <w:rPr>
          <w:sz w:val="20"/>
          <w:szCs w:val="20"/>
          <w:color w:val="auto"/>
        </w:rPr>
      </w:pPr>
    </w:p>
    <w:p>
      <w:pPr>
        <w:ind w:left="680" w:right="20"/>
        <w:spacing w:after="0" w:line="311" w:lineRule="auto"/>
        <w:rPr>
          <w:sz w:val="20"/>
          <w:szCs w:val="20"/>
          <w:color w:val="auto"/>
        </w:rPr>
      </w:pPr>
      <w:r>
        <w:rPr>
          <w:rFonts w:ascii="Arial" w:cs="Arial" w:eastAsia="Arial" w:hAnsi="Arial"/>
          <w:sz w:val="12"/>
          <w:szCs w:val="12"/>
          <w:color w:val="auto"/>
        </w:rPr>
        <w:t>The Company accounts for derivative financial instruments in accordance with SFAS No. 133, “Accounting for Derivative Instruments and Hedging Activities,” as amended. SFAS No. 133 requires that an entity recognize all derivatives as either assets or liabilities in the balance sheet and measure those instruments at fair value. If certain conditions are met, a derivative may be specifically designated as (a) a hedge of the exposure to changes in the fair value of a recognized asset or liability or an unrecognized firm</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60"/>
        <w:spacing w:after="0" w:line="267" w:lineRule="auto"/>
        <w:rPr>
          <w:sz w:val="20"/>
          <w:szCs w:val="20"/>
          <w:color w:val="auto"/>
        </w:rPr>
      </w:pPr>
      <w:r>
        <w:rPr>
          <w:rFonts w:ascii="Arial" w:cs="Arial" w:eastAsia="Arial" w:hAnsi="Arial"/>
          <w:sz w:val="13"/>
          <w:szCs w:val="13"/>
          <w:color w:val="auto"/>
        </w:rPr>
        <w:t>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 Pursuant to SFAS No. 133, the accounting for changes in the fair value of a derivative depends on the intended use of the derivative and the resulting designation. An entity that elects to apply hedge accounting is required to establish at the inception of the hedge the method it will use for assessing the effectiveness of the hedging derivative and the measurement approach for determining the ineffective aspect of the hedge. Those methods must be consistent with the entity’s approach to managing risk.</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Company’s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3"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 However, in accordance with Staff Accounting Bulletin (“SAB”) No. 105, “Application of Accounting Principles to Loan Commitments,” issued by the United States Securities and Exchange Commission (“SEC”), value ascribable to cash flows that will be realized in connection with loan servicing activities has not been included in the determination of fair value of commitments to originate loans for sale. Value ascribable to that portion of cash flows is recognized at the time the underlying mortgage loans are sold.</w:t>
      </w:r>
    </w:p>
    <w:p>
      <w:pPr>
        <w:spacing w:after="0" w:line="2" w:lineRule="exact"/>
        <w:rPr>
          <w:sz w:val="20"/>
          <w:szCs w:val="20"/>
          <w:color w:val="auto"/>
        </w:rPr>
      </w:pPr>
    </w:p>
    <w:p>
      <w:pPr>
        <w:ind w:left="680" w:right="100" w:firstLine="599"/>
        <w:spacing w:after="0" w:line="249" w:lineRule="auto"/>
        <w:rPr>
          <w:sz w:val="20"/>
          <w:szCs w:val="20"/>
          <w:color w:val="auto"/>
        </w:rPr>
      </w:pPr>
      <w:r>
        <w:rPr>
          <w:rFonts w:ascii="Arial" w:cs="Arial" w:eastAsia="Arial" w:hAnsi="Arial"/>
          <w:sz w:val="14"/>
          <w:szCs w:val="14"/>
          <w:color w:val="auto"/>
        </w:rPr>
        <w:t>Derivative instruments not related to mortgage banking activities, including financial futures commitments and interest rate swap agreements, that do not satisfy the hedge accounting requirements noted above are recorded at fair value and are generally classified as trading account assets or liabilities with resultant changes in fair value being recognized in trading account and foreign exchange gains in the Company’s consolidated statement of income.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5" w:lineRule="exact"/>
        <w:rPr>
          <w:sz w:val="20"/>
          <w:szCs w:val="20"/>
          <w:color w:val="auto"/>
        </w:rPr>
      </w:pPr>
    </w:p>
    <w:p>
      <w:pPr>
        <w:ind w:left="680" w:right="120"/>
        <w:spacing w:after="0" w:line="267" w:lineRule="auto"/>
        <w:rPr>
          <w:sz w:val="20"/>
          <w:szCs w:val="20"/>
          <w:color w:val="auto"/>
        </w:rPr>
      </w:pPr>
      <w:r>
        <w:rPr>
          <w:rFonts w:ascii="Arial" w:cs="Arial" w:eastAsia="Arial" w:hAnsi="Arial"/>
          <w:sz w:val="13"/>
          <w:szCs w:val="13"/>
          <w:color w:val="auto"/>
        </w:rPr>
        <w:t>Effective January 1, 2006, the Company adopted SFAS No. 123 (revised 2004), “Share Based Payment,” (“SFAS No. 123R”), an amendment of SFAS No. 123, “Accounting for Stock-Based Compensation.” Prior to that date, the Company recognized expense for stock-based compensation using the fair value method of accounting described in SFAS No. 123. Stock-based compensation expense is recognized over the vesting period of the stock-based grant based on the estimated grant date value of the stock-based compensation that is expected to vest, except that coincident with the adoption of SFAS No. 123R, the Company began accelerating the recognition of compensation costs for stock-based awards granted to retirement-eligible employees and employees who will become retirement-eligible prior to full vesting of the award because the Company’s incentive compensation plan allows for vesting at the time an employee retires. Through December 31, 2005, stock-based compensation granted to such individuals was expensed over the normal vesting period and any remaining unrecognized compensation cost was recognized at the time an individual employee actually retired. Information on the determination of the estimated value of stock-based awards used to calculate stock-based compensation expense is included in note 10.</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Income taxes</w:t>
      </w:r>
    </w:p>
    <w:p>
      <w:pPr>
        <w:spacing w:after="0" w:line="15" w:lineRule="exact"/>
        <w:rPr>
          <w:sz w:val="20"/>
          <w:szCs w:val="20"/>
          <w:color w:val="auto"/>
        </w:rPr>
      </w:pPr>
    </w:p>
    <w:p>
      <w:pPr>
        <w:ind w:left="680" w:right="140"/>
        <w:spacing w:after="0" w:line="244" w:lineRule="auto"/>
        <w:rPr>
          <w:sz w:val="20"/>
          <w:szCs w:val="20"/>
          <w:color w:val="auto"/>
        </w:rPr>
      </w:pPr>
      <w:r>
        <w:rPr>
          <w:rFonts w:ascii="Arial" w:cs="Arial" w:eastAsia="Arial" w:hAnsi="Arial"/>
          <w:sz w:val="14"/>
          <w:szCs w:val="14"/>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 w:lineRule="exact"/>
        <w:rPr>
          <w:sz w:val="20"/>
          <w:szCs w:val="20"/>
          <w:color w:val="auto"/>
        </w:rPr>
      </w:pPr>
    </w:p>
    <w:p>
      <w:pPr>
        <w:ind w:left="680" w:right="40" w:firstLine="599"/>
        <w:spacing w:after="0" w:line="266" w:lineRule="auto"/>
        <w:rPr>
          <w:sz w:val="20"/>
          <w:szCs w:val="20"/>
          <w:color w:val="auto"/>
        </w:rPr>
      </w:pPr>
      <w:r>
        <w:rPr>
          <w:rFonts w:ascii="Arial" w:cs="Arial" w:eastAsia="Arial" w:hAnsi="Arial"/>
          <w:sz w:val="13"/>
          <w:szCs w:val="13"/>
          <w:color w:val="auto"/>
        </w:rPr>
        <w:t>Effective January 1, 2007, the Company adopted Financial Accounting Standards Board Interpretation (“FIN”) No. 48, “Accounting for Uncertainty in Income Taxes.” FIN No. 48 prescribes the accounting method to be applied to measure uncertainty in income taxes recognized under SFAS No. 109, “Accounting for Income Taxes.” FIN No. 48 established a recognition threshold and measurement attribute for the financial statement recognition and measurement of an uncertain tax position taken or expected to be taken in a tax return. The evaluation of an uncertain tax position in accordance with FIN No. 48 is a two-step process. The first step is recognition, which requires a determination whether it is more likely than not that a tax position will be sustained upon examination, including resolution of any related appeals or litigation processes, based on the technical merits of the position. The second step is measurement. Under the measurement step, a tax position that meets the more-likely-than-not recognition threshold is measured at the largest amount of benefit that is greater than fifty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adoption of FIN No. 48 did not result in any change to the Company’s liability for uncertain tax positions as of January 1, 2007. Information related to the adoption of FIN No. 48 is provided in note 12.</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Earnings per common share</w:t>
      </w:r>
    </w:p>
    <w:p>
      <w:pPr>
        <w:spacing w:after="0" w:line="15" w:lineRule="exact"/>
        <w:rPr>
          <w:sz w:val="20"/>
          <w:szCs w:val="20"/>
          <w:color w:val="auto"/>
        </w:rPr>
      </w:pPr>
    </w:p>
    <w:p>
      <w:pPr>
        <w:ind w:left="680"/>
        <w:spacing w:after="0" w:line="246" w:lineRule="auto"/>
        <w:rPr>
          <w:sz w:val="20"/>
          <w:szCs w:val="20"/>
          <w:color w:val="auto"/>
        </w:rPr>
      </w:pPr>
      <w:r>
        <w:rPr>
          <w:rFonts w:ascii="Arial" w:cs="Arial" w:eastAsia="Arial" w:hAnsi="Arial"/>
          <w:sz w:val="14"/>
          <w:szCs w:val="14"/>
          <w:color w:val="auto"/>
        </w:rPr>
        <w:t>Basic earnings per share exclude dilution and are computed by dividing income available to common stockholders by the weighted-average number of common shares outstanding (exclusive of shares represented by the unvested portion of restricted stock grants) and common shares issuable under deferred compensation arrangements during the period. Diluted earnings per share reflect shares represented by the unvested portion of restricted stock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Treasury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Repurchases of shares of M&amp;T common stock are recorded at cost as a reduction of stockholders’ equity. Reissuances of shares of treasury stock are recorded at average cost.</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2. Acquisitions</w:t>
      </w:r>
    </w:p>
    <w:p>
      <w:pPr>
        <w:spacing w:after="0" w:line="19" w:lineRule="exact"/>
        <w:rPr>
          <w:sz w:val="20"/>
          <w:szCs w:val="20"/>
          <w:color w:val="auto"/>
        </w:rPr>
      </w:pPr>
    </w:p>
    <w:p>
      <w:pPr>
        <w:ind w:left="680" w:right="20"/>
        <w:spacing w:after="0" w:line="267" w:lineRule="auto"/>
        <w:rPr>
          <w:sz w:val="20"/>
          <w:szCs w:val="20"/>
          <w:color w:val="auto"/>
        </w:rPr>
      </w:pPr>
      <w:r>
        <w:rPr>
          <w:rFonts w:ascii="Arial" w:cs="Arial" w:eastAsia="Arial" w:hAnsi="Arial"/>
          <w:sz w:val="13"/>
          <w:szCs w:val="13"/>
          <w:color w:val="auto"/>
        </w:rPr>
        <w:t>On November 30, 2007, M&amp;T completed the acquisition of Partners Trust Financial Group, Inc. (“Partners Trust”), a bank holding company headquartered in Utica, New York. Partners Trust was merged with and into M&amp;T on that date. Partners Trust Bank, the primary banking subsidiary of Partners Trust, was merged into Manufacturers and Traders Trust Company (“M&amp;T Bank”), a wholly owned subsidiary of M&amp;T, on that date. Partners Trust Bank operated 33 branch offices in upstate New York at the date of acquisition. The results of operations acquired in the Partners Trust transaction have been included in the Company’s financial results since November 30, 2007, but did not have a significant effect on the Company’s results of operations in 2007. After application of the election, allocation and proration procedures contained in the merger agreement with Partners Trust, M&amp;T paid $282 million in cash and issued 3,096,861 shares of M&amp;T common stock in exchange for Partners Trust shares and stock options outstanding at the time of acquisition. The purchase price was approximately $559 million based on the cash paid to Partners Trust shareholders, the fair value of M&amp;T common stock exchanged, and the cash paid to holders of Partners Trust stock options. The acquisition of Partners Trust expands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60"/>
        <w:spacing w:after="0" w:line="253" w:lineRule="auto"/>
        <w:rPr>
          <w:sz w:val="20"/>
          <w:szCs w:val="20"/>
          <w:color w:val="auto"/>
        </w:rPr>
      </w:pPr>
      <w:r>
        <w:rPr>
          <w:rFonts w:ascii="Arial" w:cs="Arial" w:eastAsia="Arial" w:hAnsi="Arial"/>
          <w:sz w:val="14"/>
          <w:szCs w:val="14"/>
          <w:color w:val="auto"/>
        </w:rPr>
        <w:t>M&amp;T’s presence in upstate New York, making M&amp;T Bank the deposit market share leader in the Utica-Rome and Binghamton markets, while strengthening its lead position in Syracuse.</w:t>
      </w:r>
    </w:p>
    <w:p>
      <w:pPr>
        <w:spacing w:after="0" w:line="1"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$288 million of goodwill and $50 million of core deposit intangible. The core deposit intangible is being amortized over 7 years using an accelerated method. Information regarding the allocation of goodwill recorded as a result of the acquisition to the Company’s reportable segments, as well as the carrying amounts and amortization of core deposit and other intangible assets, is provided in note 8.</w:t>
      </w:r>
    </w:p>
    <w:p>
      <w:pPr>
        <w:spacing w:after="0" w:line="1" w:lineRule="exact"/>
        <w:rPr>
          <w:sz w:val="20"/>
          <w:szCs w:val="20"/>
          <w:color w:val="auto"/>
        </w:rPr>
      </w:pPr>
    </w:p>
    <w:p>
      <w:pPr>
        <w:ind w:left="680" w:right="40" w:firstLine="599"/>
        <w:spacing w:after="0" w:line="285" w:lineRule="auto"/>
        <w:rPr>
          <w:sz w:val="20"/>
          <w:szCs w:val="20"/>
          <w:color w:val="auto"/>
        </w:rPr>
      </w:pPr>
      <w:r>
        <w:rPr>
          <w:rFonts w:ascii="Arial" w:cs="Arial" w:eastAsia="Arial" w:hAnsi="Arial"/>
          <w:sz w:val="12"/>
          <w:szCs w:val="12"/>
          <w:color w:val="auto"/>
        </w:rPr>
        <w:t>As a condition of the approval of the Partners Trust acquisition by regulators, M&amp;T Bank was required to divest three branch offices in Binghamton, New York having approximately $95 million in deposits as of June 30, 2006. M&amp;T Bank has reached an agreement to sell three branches in a transaction that is expected to close in 2008.</w:t>
      </w:r>
    </w:p>
    <w:p>
      <w:pPr>
        <w:ind w:left="680" w:right="80" w:firstLine="599"/>
        <w:spacing w:after="0" w:line="244" w:lineRule="auto"/>
        <w:rPr>
          <w:sz w:val="20"/>
          <w:szCs w:val="20"/>
          <w:color w:val="auto"/>
        </w:rPr>
      </w:pPr>
      <w:r>
        <w:rPr>
          <w:rFonts w:ascii="Arial" w:cs="Arial" w:eastAsia="Arial" w:hAnsi="Arial"/>
          <w:sz w:val="14"/>
          <w:szCs w:val="14"/>
          <w:color w:val="auto"/>
        </w:rPr>
        <w:t>Pro forma information for the year ended December 31, 2007 as if Partners Trust had been acquired on January 1, 2007 is not presented since such pro forma results were not materially different from the Company’s actual results.</w:t>
      </w:r>
    </w:p>
    <w:p>
      <w:pPr>
        <w:spacing w:after="0" w:line="1" w:lineRule="exact"/>
        <w:rPr>
          <w:sz w:val="20"/>
          <w:szCs w:val="20"/>
          <w:color w:val="auto"/>
        </w:rPr>
      </w:pPr>
    </w:p>
    <w:p>
      <w:pPr>
        <w:ind w:left="680" w:right="760" w:firstLine="599"/>
        <w:spacing w:after="0" w:line="263" w:lineRule="auto"/>
        <w:rPr>
          <w:sz w:val="20"/>
          <w:szCs w:val="20"/>
          <w:color w:val="auto"/>
        </w:rPr>
      </w:pPr>
      <w:r>
        <w:rPr>
          <w:rFonts w:ascii="Arial" w:cs="Arial" w:eastAsia="Arial" w:hAnsi="Arial"/>
          <w:sz w:val="13"/>
          <w:szCs w:val="13"/>
          <w:color w:val="auto"/>
        </w:rPr>
        <w:t>On December 7, 2007, M&amp;T Bank acquired 13 branch offices in the Mid-Atlantic region from First Horizon Bank in a cash transaction. The offices had approximately $214 million of loans, $216 million of deposits and $80 million of trust and investment assets under management on the transaction date.</w:t>
      </w:r>
    </w:p>
    <w:p>
      <w:pPr>
        <w:ind w:left="680" w:right="700" w:firstLine="599"/>
        <w:spacing w:after="0" w:line="244" w:lineRule="auto"/>
        <w:rPr>
          <w:sz w:val="20"/>
          <w:szCs w:val="20"/>
          <w:color w:val="auto"/>
        </w:rPr>
      </w:pPr>
      <w:r>
        <w:rPr>
          <w:rFonts w:ascii="Arial" w:cs="Arial" w:eastAsia="Arial" w:hAnsi="Arial"/>
          <w:sz w:val="14"/>
          <w:szCs w:val="14"/>
          <w:color w:val="auto"/>
        </w:rPr>
        <w:t>On June 30, 2006, M&amp;T Bank acquired 21 branch offices in Buffalo and Rochester, New York from Citibank, N.A. in a cash transaction. The offices had approximately $269 million of loans and approximately $1.0 billion of deposits.</w:t>
      </w:r>
    </w:p>
    <w:p>
      <w:pPr>
        <w:spacing w:after="0" w:line="1" w:lineRule="exact"/>
        <w:rPr>
          <w:sz w:val="20"/>
          <w:szCs w:val="20"/>
          <w:color w:val="auto"/>
        </w:rPr>
      </w:pPr>
    </w:p>
    <w:p>
      <w:pPr>
        <w:ind w:left="680" w:firstLine="599"/>
        <w:spacing w:after="0" w:line="298" w:lineRule="auto"/>
        <w:rPr>
          <w:sz w:val="20"/>
          <w:szCs w:val="20"/>
          <w:color w:val="auto"/>
        </w:rPr>
      </w:pPr>
      <w:r>
        <w:rPr>
          <w:rFonts w:ascii="Arial" w:cs="Arial" w:eastAsia="Arial" w:hAnsi="Arial"/>
          <w:sz w:val="12"/>
          <w:szCs w:val="12"/>
          <w:color w:val="auto"/>
        </w:rPr>
        <w:t>The Company incurred merger-related expenses related to systems conversions and other costs of integrating and conforming acquired operations with and into the Company of approximately $15 million ($9 million net of applicable income taxes) during 2007 and approximately $5 million ($3 million net of applicable income taxes) during 2006. There were no similar expenses in 2005. Those expenses consisted largely of professional services and other temporary help fees associated with the conversion of systems and/or integration of operations; costs related to branch and office consolidations; incentive compensation; initial marketing and promotion expenses designed to introduce the Company to customers of the acquired operations; travel costs; and printing, postage and supplies and other costs of commencing operations in new offices.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1000" w:hanging="315"/>
        <w:spacing w:after="0"/>
        <w:tabs>
          <w:tab w:leader="none" w:pos="100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amortized cost and estimated fair value of investment securities were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w w:val="93"/>
              </w:rPr>
              <w:t>Amortized</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9"/>
              <w:spacing w:after="0"/>
              <w:rPr>
                <w:sz w:val="20"/>
                <w:szCs w:val="20"/>
                <w:color w:val="auto"/>
              </w:rPr>
            </w:pPr>
            <w:r>
              <w:rPr>
                <w:rFonts w:ascii="Arial" w:cs="Arial" w:eastAsia="Arial" w:hAnsi="Arial"/>
                <w:sz w:val="10"/>
                <w:szCs w:val="10"/>
                <w:b w:val="1"/>
                <w:bCs w:val="1"/>
                <w:color w:val="auto"/>
                <w:w w:val="89"/>
              </w:rPr>
              <w:t>Gross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b w:val="1"/>
                <w:bCs w:val="1"/>
                <w:color w:val="auto"/>
                <w:w w:val="89"/>
              </w:rPr>
              <w:t>Gross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29"/>
              <w:spacing w:after="0" w:line="106" w:lineRule="exact"/>
              <w:rPr>
                <w:sz w:val="20"/>
                <w:szCs w:val="20"/>
                <w:color w:val="auto"/>
              </w:rPr>
            </w:pPr>
            <w:r>
              <w:rPr>
                <w:rFonts w:ascii="Arial" w:cs="Arial" w:eastAsia="Arial" w:hAnsi="Arial"/>
                <w:sz w:val="10"/>
                <w:szCs w:val="10"/>
                <w:b w:val="1"/>
                <w:bCs w:val="1"/>
                <w:color w:val="auto"/>
                <w:w w:val="94"/>
              </w:rPr>
              <w:t>Unrealized</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center"/>
              <w:ind w:right="9"/>
              <w:spacing w:after="0" w:line="106" w:lineRule="exact"/>
              <w:rPr>
                <w:sz w:val="20"/>
                <w:szCs w:val="20"/>
                <w:color w:val="auto"/>
              </w:rPr>
            </w:pPr>
            <w:r>
              <w:rPr>
                <w:rFonts w:ascii="Arial" w:cs="Arial" w:eastAsia="Arial" w:hAnsi="Arial"/>
                <w:sz w:val="10"/>
                <w:szCs w:val="10"/>
                <w:b w:val="1"/>
                <w:bCs w:val="1"/>
                <w:color w:val="auto"/>
                <w:w w:val="94"/>
              </w:rPr>
              <w:t>Unrealized</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Cost</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93"/>
              </w:rPr>
              <w:t>Gains</w:t>
            </w:r>
          </w:p>
        </w:tc>
        <w:tc>
          <w:tcPr>
            <w:tcW w:w="2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81"/>
              </w:rPr>
              <w:t>Losses</w:t>
            </w:r>
          </w:p>
        </w:tc>
        <w:tc>
          <w:tcPr>
            <w:tcW w:w="2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91"/>
              </w:rPr>
              <w:t>Fair 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29"/>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3"/>
          </w:tcPr>
          <w:p>
            <w:pPr>
              <w:jc w:val="right"/>
              <w:ind w:right="409"/>
              <w:spacing w:after="0"/>
              <w:rPr>
                <w:sz w:val="20"/>
                <w:szCs w:val="20"/>
                <w:color w:val="auto"/>
              </w:rPr>
            </w:pPr>
            <w:r>
              <w:rPr>
                <w:rFonts w:ascii="Arial" w:cs="Arial" w:eastAsia="Arial" w:hAnsi="Arial"/>
                <w:sz w:val="10"/>
                <w:szCs w:val="10"/>
                <w:b w:val="1"/>
                <w:bCs w:val="1"/>
                <w:color w:val="auto"/>
                <w:w w:val="74"/>
              </w:rPr>
              <w:t>thousands)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0"/>
                <w:szCs w:val="10"/>
                <w:color w:val="auto"/>
              </w:rPr>
              <w:t>December 31, 2007</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Investment securities available for sale: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U.S. Treasury and federal agencies</w:t>
            </w:r>
          </w:p>
        </w:tc>
        <w:tc>
          <w:tcPr>
            <w:tcW w:w="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631,460</w:t>
            </w:r>
          </w:p>
        </w:tc>
        <w:tc>
          <w:tcPr>
            <w:tcW w:w="3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1,761</w:t>
            </w:r>
          </w:p>
        </w:tc>
        <w:tc>
          <w:tcPr>
            <w:tcW w:w="3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251</w:t>
            </w:r>
          </w:p>
        </w:tc>
        <w:tc>
          <w:tcPr>
            <w:tcW w:w="3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632,970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83,333</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2,243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19</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85,557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Mortgage-backed securities:</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ind w:left="100"/>
              <w:spacing w:after="0" w:line="106" w:lineRule="exact"/>
              <w:rPr>
                <w:sz w:val="20"/>
                <w:szCs w:val="20"/>
                <w:color w:val="auto"/>
              </w:rPr>
            </w:pPr>
            <w:r>
              <w:rPr>
                <w:rFonts w:ascii="Arial" w:cs="Arial" w:eastAsia="Arial" w:hAnsi="Arial"/>
                <w:sz w:val="10"/>
                <w:szCs w:val="10"/>
                <w:color w:val="auto"/>
              </w:rPr>
              <w:t>Government issued or guaranteed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2,908,219</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15,542</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16,090</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2,907,671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Privately issued</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4,192,707</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13,146</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57,637</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4,148,216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Other debt securities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220,528</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1,526</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10,601</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211,453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Equity securities</w:t>
            </w:r>
          </w:p>
        </w:tc>
        <w:tc>
          <w:tcPr>
            <w:tcW w:w="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415,164</w:t>
            </w:r>
          </w:p>
        </w:tc>
        <w:tc>
          <w:tcPr>
            <w:tcW w:w="3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8,618</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30,480</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393,302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8,451,411</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42,836</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115,078</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8,379,169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Investment securities held to maturity:</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67,674</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1,864</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55</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69,483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debt securities</w:t>
            </w:r>
          </w:p>
        </w:tc>
        <w:tc>
          <w:tcPr>
            <w:tcW w:w="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8,767</w:t>
            </w:r>
          </w:p>
        </w:tc>
        <w:tc>
          <w:tcPr>
            <w:tcW w:w="3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8,767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76,441</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1,864</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55</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78,250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securities</w:t>
            </w:r>
          </w:p>
        </w:tc>
        <w:tc>
          <w:tcPr>
            <w:tcW w:w="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506,388</w:t>
            </w:r>
          </w:p>
        </w:tc>
        <w:tc>
          <w:tcPr>
            <w:tcW w:w="3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506,388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600" w:type="dxa"/>
            <w:vAlign w:val="bottom"/>
            <w:gridSpan w:val="2"/>
          </w:tcPr>
          <w:p>
            <w:pPr>
              <w:spacing w:after="0" w:line="106" w:lineRule="exact"/>
              <w:rPr>
                <w:sz w:val="20"/>
                <w:szCs w:val="20"/>
                <w:color w:val="auto"/>
              </w:rPr>
            </w:pPr>
            <w:r>
              <w:rPr>
                <w:rFonts w:ascii="Arial" w:cs="Arial" w:eastAsia="Arial" w:hAnsi="Arial"/>
                <w:sz w:val="10"/>
                <w:szCs w:val="10"/>
                <w:color w:val="auto"/>
              </w:rPr>
              <w:t>Total</w:t>
            </w:r>
          </w:p>
        </w:tc>
        <w:tc>
          <w:tcPr>
            <w:tcW w:w="2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9,034,240</w:t>
            </w:r>
          </w:p>
        </w:tc>
        <w:tc>
          <w:tcPr>
            <w:tcW w:w="300" w:type="dxa"/>
            <w:vAlign w:val="bottom"/>
          </w:tcPr>
          <w:p>
            <w:pPr>
              <w:spacing w:after="0"/>
              <w:rPr>
                <w:sz w:val="9"/>
                <w:szCs w:val="9"/>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44,700</w:t>
            </w:r>
          </w:p>
        </w:tc>
        <w:tc>
          <w:tcPr>
            <w:tcW w:w="280" w:type="dxa"/>
            <w:vAlign w:val="bottom"/>
          </w:tcPr>
          <w:p>
            <w:pPr>
              <w:spacing w:after="0"/>
              <w:rPr>
                <w:sz w:val="9"/>
                <w:szCs w:val="9"/>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115,133</w:t>
            </w:r>
          </w:p>
        </w:tc>
        <w:tc>
          <w:tcPr>
            <w:tcW w:w="280" w:type="dxa"/>
            <w:vAlign w:val="bottom"/>
          </w:tcPr>
          <w:p>
            <w:pPr>
              <w:spacing w:after="0"/>
              <w:rPr>
                <w:sz w:val="9"/>
                <w:szCs w:val="9"/>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8,963,807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0"/>
                <w:szCs w:val="10"/>
                <w:color w:val="auto"/>
              </w:rPr>
              <w:t>December 31, 2006</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Investment securities available for sale: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U.S. Treasury and federal agencies</w:t>
            </w:r>
          </w:p>
        </w:tc>
        <w:tc>
          <w:tcPr>
            <w:tcW w:w="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479,655</w:t>
            </w:r>
          </w:p>
        </w:tc>
        <w:tc>
          <w:tcPr>
            <w:tcW w:w="3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5,779</w:t>
            </w:r>
          </w:p>
        </w:tc>
        <w:tc>
          <w:tcPr>
            <w:tcW w:w="3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473,876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67,804</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2,967</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70,771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Mortgage-backed securities:</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ind w:left="100"/>
              <w:spacing w:after="0" w:line="106" w:lineRule="exact"/>
              <w:rPr>
                <w:sz w:val="20"/>
                <w:szCs w:val="20"/>
                <w:color w:val="auto"/>
              </w:rPr>
            </w:pPr>
            <w:r>
              <w:rPr>
                <w:rFonts w:ascii="Arial" w:cs="Arial" w:eastAsia="Arial" w:hAnsi="Arial"/>
                <w:sz w:val="10"/>
                <w:szCs w:val="10"/>
                <w:color w:val="auto"/>
              </w:rPr>
              <w:t>Government issued or guaranteed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1,943,407</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4,477</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40,176</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1,907,708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Privately issued</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3,830,965</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7,603</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42,038</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3,796,530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Other debt securities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145,034</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5,423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550</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149,907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Equity securities</w:t>
            </w:r>
          </w:p>
        </w:tc>
        <w:tc>
          <w:tcPr>
            <w:tcW w:w="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411,467</w:t>
            </w:r>
          </w:p>
        </w:tc>
        <w:tc>
          <w:tcPr>
            <w:tcW w:w="3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20,016</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427</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431,056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6,878,332</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40,486</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88,970</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6,829,848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Investment securities held to maturity:</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59,436</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1,845</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15</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61,266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debt securities</w:t>
            </w:r>
          </w:p>
        </w:tc>
        <w:tc>
          <w:tcPr>
            <w:tcW w:w="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5,463</w:t>
            </w:r>
          </w:p>
        </w:tc>
        <w:tc>
          <w:tcPr>
            <w:tcW w:w="3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5,463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64,899</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1,845</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15</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66,729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securities</w:t>
            </w:r>
          </w:p>
        </w:tc>
        <w:tc>
          <w:tcPr>
            <w:tcW w:w="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356,851</w:t>
            </w:r>
          </w:p>
        </w:tc>
        <w:tc>
          <w:tcPr>
            <w:tcW w:w="3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356,851</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600" w:type="dxa"/>
            <w:vAlign w:val="bottom"/>
            <w:gridSpan w:val="2"/>
          </w:tcPr>
          <w:p>
            <w:pPr>
              <w:spacing w:after="0" w:line="106" w:lineRule="exact"/>
              <w:rPr>
                <w:sz w:val="20"/>
                <w:szCs w:val="20"/>
                <w:color w:val="auto"/>
              </w:rPr>
            </w:pPr>
            <w:r>
              <w:rPr>
                <w:rFonts w:ascii="Arial" w:cs="Arial" w:eastAsia="Arial" w:hAnsi="Arial"/>
                <w:sz w:val="10"/>
                <w:szCs w:val="10"/>
                <w:color w:val="auto"/>
              </w:rPr>
              <w:t>Total</w:t>
            </w: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7,300,082</w:t>
            </w:r>
          </w:p>
        </w:tc>
        <w:tc>
          <w:tcPr>
            <w:tcW w:w="300" w:type="dxa"/>
            <w:vAlign w:val="bottom"/>
          </w:tcPr>
          <w:p>
            <w:pPr>
              <w:spacing w:after="0"/>
              <w:rPr>
                <w:sz w:val="9"/>
                <w:szCs w:val="9"/>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42,331</w:t>
            </w:r>
          </w:p>
        </w:tc>
        <w:tc>
          <w:tcPr>
            <w:tcW w:w="280" w:type="dxa"/>
            <w:vAlign w:val="bottom"/>
          </w:tcPr>
          <w:p>
            <w:pPr>
              <w:spacing w:after="0"/>
              <w:rPr>
                <w:sz w:val="9"/>
                <w:szCs w:val="9"/>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88,985</w:t>
            </w:r>
          </w:p>
        </w:tc>
        <w:tc>
          <w:tcPr>
            <w:tcW w:w="280" w:type="dxa"/>
            <w:vAlign w:val="bottom"/>
          </w:tcPr>
          <w:p>
            <w:pPr>
              <w:spacing w:after="0"/>
              <w:rPr>
                <w:sz w:val="9"/>
                <w:szCs w:val="9"/>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7,253,428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80" w:right="220"/>
        <w:spacing w:after="0" w:line="295" w:lineRule="auto"/>
        <w:rPr>
          <w:sz w:val="20"/>
          <w:szCs w:val="20"/>
          <w:color w:val="auto"/>
        </w:rPr>
      </w:pPr>
      <w:r>
        <w:rPr>
          <w:rFonts w:ascii="Arial" w:cs="Arial" w:eastAsia="Arial" w:hAnsi="Arial"/>
          <w:sz w:val="12"/>
          <w:szCs w:val="12"/>
          <w:color w:val="auto"/>
        </w:rPr>
        <w:t>No investment in securities of a single non-U.S. Government or government agency issuer exceeded ten percent of stockholders’ equity at December 31, 2007. As of December 31, 2007, the latest available investment ratings of all privately issued mortgage-backed securities and collateralized debt obligations included in</w:t>
      </w:r>
    </w:p>
    <w:p>
      <w:pPr>
        <w:spacing w:after="0" w:line="1" w:lineRule="exact"/>
        <w:rPr>
          <w:sz w:val="20"/>
          <w:szCs w:val="20"/>
          <w:color w:val="auto"/>
        </w:rPr>
      </w:pPr>
    </w:p>
    <w:p>
      <w:pPr>
        <w:ind w:left="680" w:right="660"/>
        <w:spacing w:after="0" w:line="255" w:lineRule="auto"/>
        <w:rPr>
          <w:sz w:val="20"/>
          <w:szCs w:val="20"/>
          <w:color w:val="auto"/>
        </w:rPr>
      </w:pPr>
      <w:r>
        <w:rPr>
          <w:rFonts w:ascii="Arial" w:cs="Arial" w:eastAsia="Arial" w:hAnsi="Arial"/>
          <w:sz w:val="14"/>
          <w:szCs w:val="14"/>
          <w:color w:val="auto"/>
        </w:rPr>
        <w:t>other debt securities were A or better, with the exception of 17 securities with an aggregate amortized cost and estimated fair value of $61,671,000 and $45,601,000,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480" w:firstLine="599"/>
        <w:spacing w:after="0" w:line="272" w:lineRule="auto"/>
        <w:rPr>
          <w:sz w:val="20"/>
          <w:szCs w:val="20"/>
          <w:color w:val="auto"/>
        </w:rPr>
      </w:pPr>
      <w:r>
        <w:rPr>
          <w:rFonts w:ascii="Arial" w:cs="Arial" w:eastAsia="Arial" w:hAnsi="Arial"/>
          <w:sz w:val="14"/>
          <w:szCs w:val="14"/>
          <w:color w:val="auto"/>
        </w:rPr>
        <w:t>The amortized cost and estimated fair value of collateralized mortgage obligations included in mortgage-backed securities and collateralized debt obligations included in other debt securities were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Borders>
              <w:bottom w:val="single" w:sz="8" w:color="auto"/>
            </w:tcBorders>
          </w:tcPr>
          <w:p>
            <w:pPr>
              <w:jc w:val="right"/>
              <w:ind w:right="249"/>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3"/>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Collateralized Mortgage Obligations:</w:t>
            </w:r>
          </w:p>
        </w:tc>
        <w:tc>
          <w:tcPr>
            <w:tcW w:w="2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tcPr>
          <w:p>
            <w:pPr>
              <w:ind w:left="120"/>
              <w:spacing w:after="0"/>
              <w:rPr>
                <w:sz w:val="20"/>
                <w:szCs w:val="20"/>
                <w:color w:val="auto"/>
              </w:rPr>
            </w:pPr>
            <w:r>
              <w:rPr>
                <w:rFonts w:ascii="Arial" w:cs="Arial" w:eastAsia="Arial" w:hAnsi="Arial"/>
                <w:sz w:val="14"/>
                <w:szCs w:val="14"/>
                <w:color w:val="auto"/>
              </w:rPr>
              <w:t>Amortized cost</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  4,986,883</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4,837,695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fair value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4,932,580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4,774,812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Arial" w:cs="Arial" w:eastAsia="Arial" w:hAnsi="Arial"/>
                <w:sz w:val="14"/>
                <w:szCs w:val="14"/>
                <w:color w:val="auto"/>
              </w:rPr>
              <w:t>Collateralized Debt Obligations:</w:t>
            </w:r>
          </w:p>
        </w:tc>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Amortized cost</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31,380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00" w:type="dxa"/>
            <w:vAlign w:val="bottom"/>
          </w:tcPr>
          <w:p>
            <w:pPr>
              <w:ind w:left="120"/>
              <w:spacing w:after="0"/>
              <w:rPr>
                <w:sz w:val="20"/>
                <w:szCs w:val="20"/>
                <w:color w:val="auto"/>
              </w:rPr>
            </w:pPr>
            <w:r>
              <w:rPr>
                <w:rFonts w:ascii="Arial" w:cs="Arial" w:eastAsia="Arial" w:hAnsi="Arial"/>
                <w:sz w:val="14"/>
                <w:szCs w:val="14"/>
                <w:color w:val="auto"/>
              </w:rPr>
              <w:t>Estimated fair value</w:t>
            </w:r>
          </w:p>
        </w:tc>
        <w:tc>
          <w:tcPr>
            <w:tcW w:w="3680" w:type="dxa"/>
            <w:vAlign w:val="bottom"/>
            <w:gridSpan w:val="2"/>
          </w:tcPr>
          <w:p>
            <w:pPr>
              <w:jc w:val="right"/>
              <w:spacing w:after="0"/>
              <w:rPr>
                <w:sz w:val="20"/>
                <w:szCs w:val="20"/>
                <w:color w:val="auto"/>
              </w:rPr>
            </w:pPr>
            <w:r>
              <w:rPr>
                <w:rFonts w:ascii="Arial" w:cs="Arial" w:eastAsia="Arial" w:hAnsi="Arial"/>
                <w:sz w:val="14"/>
                <w:szCs w:val="14"/>
                <w:color w:val="auto"/>
              </w:rPr>
              <w:t>31,485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Gross realized gains on the sale of investment securities were $1,585,000 in 2007, $2,735,000 in 2006 and $1,464,000 in 2005. Gross realized losses on investment securities were $381,000 in 2007, $169,000 in 2006 and $414,000 in 2005. During 2007, the Company recognized a $127,300,000 other-than-temporary impairment charge related to $131,700,000 of collateralized debt obligations purchased in March 2007 that were supported by sub-prime mortgage-backed securities. The impairment charge was recognized in light of significant deterioration of housing values in the residential real estate market, the significant rise in delinquencies and charge-offs of sub-prime mortgage loans and resulting decline in market value of collateralized debt obligations, in general, and specifically the steep decline in values of those debt obligations owned by the Company that are not expected to recover in the foreseeable future. Of the remaining collateralized debt obligations, $27,011,000 were obtained in the Partners Trust acquisition on November 30, 2007 and are collateralized by trust preferred capital securities and subordinated notes of other banking companies. During 2005, the Company recognized a $29,183,000 other-than-temporary impairment charge related to $132,900,000 of variable-rate preferred stock of the Federal National Mortgage Association (“FNMA”) and the Federal Home Loan Mortgage Corporation (“FHLMC”).</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2007, the amortized cost and estimated fair value of debt securities by contractual maturity were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93"/>
              <w:spacing w:after="0"/>
              <w:rPr>
                <w:sz w:val="20"/>
                <w:szCs w:val="20"/>
                <w:color w:val="auto"/>
              </w:rPr>
            </w:pPr>
            <w:r>
              <w:rPr>
                <w:rFonts w:ascii="Arial" w:cs="Arial" w:eastAsia="Arial" w:hAnsi="Arial"/>
                <w:sz w:val="10"/>
                <w:szCs w:val="10"/>
                <w:b w:val="1"/>
                <w:bCs w:val="1"/>
                <w:color w:val="auto"/>
              </w:rPr>
              <w:t>Amortized</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33"/>
              <w:spacing w:after="0"/>
              <w:rPr>
                <w:sz w:val="20"/>
                <w:szCs w:val="20"/>
                <w:color w:val="auto"/>
              </w:rPr>
            </w:pPr>
            <w:r>
              <w:rPr>
                <w:rFonts w:ascii="Arial" w:cs="Arial" w:eastAsia="Arial" w:hAnsi="Arial"/>
                <w:sz w:val="10"/>
                <w:szCs w:val="10"/>
                <w:b w:val="1"/>
                <w:bCs w:val="1"/>
                <w:color w:val="auto"/>
              </w:rPr>
              <w:t>Cost</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available for sale: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140,778</w:t>
            </w:r>
          </w:p>
        </w:tc>
        <w:tc>
          <w:tcPr>
            <w:tcW w:w="5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140,799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378,291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194,908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196,319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221,344</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213,014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935,321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929,980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 available for sale</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7,100,926</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7,055,887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8,036,247</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7,985,867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held to maturity: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46,304</w:t>
            </w:r>
          </w:p>
        </w:tc>
        <w:tc>
          <w:tcPr>
            <w:tcW w:w="5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46,394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10,820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9,781</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76,441</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560"/>
        <w:spacing w:after="0"/>
        <w:rPr>
          <w:sz w:val="20"/>
          <w:szCs w:val="20"/>
          <w:color w:val="auto"/>
        </w:rPr>
      </w:pPr>
      <w:r>
        <w:rPr>
          <w:rFonts w:ascii="Arial" w:cs="Arial" w:eastAsia="Arial" w:hAnsi="Arial"/>
          <w:sz w:val="8"/>
          <w:szCs w:val="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00" w:firstLine="599"/>
        <w:spacing w:after="0" w:line="272" w:lineRule="auto"/>
        <w:rPr>
          <w:sz w:val="20"/>
          <w:szCs w:val="20"/>
          <w:color w:val="auto"/>
        </w:rPr>
      </w:pPr>
      <w:r>
        <w:rPr>
          <w:rFonts w:ascii="Arial" w:cs="Arial" w:eastAsia="Arial" w:hAnsi="Arial"/>
          <w:sz w:val="14"/>
          <w:szCs w:val="14"/>
          <w:color w:val="auto"/>
        </w:rPr>
        <w:t>A summary of investment securities that as of December 31, 2007 and 2006 had been in a continuous unrealized loss position for less than twelve months and those that had been in a continuous unrealized loss position for twelve months or longer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5"/>
          </w:tcPr>
          <w:p>
            <w:pPr>
              <w:jc w:val="right"/>
              <w:ind w:right="617"/>
              <w:spacing w:after="0"/>
              <w:rPr>
                <w:sz w:val="20"/>
                <w:szCs w:val="20"/>
                <w:color w:val="auto"/>
              </w:rPr>
            </w:pPr>
            <w:r>
              <w:rPr>
                <w:rFonts w:ascii="Arial" w:cs="Arial" w:eastAsia="Arial" w:hAnsi="Arial"/>
                <w:sz w:val="10"/>
                <w:szCs w:val="10"/>
                <w:b w:val="1"/>
                <w:bCs w:val="1"/>
                <w:color w:val="auto"/>
              </w:rPr>
              <w:t>Less Than 12 Months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12 Months or More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0"/>
                <w:szCs w:val="10"/>
                <w:b w:val="1"/>
                <w:bCs w:val="1"/>
                <w:color w:val="auto"/>
              </w:rPr>
              <w:t>Fair Value</w:t>
            </w:r>
          </w:p>
        </w:tc>
        <w:tc>
          <w:tcPr>
            <w:tcW w:w="4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9"/>
                <w:szCs w:val="9"/>
                <w:b w:val="1"/>
                <w:bCs w:val="1"/>
                <w:color w:val="auto"/>
              </w:rPr>
              <w:t>Unrealized</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gridSpan w:val="2"/>
          </w:tcPr>
          <w:p>
            <w:pPr>
              <w:jc w:val="right"/>
              <w:spacing w:after="0" w:line="79" w:lineRule="exact"/>
              <w:rPr>
                <w:sz w:val="20"/>
                <w:szCs w:val="20"/>
                <w:color w:val="auto"/>
              </w:rPr>
            </w:pPr>
            <w:r>
              <w:rPr>
                <w:rFonts w:ascii="Arial" w:cs="Arial" w:eastAsia="Arial" w:hAnsi="Arial"/>
                <w:sz w:val="9"/>
                <w:szCs w:val="9"/>
                <w:b w:val="1"/>
                <w:bCs w:val="1"/>
                <w:color w:val="auto"/>
              </w:rPr>
              <w:t>Unrealized</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37"/>
              <w:spacing w:after="0"/>
              <w:rPr>
                <w:sz w:val="20"/>
                <w:szCs w:val="20"/>
                <w:color w:val="auto"/>
              </w:rPr>
            </w:pPr>
            <w:r>
              <w:rPr>
                <w:rFonts w:ascii="Arial" w:cs="Arial" w:eastAsia="Arial" w:hAnsi="Arial"/>
                <w:sz w:val="10"/>
                <w:szCs w:val="10"/>
                <w:b w:val="1"/>
                <w:bCs w:val="1"/>
                <w:color w:val="auto"/>
                <w:w w:val="86"/>
              </w:rPr>
              <w:t>Losses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1"/>
              </w:rPr>
              <w:t>Losses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tcPr>
          <w:p>
            <w:pPr>
              <w:ind w:left="20"/>
              <w:spacing w:after="0"/>
              <w:rPr>
                <w:sz w:val="20"/>
                <w:szCs w:val="20"/>
                <w:color w:val="auto"/>
              </w:rPr>
            </w:pPr>
            <w:r>
              <w:rPr>
                <w:rFonts w:ascii="Arial" w:cs="Arial" w:eastAsia="Arial" w:hAnsi="Arial"/>
                <w:sz w:val="9"/>
                <w:szCs w:val="9"/>
                <w:b w:val="1"/>
                <w:bCs w:val="1"/>
                <w:color w:val="auto"/>
                <w:w w:val="74"/>
              </w:rPr>
              <w:t>thousands)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72,341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37"/>
              <w:spacing w:after="0"/>
              <w:rPr>
                <w:sz w:val="20"/>
                <w:szCs w:val="20"/>
                <w:color w:val="auto"/>
              </w:rPr>
            </w:pPr>
            <w:r>
              <w:rPr>
                <w:rFonts w:ascii="Arial" w:cs="Arial" w:eastAsia="Arial" w:hAnsi="Arial"/>
                <w:sz w:val="14"/>
                <w:szCs w:val="14"/>
                <w:color w:val="auto"/>
              </w:rPr>
              <w:t>(25)</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120,987</w:t>
            </w:r>
          </w:p>
        </w:tc>
        <w:tc>
          <w:tcPr>
            <w:tcW w:w="54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11,747</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Mortgage-backed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Government issued or guaranteed</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339,458</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(586)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940,073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(15,504)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ind w:left="120"/>
              <w:spacing w:after="0"/>
              <w:rPr>
                <w:sz w:val="20"/>
                <w:szCs w:val="20"/>
                <w:color w:val="auto"/>
              </w:rPr>
            </w:pPr>
            <w:r>
              <w:rPr>
                <w:rFonts w:ascii="Arial" w:cs="Arial" w:eastAsia="Arial" w:hAnsi="Arial"/>
                <w:sz w:val="14"/>
                <w:szCs w:val="14"/>
                <w:color w:val="auto"/>
              </w:rPr>
              <w:t>Privately issued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1,093,250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4"/>
                <w:szCs w:val="14"/>
                <w:color w:val="auto"/>
                <w:w w:val="95"/>
              </w:rPr>
              <w:t>(36,036)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1,637,989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1"/>
              </w:rPr>
              <w:t>(21,601)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107,854</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(9,357)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Equity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124,845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4"/>
                <w:szCs w:val="14"/>
                <w:color w:val="auto"/>
                <w:w w:val="95"/>
              </w:rPr>
              <w:t>(30,480)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1,749,495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w w:val="95"/>
              </w:rPr>
              <w:t>(76,551)</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2,742,048</w:t>
            </w:r>
          </w:p>
        </w:tc>
        <w:tc>
          <w:tcPr>
            <w:tcW w:w="54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(38,582)</w:t>
            </w:r>
          </w:p>
        </w:tc>
        <w:tc>
          <w:tcPr>
            <w:tcW w:w="0" w:type="dxa"/>
            <w:vAlign w:val="bottom"/>
          </w:tcPr>
          <w:p>
            <w:pPr>
              <w:spacing w:after="0"/>
              <w:rPr>
                <w:sz w:val="1"/>
                <w:szCs w:val="1"/>
                <w:color w:val="auto"/>
              </w:rPr>
            </w:pPr>
          </w:p>
        </w:tc>
      </w:tr>
      <w:tr>
        <w:trPr>
          <w:trHeight w:val="174"/>
        </w:trPr>
        <w:tc>
          <w:tcPr>
            <w:tcW w:w="5900" w:type="dxa"/>
            <w:vAlign w:val="bottom"/>
            <w:gridSpan w:val="2"/>
          </w:tcPr>
          <w:p>
            <w:pPr>
              <w:spacing w:after="0"/>
              <w:rPr>
                <w:sz w:val="20"/>
                <w:szCs w:val="20"/>
                <w:color w:val="auto"/>
              </w:rPr>
            </w:pPr>
            <w:r>
              <w:rPr>
                <w:rFonts w:ascii="Arial" w:cs="Arial" w:eastAsia="Arial" w:hAnsi="Arial"/>
                <w:sz w:val="14"/>
                <w:szCs w:val="14"/>
                <w:color w:val="auto"/>
              </w:rPr>
              <w:t>December 31, 2006</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207,522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(397)</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266,354</w:t>
            </w:r>
          </w:p>
        </w:tc>
        <w:tc>
          <w:tcPr>
            <w:tcW w:w="54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5,348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ind w:left="120"/>
              <w:spacing w:after="0"/>
              <w:rPr>
                <w:sz w:val="20"/>
                <w:szCs w:val="20"/>
                <w:color w:val="auto"/>
              </w:rPr>
            </w:pPr>
            <w:r>
              <w:rPr>
                <w:rFonts w:ascii="Arial" w:cs="Arial" w:eastAsia="Arial" w:hAnsi="Arial"/>
                <w:sz w:val="14"/>
                <w:szCs w:val="14"/>
                <w:color w:val="auto"/>
              </w:rPr>
              <w:t>Government issued or guaranteed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68,832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1,467,818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1"/>
              </w:rPr>
              <w:t>(40,064)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Privately issued</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564,993</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(3,754)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2,413,828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(38,284)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53,353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29,826</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(423)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879,946</w:t>
            </w:r>
          </w:p>
        </w:tc>
        <w:tc>
          <w:tcPr>
            <w:tcW w:w="4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(4,765</w:t>
            </w:r>
          </w:p>
        </w:tc>
        <w:tc>
          <w:tcPr>
            <w:tcW w:w="220" w:type="dxa"/>
            <w:vAlign w:val="bottom"/>
          </w:tcPr>
          <w:p>
            <w:pPr>
              <w:jc w:val="right"/>
              <w:ind w:right="13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4,202,856</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(84,220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680" w:right="200" w:firstLine="599"/>
        <w:spacing w:after="0" w:line="290" w:lineRule="auto"/>
        <w:rPr>
          <w:sz w:val="20"/>
          <w:szCs w:val="20"/>
          <w:color w:val="auto"/>
        </w:rPr>
      </w:pPr>
      <w:r>
        <w:rPr>
          <w:rFonts w:ascii="Arial" w:cs="Arial" w:eastAsia="Arial" w:hAnsi="Arial"/>
          <w:sz w:val="12"/>
          <w:szCs w:val="12"/>
          <w:color w:val="auto"/>
        </w:rPr>
        <w:t>The Company owned approximately six hundred individual investment securities with aggregate gross unrealized losses of $115,133,000 at December 31, 2007. Those investment securities consisted predominantly of mortgage-backed securities classified as available for sale. The unrealized losses on such securities at December 31, 2007 were generally attributable to the level of interest rates and a lack of liquidity in the market and, accordingly, were considered to be temporary in nature. The Company also had $30 million of unrealized losses on variable-rate preferred stock issuances of FNMA and FHLMC with a cost basis of $143 million at December 31, 2007.</w:t>
      </w:r>
    </w:p>
    <w:p>
      <w:pPr>
        <w:spacing w:after="0" w:line="1" w:lineRule="exact"/>
        <w:rPr>
          <w:sz w:val="20"/>
          <w:szCs w:val="20"/>
          <w:color w:val="auto"/>
        </w:rPr>
      </w:pPr>
    </w:p>
    <w:p>
      <w:pPr>
        <w:ind w:left="680" w:right="100"/>
        <w:spacing w:after="0" w:line="263" w:lineRule="auto"/>
        <w:rPr>
          <w:sz w:val="20"/>
          <w:szCs w:val="20"/>
          <w:color w:val="auto"/>
        </w:rPr>
      </w:pPr>
      <w:r>
        <w:rPr>
          <w:rFonts w:ascii="Arial" w:cs="Arial" w:eastAsia="Arial" w:hAnsi="Arial"/>
          <w:sz w:val="13"/>
          <w:szCs w:val="13"/>
          <w:color w:val="auto"/>
        </w:rPr>
        <w:t>Substantially all of the decline in value of those securities occurred in late 2007, and the Company has concluded that the impairment of such securities at December 31, 2007 was the result of the recent issuance of new higher-yielding preferred stock by those government-sponsored agencies in response to the current housing market decline. As such, the Company believes it is too soon to conclude that such unrealized losses were other than temporary. As of December 31, 2007, the Company has the intent and ability to hold each of its impaired securities to recovery. At December 31, 2007, the Company had not identified events or changes in circumstance which may have a significant adverse effect on the fair value of the $506,388,000 of cost method investment securities.</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At December 31, 2007, investment securities with a carrying value of $7,037,967,000, including $6,624,200,000 of investment securities available for sale, were pledged to secure demand notes issued to the U.S. Treasury, borrowings from various Federal Home Loan Banks (“FHLB”), repurchase agreements, governmental deposits and interest rate swap agreements.</w:t>
      </w:r>
    </w:p>
    <w:p>
      <w:pPr>
        <w:spacing w:after="0" w:line="1" w:lineRule="exact"/>
        <w:rPr>
          <w:sz w:val="20"/>
          <w:szCs w:val="20"/>
          <w:color w:val="auto"/>
        </w:rPr>
      </w:pPr>
    </w:p>
    <w:p>
      <w:pPr>
        <w:ind w:left="680" w:right="120" w:firstLine="599"/>
        <w:spacing w:after="0" w:line="337" w:lineRule="auto"/>
        <w:rPr>
          <w:sz w:val="20"/>
          <w:szCs w:val="20"/>
          <w:color w:val="auto"/>
        </w:rPr>
      </w:pPr>
      <w:r>
        <w:rPr>
          <w:rFonts w:ascii="Arial" w:cs="Arial" w:eastAsia="Arial" w:hAnsi="Arial"/>
          <w:sz w:val="12"/>
          <w:szCs w:val="12"/>
          <w:color w:val="auto"/>
        </w:rPr>
        <w:t>Investment securities pledged by the Company to secure obligations whereby the secured party is permitted by contract or custom to sell or repledge such collateral totaled $1,988,128,000 at December 31, 2007. The pledged securities are included in U.S. Treasury and federal agencies and mortgage-backed securities available for sale.</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1000" w:hanging="315"/>
        <w:spacing w:after="0"/>
        <w:tabs>
          <w:tab w:leader="none" w:pos="10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Loans and leases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gross loans and leases outstanding were comprised of the following:</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4"/>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91"/>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Arial" w:cs="Arial" w:eastAsia="Arial" w:hAnsi="Arial"/>
                <w:sz w:val="14"/>
                <w:szCs w:val="14"/>
                <w:color w:val="auto"/>
              </w:rPr>
              <w:t>Commercial, financial, agricultural, etc.</w:t>
            </w:r>
          </w:p>
        </w:tc>
        <w:tc>
          <w:tcPr>
            <w:tcW w:w="2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11,762,168</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10,472,919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Residential</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5,515,355</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5,248,119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13,953,094</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12,691,964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Construction</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4,190,068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3,453,981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11,301,713</w:t>
            </w:r>
          </w:p>
        </w:tc>
        <w:tc>
          <w:tcPr>
            <w:tcW w:w="4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9,885,883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Total loans</w:t>
            </w: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46,722,398</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41,752,866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Leases</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Arial" w:cs="Arial" w:eastAsia="Arial" w:hAnsi="Arial"/>
                <w:sz w:val="14"/>
                <w:szCs w:val="14"/>
                <w:color w:val="auto"/>
              </w:rPr>
              <w:t>Commercial</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1,624,858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1,423,637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4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Total leases</w:t>
            </w: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1,629,864</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1,454,088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Total loans and leases</w:t>
            </w:r>
          </w:p>
        </w:tc>
        <w:tc>
          <w:tcPr>
            <w:tcW w:w="2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48,352,262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43,206,954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00" w:firstLine="599"/>
        <w:spacing w:after="0" w:line="266" w:lineRule="auto"/>
        <w:rPr>
          <w:sz w:val="20"/>
          <w:szCs w:val="20"/>
          <w:color w:val="auto"/>
        </w:rPr>
      </w:pPr>
      <w:r>
        <w:rPr>
          <w:rFonts w:ascii="Arial" w:cs="Arial" w:eastAsia="Arial" w:hAnsi="Arial"/>
          <w:sz w:val="13"/>
          <w:szCs w:val="13"/>
          <w:color w:val="auto"/>
        </w:rPr>
        <w:t>One-to-four family residential mortgage loans held for sale were $774 million at December 31, 2007 and $1.9 billion at December 31, 2006. In March 2007, the Company transferred approximately $883 million of residential real estate loans (including $808 million of first mortgage loans and $75 million of second mortgage loans) from its held-for-sale loan portfolio to its held-for-investment portfolio. Those loans represented alternative (“Alt-A”) residential real estate loans that the Company had been actively originating for sale in the secondary market. Unfavorable market conditions and lack of market liquidity impacted the Company’s willingness to sell those loans. Accordingly, the Alt-A loans were transferred at the lower of cost or market value resulting in a reduction of the carrying value of the loans and mortgage banking revenues of $12 million. Commercial mortgage loans held for sale were $79 million at December 31, 2007 and $49 million at December 31, 2006. Included in consumer loans were home equity loans held for sale of $619 thousand at December 31, 2007 and $65 million at December 31, 2006.</w:t>
      </w:r>
    </w:p>
    <w:p>
      <w:pPr>
        <w:spacing w:after="0" w:line="1" w:lineRule="exact"/>
        <w:rPr>
          <w:sz w:val="20"/>
          <w:szCs w:val="20"/>
          <w:color w:val="auto"/>
        </w:rPr>
      </w:pPr>
    </w:p>
    <w:p>
      <w:pPr>
        <w:ind w:left="680" w:right="200" w:firstLine="599"/>
        <w:spacing w:after="0" w:line="285" w:lineRule="auto"/>
        <w:rPr>
          <w:sz w:val="20"/>
          <w:szCs w:val="20"/>
          <w:color w:val="auto"/>
        </w:rPr>
      </w:pPr>
      <w:r>
        <w:rPr>
          <w:rFonts w:ascii="Arial" w:cs="Arial" w:eastAsia="Arial" w:hAnsi="Arial"/>
          <w:sz w:val="12"/>
          <w:szCs w:val="12"/>
          <w:color w:val="auto"/>
        </w:rPr>
        <w:t>As of December 31, 2007, approximately $8 million of one-to-four family residential mortgage loans serviced for others had been sold with credit recourse. As of December 31, 2007, approximately $1.0 billion of commercial mortgage loan balances serviced for others had been sold with recourse in conjunction with the Company’s participation in the FNMA Delegated Underwriting and Servicing (“DUS”) program. At December 31, 2007, the Company estimated that the recourse obligations described above were not material to the Company’s consolidated financial position. There have been no material losses incurred as a result of those credit recourse arrangements.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Nonperforming loans (loans on which interest was not being accrued or had been renegotiated at below-market interest rates) totaled $447,166,000 at December 31,</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and $224,228,000 at December 31, 2006. If nonaccrual and renegotiated loans had been accruing interest at their originally contracted terms, interest income on such</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loans would have amounted to $36,207,000 in 2007 and $17,173,000 in 2006. The actual amounts included in interest income during 2007 and 2006 on such loans were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$12,492,000 and $6,770,000, respectively. Beginning in December 2007, residential real estate loans previously classified as nonaccrual when payments were 180 days past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due now stop accruing interest when principal or interest is delinquent 90 days. The impact of the acceleration of the classification of residential real estate loans as nonaccrual</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resulted in an increase in nonaccrual loans of $84 million and a corresponding decrease in loans past due 90 days and accruing interest. As a result of that acceleration,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previously accrued interest of $2 million was reversed and charged against interest income.</w:t>
      </w:r>
    </w:p>
    <w:p>
      <w:pPr>
        <w:spacing w:after="0" w:line="15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recorded investment in loans considered impaired for purposes of applying SFAS No. 114 was $225,287,000 and $152,676,000 at December 31, 2007 and 2006,</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The recorded investment in loans considered impaired for which there was a related valuation allowance for impairment included in the allowance for credit losses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and the amount of such impairment allowance were $183,488,000 and $55,050,000, respectively, at December 31, 2007 and $139,021,000 and $23,388,000, respectively, at</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December 31, 2006. The recorded investment in loans considered impaired for which there was no related valuation allowance for impairment was $41,799,000 and</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$13,655,000 at December 31, 2007 and 2006, respectively. The average recorded investment in impaired loans during 2007, 2006 and 2005 was $195,597,000, $97,263,000</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$106,603,000, respectively. Interest income recognized on impaired loans totaled $7,368,000, $4,866,000 and $4,522,000 for the years ended December 31, 2007, 2006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2005, respectively.</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Borrowings by directors and certain officers of M&amp;T and its banking subsidiaries, and by associates of such persons, exclusive of loans aggregating less than</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$120,000, amounted to $221,202,000 and $158,032,000 at December 31, 2007 and 2006, respectively. During 2007, new borrowings by such persons amounted to $74,533,000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(including borrowings of new directors or officers that were outstanding at the time of their election) and repayments and other reductions (including reductions resulting from</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retirements) were $11,363,000.</w:t>
      </w:r>
    </w:p>
    <w:p>
      <w:pPr>
        <w:spacing w:after="0" w:line="3" w:lineRule="exact"/>
        <w:rPr>
          <w:sz w:val="20"/>
          <w:szCs w:val="20"/>
          <w:color w:val="auto"/>
        </w:rPr>
      </w:pPr>
    </w:p>
    <w:p>
      <w:pPr>
        <w:ind w:left="680" w:right="940" w:firstLine="599"/>
        <w:spacing w:after="0" w:line="244" w:lineRule="auto"/>
        <w:rPr>
          <w:sz w:val="20"/>
          <w:szCs w:val="20"/>
          <w:color w:val="auto"/>
        </w:rPr>
      </w:pPr>
      <w:r>
        <w:rPr>
          <w:rFonts w:ascii="Arial" w:cs="Arial" w:eastAsia="Arial" w:hAnsi="Arial"/>
          <w:sz w:val="14"/>
          <w:szCs w:val="14"/>
          <w:color w:val="auto"/>
        </w:rPr>
        <w:t>At December 31, 2007, approximately $3.2 billion of commercial mortgage loans and $3.2 billion of one-to-four family residential mortgage loans were pledged to secure outstanding borrowings. As described in note 18, as of December 31, 2007, $557 million of automobile loans and related assets were effectively pledged to secure a $500 million revolving structured borrowing.</w:t>
      </w:r>
    </w:p>
    <w:p>
      <w:pPr>
        <w:spacing w:after="0" w:line="1" w:lineRule="exact"/>
        <w:rPr>
          <w:sz w:val="20"/>
          <w:szCs w:val="20"/>
          <w:color w:val="auto"/>
        </w:rPr>
      </w:pPr>
    </w:p>
    <w:p>
      <w:pPr>
        <w:ind w:left="680" w:right="1040" w:firstLine="599"/>
        <w:spacing w:after="0" w:line="249" w:lineRule="auto"/>
        <w:rPr>
          <w:sz w:val="20"/>
          <w:szCs w:val="20"/>
          <w:color w:val="auto"/>
        </w:rPr>
      </w:pPr>
      <w:r>
        <w:rPr>
          <w:rFonts w:ascii="Arial" w:cs="Arial" w:eastAsia="Arial" w:hAnsi="Arial"/>
          <w:sz w:val="14"/>
          <w:szCs w:val="14"/>
          <w:color w:val="auto"/>
        </w:rPr>
        <w:t>The Company’s loan and lease portfolio includes (i) commercial lease financing receivables consisting of direct financing and leveraged leases for machinery and equipment, railroad equipment, commercial trucks and trailers, and commercial aircraft, and (ii) consumer leases for automobiles and light trucks. A summary of lease financing receivables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2"/>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Commercial leases:</w:t>
            </w: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Direct financings:</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payments receivable</w:t>
            </w:r>
          </w:p>
        </w:tc>
        <w:tc>
          <w:tcPr>
            <w:tcW w:w="26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1,120,499</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992,016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Estimated residual value of leased assets</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104,293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99,564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Unearned income</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(188,596)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(162,897)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440" w:type="dxa"/>
            <w:vAlign w:val="bottom"/>
          </w:tcPr>
          <w:p>
            <w:pPr>
              <w:ind w:left="380"/>
              <w:spacing w:after="0"/>
              <w:rPr>
                <w:sz w:val="20"/>
                <w:szCs w:val="20"/>
                <w:color w:val="auto"/>
              </w:rPr>
            </w:pPr>
            <w:r>
              <w:rPr>
                <w:rFonts w:ascii="Arial" w:cs="Arial" w:eastAsia="Arial" w:hAnsi="Arial"/>
                <w:sz w:val="14"/>
                <w:szCs w:val="14"/>
                <w:color w:val="auto"/>
              </w:rPr>
              <w:t>Investment in direct financings</w:t>
            </w:r>
          </w:p>
        </w:tc>
        <w:tc>
          <w:tcPr>
            <w:tcW w:w="2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1,036,196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928,683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Leveraged leases:</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Lease payments receivable</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206,124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157,377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Estimated residual value of leased assets</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174,680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Unearned income</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(82,538)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(59,738)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leveraged leases</w:t>
            </w:r>
          </w:p>
        </w:tc>
        <w:tc>
          <w:tcPr>
            <w:tcW w:w="244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317,528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272,319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440" w:type="dxa"/>
            <w:vAlign w:val="bottom"/>
          </w:tcPr>
          <w:p>
            <w:pPr>
              <w:ind w:left="380"/>
              <w:spacing w:after="0"/>
              <w:rPr>
                <w:sz w:val="20"/>
                <w:szCs w:val="20"/>
                <w:color w:val="auto"/>
              </w:rPr>
            </w:pPr>
            <w:r>
              <w:rPr>
                <w:rFonts w:ascii="Arial" w:cs="Arial" w:eastAsia="Arial" w:hAnsi="Arial"/>
                <w:sz w:val="14"/>
                <w:szCs w:val="14"/>
                <w:color w:val="auto"/>
              </w:rPr>
              <w:t>Investment in commercial leases</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1,353,724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1,201,002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Consumer automobile leases:</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Lease payments receivable</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6,527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residual value of leased assets</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23,924</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Unearned income</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(1,038)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Investment in consumer automobile leases</w:t>
            </w:r>
          </w:p>
        </w:tc>
        <w:tc>
          <w:tcPr>
            <w:tcW w:w="244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gridSpan w:val="2"/>
          </w:tcPr>
          <w:p>
            <w:pPr>
              <w:ind w:left="680"/>
              <w:spacing w:after="0"/>
              <w:rPr>
                <w:sz w:val="20"/>
                <w:szCs w:val="20"/>
                <w:color w:val="auto"/>
              </w:rPr>
            </w:pPr>
            <w:r>
              <w:rPr>
                <w:rFonts w:ascii="Arial" w:cs="Arial" w:eastAsia="Arial" w:hAnsi="Arial"/>
                <w:sz w:val="14"/>
                <w:szCs w:val="14"/>
                <w:color w:val="auto"/>
              </w:rPr>
              <w:t>Total investment in leases</w:t>
            </w:r>
          </w:p>
        </w:tc>
        <w:tc>
          <w:tcPr>
            <w:tcW w:w="244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1,358,674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1,230,415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Deferred taxes payable arising from leveraged leases</w:t>
            </w:r>
          </w:p>
        </w:tc>
        <w:tc>
          <w:tcPr>
            <w:tcW w:w="26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220,165</w:t>
            </w:r>
          </w:p>
        </w:tc>
        <w:tc>
          <w:tcPr>
            <w:tcW w:w="2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205,619</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6140" w:type="dxa"/>
            <w:vAlign w:val="bottom"/>
            <w:gridSpan w:val="2"/>
          </w:tcPr>
          <w:p>
            <w:pPr>
              <w:ind w:left="680"/>
              <w:spacing w:after="0"/>
              <w:rPr>
                <w:sz w:val="20"/>
                <w:szCs w:val="20"/>
                <w:color w:val="auto"/>
              </w:rPr>
            </w:pPr>
            <w:r>
              <w:rPr>
                <w:rFonts w:ascii="Arial" w:cs="Arial" w:eastAsia="Arial" w:hAnsi="Arial"/>
                <w:sz w:val="12"/>
                <w:szCs w:val="12"/>
                <w:color w:val="auto"/>
              </w:rPr>
              <w:t>102</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44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40" w:firstLine="599"/>
        <w:spacing w:after="0" w:line="247" w:lineRule="auto"/>
        <w:rPr>
          <w:sz w:val="20"/>
          <w:szCs w:val="20"/>
          <w:color w:val="auto"/>
        </w:rPr>
      </w:pPr>
      <w:r>
        <w:rPr>
          <w:rFonts w:ascii="Arial" w:cs="Arial" w:eastAsia="Arial" w:hAnsi="Arial"/>
          <w:sz w:val="14"/>
          <w:szCs w:val="14"/>
          <w:color w:val="auto"/>
        </w:rPr>
        <w:t>Included within the estimated residual value of leased assets at December 31, 2007 and 2006 were $55 million and $51 million, respectively, in residual value associated with direct financing leases that are guaranteed by the lessees. The Company is indemnified from loss by Allied Irish Banks, p.l.c. (“AIB”) on a portion of leveraged leases obtained in the acquisition of a former subsidiary of AIB on April 1, 2003 (see note 23). Amounts in the leveraged lease section of the table subject to such indemnification included lease payments receivable of $8 million and $9 million as of December 31, 2007 and 2006, respectively, and estimated residual value of leased assets of $31 million and unearned income of $8 million at each of those dates. For consumer automobile leases, substantially all residual values were insured by third parties for declines in published industry-standard residual values.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2007, the minimum future lease payments to be received from lease financings were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w w:val="97"/>
              </w:rPr>
              <w:t>Commercial</w:t>
            </w:r>
          </w:p>
        </w:tc>
        <w:tc>
          <w:tcPr>
            <w:tcW w:w="1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Consumer</w:t>
            </w:r>
          </w:p>
        </w:tc>
        <w:tc>
          <w:tcPr>
            <w:tcW w:w="3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2008</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289,489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289,888</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2009</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220,367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220,367</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2010</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169,275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169,275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124,803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124,803</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2012</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115,011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115,011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407,678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407,678</w:t>
            </w:r>
          </w:p>
        </w:tc>
        <w:tc>
          <w:tcPr>
            <w:tcW w:w="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1,326,623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1,327,022</w:t>
            </w:r>
          </w:p>
        </w:tc>
        <w:tc>
          <w:tcPr>
            <w:tcW w:w="80" w:type="dxa"/>
            <w:vAlign w:val="bottom"/>
          </w:tcPr>
          <w:p>
            <w:pPr>
              <w:spacing w:after="0"/>
              <w:rPr>
                <w:sz w:val="14"/>
                <w:szCs w:val="14"/>
                <w:color w:val="auto"/>
              </w:rPr>
            </w:pPr>
          </w:p>
        </w:tc>
      </w:tr>
      <w:tr>
        <w:trPr>
          <w:trHeight w:val="325"/>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5.   Allowance for credit losses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5120" w:type="dxa"/>
            <w:vAlign w:val="bottom"/>
            <w:gridSpan w:val="2"/>
          </w:tcPr>
          <w:p>
            <w:pPr>
              <w:spacing w:after="0"/>
              <w:rPr>
                <w:sz w:val="20"/>
                <w:szCs w:val="20"/>
                <w:color w:val="auto"/>
              </w:rPr>
            </w:pPr>
            <w:r>
              <w:rPr>
                <w:rFonts w:ascii="Arial" w:cs="Arial" w:eastAsia="Arial" w:hAnsi="Arial"/>
                <w:sz w:val="14"/>
                <w:szCs w:val="14"/>
                <w:color w:val="auto"/>
              </w:rPr>
              <w:t>Changes in the allowance for credit losses were as follows:</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96"/>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91"/>
              <w:spacing w:after="0" w:line="96"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jc w:val="center"/>
              <w:ind w:left="11"/>
              <w:spacing w:after="0" w:line="96"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92"/>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4"/>
          </w:tcPr>
          <w:p>
            <w:pPr>
              <w:jc w:val="center"/>
              <w:ind w:left="9"/>
              <w:spacing w:after="0"/>
              <w:rPr>
                <w:sz w:val="20"/>
                <w:szCs w:val="20"/>
                <w:color w:val="auto"/>
              </w:rPr>
            </w:pPr>
            <w:r>
              <w:rPr>
                <w:rFonts w:ascii="Arial" w:cs="Arial" w:eastAsia="Arial" w:hAnsi="Arial"/>
                <w:sz w:val="10"/>
                <w:szCs w:val="10"/>
                <w:b w:val="1"/>
                <w:bCs w:val="1"/>
                <w:color w:val="auto"/>
                <w:w w:val="89"/>
              </w:rPr>
              <w:t>(In thousands)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649,948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$ 637,663</w:t>
            </w:r>
          </w:p>
        </w:tc>
        <w:tc>
          <w:tcPr>
            <w:tcW w:w="2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626,864</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192,000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80,000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88,000</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Allowance obtained through acquisitions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Allowance related to loans sold or securitized</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(1,422)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(314)</w:t>
            </w: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Net charge-offs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Charge-offs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(146,298)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color w:val="auto"/>
              </w:rPr>
              <w:t>(95,606)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(107,617)</w:t>
            </w:r>
          </w:p>
        </w:tc>
      </w:tr>
      <w:tr>
        <w:trPr>
          <w:trHeight w:val="164"/>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Recoveries</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27,891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30,730</w:t>
            </w:r>
          </w:p>
        </w:tc>
        <w:tc>
          <w:tcPr>
            <w:tcW w:w="80" w:type="dxa"/>
            <w:vAlign w:val="bottom"/>
            <w:shd w:val="clear" w:color="auto" w:fill="CCEEFF"/>
          </w:tcPr>
          <w:p>
            <w:pPr>
              <w:spacing w:after="0"/>
              <w:rPr>
                <w:sz w:val="14"/>
                <w:szCs w:val="14"/>
                <w:color w:val="auto"/>
              </w:rPr>
            </w:pPr>
          </w:p>
        </w:tc>
      </w:tr>
      <w:tr>
        <w:trPr>
          <w:trHeight w:val="163"/>
        </w:trPr>
        <w:tc>
          <w:tcPr>
            <w:tcW w:w="5120" w:type="dxa"/>
            <w:vAlign w:val="bottom"/>
            <w:gridSpan w:val="2"/>
          </w:tcPr>
          <w:p>
            <w:pPr>
              <w:spacing w:after="0"/>
              <w:rPr>
                <w:sz w:val="20"/>
                <w:szCs w:val="20"/>
                <w:color w:val="auto"/>
              </w:rPr>
            </w:pPr>
            <w:r>
              <w:rPr>
                <w:rFonts w:ascii="Arial" w:cs="Arial" w:eastAsia="Arial" w:hAnsi="Arial"/>
                <w:sz w:val="14"/>
                <w:szCs w:val="14"/>
                <w:color w:val="auto"/>
              </w:rPr>
              <w:t>Net charge-offs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(113,755)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(67,715)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759,439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$ 649,948</w:t>
            </w:r>
          </w:p>
        </w:tc>
        <w:tc>
          <w:tcPr>
            <w:tcW w:w="2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637,663</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4" w:lineRule="exact"/>
        <w:rPr>
          <w:sz w:val="20"/>
          <w:szCs w:val="20"/>
          <w:color w:val="auto"/>
        </w:rPr>
      </w:pPr>
    </w:p>
    <w:p>
      <w:pPr>
        <w:ind w:left="680" w:firstLine="599"/>
        <w:spacing w:after="0" w:line="254" w:lineRule="auto"/>
        <w:rPr>
          <w:sz w:val="20"/>
          <w:szCs w:val="20"/>
          <w:color w:val="auto"/>
        </w:rPr>
      </w:pPr>
      <w:r>
        <w:rPr>
          <w:rFonts w:ascii="Arial" w:cs="Arial" w:eastAsia="Arial" w:hAnsi="Arial"/>
          <w:sz w:val="14"/>
          <w:szCs w:val="14"/>
          <w:color w:val="auto"/>
        </w:rPr>
        <w:t>Beginning in December 2007, the excess of residential real estate loan balances over the net realizable value of the property collateralizing the loan is charged off when the loans become 150 days delinquent, whereas previously the Company provided an allowance for credit losses for such amounts and charged-off loans upon foreclosure of the underlying property. Charge-offs in 2007 included $15 million related to this change in procedure. The effect of the change in the timing of recognizing those charge-offs did not have a material effect on the Company’s net income or on its financial position.</w:t>
      </w:r>
    </w:p>
    <w:p>
      <w:pPr>
        <w:spacing w:after="0" w:line="135"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1000" w:hanging="315"/>
        <w:spacing w:after="0"/>
        <w:tabs>
          <w:tab w:leader="none" w:pos="100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detail of premises and equipment was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3"/>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1"/>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100" w:type="dxa"/>
            <w:vAlign w:val="bottom"/>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tcPr>
          <w:p>
            <w:pPr>
              <w:spacing w:after="0"/>
              <w:rPr>
                <w:sz w:val="20"/>
                <w:szCs w:val="20"/>
                <w:color w:val="auto"/>
              </w:rPr>
            </w:pPr>
            <w:r>
              <w:rPr>
                <w:rFonts w:ascii="Arial" w:cs="Arial" w:eastAsia="Arial" w:hAnsi="Arial"/>
                <w:sz w:val="14"/>
                <w:szCs w:val="14"/>
                <w:color w:val="auto"/>
              </w:rPr>
              <w:t>Buildings — owned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247,834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6"/>
              </w:rPr>
              <w:t>230,562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Buildings — capital leases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tcPr>
          <w:p>
            <w:pPr>
              <w:spacing w:after="0"/>
              <w:rPr>
                <w:sz w:val="20"/>
                <w:szCs w:val="20"/>
                <w:color w:val="auto"/>
              </w:rPr>
            </w:pPr>
            <w:r>
              <w:rPr>
                <w:rFonts w:ascii="Arial" w:cs="Arial" w:eastAsia="Arial" w:hAnsi="Arial"/>
                <w:sz w:val="14"/>
                <w:szCs w:val="14"/>
                <w:color w:val="auto"/>
              </w:rPr>
              <w:t>Leasehold improvements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124,175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6"/>
              </w:rPr>
              <w:t>101,453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Furniture and equipment — owned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299,915</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292,141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tcPr>
          <w:p>
            <w:pPr>
              <w:spacing w:after="0"/>
              <w:rPr>
                <w:sz w:val="20"/>
                <w:szCs w:val="20"/>
                <w:color w:val="auto"/>
              </w:rPr>
            </w:pPr>
            <w:r>
              <w:rPr>
                <w:rFonts w:ascii="Arial" w:cs="Arial" w:eastAsia="Arial" w:hAnsi="Arial"/>
                <w:sz w:val="14"/>
                <w:szCs w:val="14"/>
                <w:color w:val="auto"/>
              </w:rPr>
              <w:t>Furniture and equipment — capital leases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731,153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677,101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Owned assets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357,478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339,643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80" w:type="dxa"/>
            <w:vAlign w:val="bottom"/>
          </w:tcPr>
          <w:p>
            <w:pPr>
              <w:ind w:left="120"/>
              <w:spacing w:after="0"/>
              <w:rPr>
                <w:sz w:val="20"/>
                <w:szCs w:val="20"/>
                <w:color w:val="auto"/>
              </w:rPr>
            </w:pPr>
            <w:r>
              <w:rPr>
                <w:rFonts w:ascii="Arial" w:cs="Arial" w:eastAsia="Arial" w:hAnsi="Arial"/>
                <w:sz w:val="14"/>
                <w:szCs w:val="14"/>
                <w:color w:val="auto"/>
              </w:rPr>
              <w:t>Capital leases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2,910</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360,388</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342,093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gridSpan w:val="2"/>
          </w:tcPr>
          <w:p>
            <w:pPr>
              <w:spacing w:after="0"/>
              <w:rPr>
                <w:sz w:val="20"/>
                <w:szCs w:val="20"/>
                <w:color w:val="auto"/>
              </w:rPr>
            </w:pPr>
            <w:r>
              <w:rPr>
                <w:rFonts w:ascii="Arial" w:cs="Arial" w:eastAsia="Arial" w:hAnsi="Arial"/>
                <w:sz w:val="14"/>
                <w:szCs w:val="14"/>
                <w:color w:val="auto"/>
              </w:rPr>
              <w:t>Premises and equipment, net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370,765</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335,008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680" w:firstLine="599"/>
        <w:spacing w:after="0" w:line="272" w:lineRule="auto"/>
        <w:rPr>
          <w:sz w:val="20"/>
          <w:szCs w:val="20"/>
          <w:color w:val="auto"/>
        </w:rPr>
      </w:pPr>
      <w:r>
        <w:rPr>
          <w:rFonts w:ascii="Arial" w:cs="Arial" w:eastAsia="Arial" w:hAnsi="Arial"/>
          <w:sz w:val="14"/>
          <w:szCs w:val="14"/>
          <w:color w:val="auto"/>
        </w:rPr>
        <w:t>Net lease expense for all operating leases totaled $65,014,000 in 2007, $60,680,000 in 2006 and $57,641,000 in 2005. Minimum lease payments under noncancelable operating leases are presented in note 20. Minimum lease payments required under capital leases are not material.</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1000" w:hanging="315"/>
        <w:spacing w:after="0"/>
        <w:tabs>
          <w:tab w:leader="none" w:pos="10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Capitalized servicing assets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capitalized servicing assets were as follows:</w:t>
      </w:r>
    </w:p>
    <w:p>
      <w:pPr>
        <w:spacing w:after="0" w:line="326" w:lineRule="exact"/>
        <w:rPr>
          <w:sz w:val="20"/>
          <w:szCs w:val="20"/>
          <w:color w:val="auto"/>
        </w:rPr>
      </w:pPr>
    </w:p>
    <w:p>
      <w:pPr>
        <w:ind w:left="680"/>
        <w:spacing w:after="0"/>
        <w:rPr>
          <w:sz w:val="20"/>
          <w:szCs w:val="20"/>
          <w:color w:val="auto"/>
        </w:rPr>
      </w:pPr>
      <w:r>
        <w:rPr>
          <w:rFonts w:ascii="Arial" w:cs="Arial" w:eastAsia="Arial" w:hAnsi="Arial"/>
          <w:sz w:val="10"/>
          <w:szCs w:val="10"/>
          <w:b w:val="1"/>
          <w:bCs w:val="1"/>
          <w:color w:val="auto"/>
        </w:rPr>
        <w:t>For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w w:val="98"/>
              </w:rPr>
              <w:t>Residential Mortgage Loans</w:t>
            </w: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3"/>
              </w:rPr>
              <w:t>Small-Balance</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Commercial Mortgage Loans</w:t>
            </w: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20" w:type="dxa"/>
            <w:vAlign w:val="bottom"/>
          </w:tcPr>
          <w:p>
            <w:pPr>
              <w:jc w:val="right"/>
              <w:ind w:right="149"/>
              <w:spacing w:after="0" w:line="96" w:lineRule="exact"/>
              <w:rPr>
                <w:sz w:val="20"/>
                <w:szCs w:val="20"/>
                <w:color w:val="auto"/>
              </w:rPr>
            </w:pPr>
            <w:r>
              <w:rPr>
                <w:rFonts w:ascii="Arial" w:cs="Arial" w:eastAsia="Arial" w:hAnsi="Arial"/>
                <w:sz w:val="10"/>
                <w:szCs w:val="10"/>
                <w:b w:val="1"/>
                <w:bCs w:val="1"/>
                <w:color w:val="auto"/>
              </w:rPr>
              <w:t>2007</w:t>
            </w:r>
          </w:p>
        </w:tc>
        <w:tc>
          <w:tcPr>
            <w:tcW w:w="1020" w:type="dxa"/>
            <w:vAlign w:val="bottom"/>
            <w:gridSpan w:val="2"/>
          </w:tcPr>
          <w:p>
            <w:pPr>
              <w:jc w:val="right"/>
              <w:ind w:right="200"/>
              <w:spacing w:after="0" w:line="96"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600" w:type="dxa"/>
            <w:vAlign w:val="bottom"/>
          </w:tcPr>
          <w:p>
            <w:pPr>
              <w:jc w:val="right"/>
              <w:ind w:right="149"/>
              <w:spacing w:after="0" w:line="96" w:lineRule="exact"/>
              <w:rPr>
                <w:sz w:val="20"/>
                <w:szCs w:val="20"/>
                <w:color w:val="auto"/>
              </w:rPr>
            </w:pPr>
            <w:r>
              <w:rPr>
                <w:rFonts w:ascii="Arial" w:cs="Arial" w:eastAsia="Arial" w:hAnsi="Arial"/>
                <w:sz w:val="10"/>
                <w:szCs w:val="10"/>
                <w:b w:val="1"/>
                <w:bCs w:val="1"/>
                <w:color w:val="auto"/>
              </w:rPr>
              <w:t>2005</w:t>
            </w:r>
          </w:p>
        </w:tc>
        <w:tc>
          <w:tcPr>
            <w:tcW w:w="380" w:type="dxa"/>
            <w:vAlign w:val="bottom"/>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480" w:type="dxa"/>
            <w:vAlign w:val="bottom"/>
          </w:tcPr>
          <w:p>
            <w:pPr>
              <w:jc w:val="right"/>
              <w:ind w:right="29"/>
              <w:spacing w:after="0" w:line="96" w:lineRule="exact"/>
              <w:rPr>
                <w:sz w:val="20"/>
                <w:szCs w:val="20"/>
                <w:color w:val="auto"/>
              </w:rPr>
            </w:pPr>
            <w:r>
              <w:rPr>
                <w:rFonts w:ascii="Arial" w:cs="Arial" w:eastAsia="Arial" w:hAnsi="Arial"/>
                <w:sz w:val="10"/>
                <w:szCs w:val="10"/>
                <w:b w:val="1"/>
                <w:bCs w:val="1"/>
                <w:color w:val="auto"/>
              </w:rPr>
              <w:t>2007</w:t>
            </w:r>
          </w:p>
        </w:tc>
        <w:tc>
          <w:tcPr>
            <w:tcW w:w="1000" w:type="dxa"/>
            <w:vAlign w:val="bottom"/>
            <w:gridSpan w:val="3"/>
          </w:tcPr>
          <w:p>
            <w:pPr>
              <w:jc w:val="right"/>
              <w:ind w:right="140"/>
              <w:spacing w:after="0" w:line="96"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500" w:type="dxa"/>
            <w:vAlign w:val="bottom"/>
          </w:tcPr>
          <w:p>
            <w:pPr>
              <w:jc w:val="right"/>
              <w:ind w:right="109"/>
              <w:spacing w:after="0" w:line="96" w:lineRule="exact"/>
              <w:rPr>
                <w:sz w:val="20"/>
                <w:szCs w:val="20"/>
                <w:color w:val="auto"/>
              </w:rPr>
            </w:pPr>
            <w:r>
              <w:rPr>
                <w:rFonts w:ascii="Arial" w:cs="Arial" w:eastAsia="Arial" w:hAnsi="Arial"/>
                <w:sz w:val="10"/>
                <w:szCs w:val="10"/>
                <w:b w:val="1"/>
                <w:bCs w:val="1"/>
                <w:color w:val="auto"/>
              </w:rPr>
              <w:t>2005</w:t>
            </w:r>
          </w:p>
        </w:tc>
        <w:tc>
          <w:tcPr>
            <w:tcW w:w="0" w:type="dxa"/>
            <w:vAlign w:val="bottom"/>
          </w:tcPr>
          <w:p>
            <w:pPr>
              <w:spacing w:after="0"/>
              <w:rPr>
                <w:sz w:val="1"/>
                <w:szCs w:val="1"/>
                <w:color w:val="auto"/>
              </w:rPr>
            </w:pPr>
          </w:p>
        </w:tc>
      </w:tr>
      <w:tr>
        <w:trPr>
          <w:trHeight w:val="123"/>
        </w:trPr>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2">
            <w:col w:w="4460" w:space="720"/>
            <w:col w:w="5480"/>
          </w:cols>
          <w:pgMar w:left="220" w:top="339" w:right="1019" w:bottom="1440" w:gutter="0" w:footer="0" w:header="0"/>
        </w:sectPr>
      </w:pPr>
    </w:p>
    <w:tbl>
      <w:tblPr>
        <w:tblLayout w:type="fixed"/>
        <w:tblInd w:w="6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127,025</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136,584</w:t>
            </w:r>
          </w:p>
        </w:tc>
        <w:tc>
          <w:tcPr>
            <w:tcW w:w="2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$ 150,518</w:t>
            </w:r>
          </w:p>
        </w:tc>
        <w:tc>
          <w:tcPr>
            <w:tcW w:w="1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35,767</w:t>
            </w:r>
          </w:p>
        </w:tc>
        <w:tc>
          <w:tcPr>
            <w:tcW w:w="1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$ 23,224</w:t>
            </w:r>
          </w:p>
        </w:tc>
        <w:tc>
          <w:tcPr>
            <w:tcW w:w="1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$ 13,285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Originations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12,145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7,497</w:t>
            </w:r>
          </w:p>
        </w:tc>
        <w:tc>
          <w:tcPr>
            <w:tcW w:w="28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12,061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28,739</w:t>
            </w:r>
          </w:p>
        </w:tc>
        <w:tc>
          <w:tcPr>
            <w:tcW w:w="2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19,086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35,795</w:t>
            </w:r>
          </w:p>
        </w:tc>
        <w:tc>
          <w:tcPr>
            <w:tcW w:w="1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1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Assumed in loan securitizations (note 18)</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7,873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(43,280)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(45,795)</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(46,492)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(14,606)</w:t>
            </w:r>
          </w:p>
        </w:tc>
        <w:tc>
          <w:tcPr>
            <w:tcW w:w="94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(9,559)</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(6,110)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8"/>
              </w:rPr>
              <w:t>118,763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8"/>
              </w:rPr>
              <w:t>127,025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136,584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56,956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35,767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(6,000)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(10,050)</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(19,800)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440" w:type="dxa"/>
            <w:vAlign w:val="bottom"/>
            <w:gridSpan w:val="2"/>
          </w:tcPr>
          <w:p>
            <w:pPr>
              <w:spacing w:after="0"/>
              <w:rPr>
                <w:sz w:val="20"/>
                <w:szCs w:val="20"/>
                <w:color w:val="auto"/>
              </w:rPr>
            </w:pPr>
            <w:r>
              <w:rPr>
                <w:rFonts w:ascii="Arial" w:cs="Arial" w:eastAsia="Arial" w:hAnsi="Arial"/>
                <w:sz w:val="14"/>
                <w:szCs w:val="14"/>
                <w:color w:val="auto"/>
              </w:rPr>
              <w:t>Ending balance, net</w:t>
            </w:r>
          </w:p>
        </w:tc>
        <w:tc>
          <w:tcPr>
            <w:tcW w:w="10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112,763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116,975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$ 116,784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56,956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4"/>
              </w:rPr>
              <w:t>$ 35,767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$ 23,224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34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For Year Ended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93"/>
              </w:rPr>
              <w:t>Commercial Mortgage Loans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44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jc w:val="right"/>
              <w:ind w:right="92"/>
              <w:spacing w:after="0" w:line="96"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0"/>
              <w:spacing w:after="0" w:line="96"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jc w:val="right"/>
              <w:ind w:right="69"/>
              <w:spacing w:after="0" w:line="96"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gridSpan w:val="3"/>
          </w:tcPr>
          <w:p>
            <w:pPr>
              <w:ind w:left="180"/>
              <w:spacing w:after="0" w:line="96"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gridSpan w:val="2"/>
          </w:tcPr>
          <w:p>
            <w:pPr>
              <w:jc w:val="right"/>
              <w:ind w:right="109"/>
              <w:spacing w:after="0" w:line="96"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gridSpan w:val="2"/>
          </w:tcPr>
          <w:p>
            <w:pPr>
              <w:jc w:val="right"/>
              <w:ind w:right="129"/>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5"/>
          </w:tcPr>
          <w:p>
            <w:pP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$ 20,721</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21,425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$ 22,422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$ 183,513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$ 181,233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$ 186,225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Originations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4,564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4,867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16,709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12,446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16,928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50,795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50,841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35,135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Assumed in loan securitizations (note 18)</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7,873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1,411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(5,045)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(5,653)</w:t>
            </w:r>
          </w:p>
        </w:tc>
        <w:tc>
          <w:tcPr>
            <w:tcW w:w="2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109"/>
              <w:spacing w:after="0"/>
              <w:rPr>
                <w:sz w:val="20"/>
                <w:szCs w:val="20"/>
                <w:color w:val="auto"/>
              </w:rPr>
            </w:pPr>
            <w:r>
              <w:rPr>
                <w:rFonts w:ascii="Arial" w:cs="Arial" w:eastAsia="Arial" w:hAnsi="Arial"/>
                <w:sz w:val="14"/>
                <w:szCs w:val="14"/>
                <w:color w:val="auto"/>
              </w:rPr>
              <w:t>(5,864)</w:t>
            </w:r>
          </w:p>
        </w:tc>
        <w:tc>
          <w:tcPr>
            <w:tcW w:w="120" w:type="dxa"/>
            <w:vAlign w:val="bottom"/>
            <w:shd w:val="clear" w:color="auto" w:fill="CCEEFF"/>
          </w:tcPr>
          <w:p>
            <w:pPr>
              <w:spacing w:after="0"/>
              <w:rPr>
                <w:sz w:val="14"/>
                <w:szCs w:val="14"/>
                <w:color w:val="auto"/>
              </w:rPr>
            </w:pPr>
          </w:p>
        </w:tc>
        <w:tc>
          <w:tcPr>
            <w:tcW w:w="860" w:type="dxa"/>
            <w:vAlign w:val="bottom"/>
            <w:gridSpan w:val="5"/>
            <w:shd w:val="clear" w:color="auto" w:fill="CCEEFF"/>
          </w:tcPr>
          <w:p>
            <w:pPr>
              <w:jc w:val="right"/>
              <w:ind w:right="89"/>
              <w:spacing w:after="0"/>
              <w:rPr>
                <w:sz w:val="20"/>
                <w:szCs w:val="20"/>
                <w:color w:val="auto"/>
              </w:rPr>
            </w:pPr>
            <w:r>
              <w:rPr>
                <w:rFonts w:ascii="Arial" w:cs="Arial" w:eastAsia="Arial" w:hAnsi="Arial"/>
                <w:sz w:val="14"/>
                <w:szCs w:val="14"/>
                <w:color w:val="auto"/>
              </w:rPr>
              <w:t>(62,931)</w:t>
            </w:r>
          </w:p>
        </w:tc>
        <w:tc>
          <w:tcPr>
            <w:tcW w:w="1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(61,007)</w:t>
            </w: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(58,466)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20,721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21,425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195,959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183,513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181,233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89"/>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(10,050)</w:t>
            </w:r>
          </w:p>
        </w:tc>
        <w:tc>
          <w:tcPr>
            <w:tcW w:w="1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(19,800)</w:t>
            </w:r>
          </w:p>
        </w:tc>
        <w:tc>
          <w:tcPr>
            <w:tcW w:w="0" w:type="dxa"/>
            <w:vAlign w:val="bottom"/>
          </w:tcPr>
          <w:p>
            <w:pPr>
              <w:spacing w:after="0"/>
              <w:rPr>
                <w:sz w:val="1"/>
                <w:szCs w:val="1"/>
                <w:color w:val="auto"/>
              </w:rPr>
            </w:pPr>
          </w:p>
        </w:tc>
      </w:tr>
      <w:tr>
        <w:trPr>
          <w:trHeight w:val="172"/>
        </w:trPr>
        <w:tc>
          <w:tcPr>
            <w:tcW w:w="3440" w:type="dxa"/>
            <w:vAlign w:val="bottom"/>
            <w:gridSpan w:val="2"/>
          </w:tcPr>
          <w:p>
            <w:pPr>
              <w:spacing w:after="0"/>
              <w:rPr>
                <w:sz w:val="20"/>
                <w:szCs w:val="20"/>
                <w:color w:val="auto"/>
              </w:rPr>
            </w:pPr>
            <w:r>
              <w:rPr>
                <w:rFonts w:ascii="Arial" w:cs="Arial" w:eastAsia="Arial" w:hAnsi="Arial"/>
                <w:sz w:val="14"/>
                <w:szCs w:val="14"/>
                <w:color w:val="auto"/>
              </w:rPr>
              <w:t>Ending balance, net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$ 20,240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20,721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$ 21,425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89"/>
              </w:rPr>
              <w:t>$ 189,959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$ 173,463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$ 161,433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680" w:right="60" w:firstLine="599"/>
        <w:spacing w:after="0" w:line="250" w:lineRule="auto"/>
        <w:rPr>
          <w:sz w:val="20"/>
          <w:szCs w:val="20"/>
          <w:color w:val="auto"/>
        </w:rPr>
      </w:pPr>
      <w:r>
        <w:rPr>
          <w:rFonts w:ascii="Arial" w:cs="Arial" w:eastAsia="Arial" w:hAnsi="Arial"/>
          <w:sz w:val="14"/>
          <w:szCs w:val="14"/>
          <w:color w:val="auto"/>
        </w:rPr>
        <w:t>Residential mortgage loans serviced for others were $14.5 billion, $13.4 billion and $13.2 billion at December 31, 2007, 2006 and 2005, respectively. Small balance commercial mortgage loans serviced for others were $4.9 billion, $3.3 billion and $2.4 billion at December 31, 2007, 2006 and 2005, respectively. Commercial mortgage loans serviced for others were $5.3 billion, $4.9 billion and $4.3 billion at December 31, 2007, 2006 and 2005, respectively.</w:t>
      </w:r>
    </w:p>
    <w:p>
      <w:pPr>
        <w:spacing w:after="0" w:line="1" w:lineRule="exact"/>
        <w:rPr>
          <w:sz w:val="20"/>
          <w:szCs w:val="20"/>
          <w:color w:val="auto"/>
        </w:rPr>
      </w:pPr>
    </w:p>
    <w:p>
      <w:pPr>
        <w:ind w:left="680" w:right="120" w:firstLine="599"/>
        <w:spacing w:after="0" w:line="266" w:lineRule="auto"/>
        <w:rPr>
          <w:sz w:val="20"/>
          <w:szCs w:val="20"/>
          <w:color w:val="auto"/>
        </w:rPr>
      </w:pPr>
      <w:r>
        <w:rPr>
          <w:rFonts w:ascii="Arial" w:cs="Arial" w:eastAsia="Arial" w:hAnsi="Arial"/>
          <w:sz w:val="13"/>
          <w:szCs w:val="13"/>
          <w:color w:val="auto"/>
        </w:rPr>
        <w:t>During 2007, 2006 and 2005, $4,050,000, $9,750,000 and $11,078,000, respectively, of the valuation allowance for capitalized residential mortgage loan servicing assets was reversed because of increases in the market value of certain strata of servicing assets relative to the amortized cost basis of the servicing assets in such strata. The estimated fair value of capitalized residential mortgage loan servicing assets was approximately $135 million at December 31, 2007 and $147 million at December 31, 2006. The fair value of capitalized residential mortgage loan servicing assets was estimated using weighted-average discount rates of 16.1% and 16.3% at December 31, 2007 and 2006, respectively, and contemporaneous prepayment assumptions that vary by loan type. At December 31, 2007 and 2006, the discount rate represented a weighted-average option-adjusted spread (“OAS”) of 885 basis points (hundredths of one percent) and 1,050 basis points, respectively, over market implied forward London Interbank Offered Rates. The estimated fair value of capitalized small-balance commercial mortgage loan servicing assets was approximately $70 million at December 31, 2007 and $42 million at December 31, 2006. The fair value of capitalized small-balance commercial loan servicing assets was estimated using weighted-average discount rates of 20.1% and 23.6% at December 31, 2007 and 2006, respectively, and contemporaneous prepayment assumptions that vary by loan type. At December 31, 2007 and 2006, the discount rate represented a weighted-average OAS of 1,600 basis points and 1,900 basis points, respectively, over market</w:t>
      </w:r>
    </w:p>
    <w:p>
      <w:pPr>
        <w:spacing w:after="0" w:line="132"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type w:val="continuous"/>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5" w:lineRule="exact"/>
        <w:rPr>
          <w:sz w:val="20"/>
          <w:szCs w:val="20"/>
          <w:color w:val="auto"/>
        </w:rPr>
      </w:pPr>
    </w:p>
    <w:p>
      <w:pPr>
        <w:ind w:left="680" w:right="900"/>
        <w:spacing w:after="0" w:line="270" w:lineRule="auto"/>
        <w:rPr>
          <w:sz w:val="20"/>
          <w:szCs w:val="20"/>
          <w:color w:val="auto"/>
        </w:rPr>
      </w:pPr>
      <w:r>
        <w:rPr>
          <w:rFonts w:ascii="Arial" w:cs="Arial" w:eastAsia="Arial" w:hAnsi="Arial"/>
          <w:sz w:val="12"/>
          <w:szCs w:val="12"/>
          <w:color w:val="auto"/>
        </w:rPr>
        <w:t>implied forward London Interbank Offered Rates. The estimated fair value of capitalized residential and small-balance commercial mortgage loan servicing rights may vary significantly in subsequent periods due to changing interest rates and the effect thereof on prepayment speeds. The estimated fair value of capitalized commercial mortgage loan servicing assets was approximately $25 million at both December 31, 2007 and 2006. An 18% discount rate was used to estimate the fair value of capitalized commercial mortgage loan servicing rights at December 31, 2007 and 2006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3" w:lineRule="exact"/>
        <w:rPr>
          <w:sz w:val="20"/>
          <w:szCs w:val="20"/>
          <w:color w:val="auto"/>
        </w:rPr>
      </w:pPr>
    </w:p>
    <w:p>
      <w:pPr>
        <w:ind w:left="680" w:right="960" w:firstLine="599"/>
        <w:spacing w:after="0" w:line="247" w:lineRule="auto"/>
        <w:rPr>
          <w:sz w:val="20"/>
          <w:szCs w:val="20"/>
          <w:color w:val="auto"/>
        </w:rPr>
      </w:pPr>
      <w:r>
        <w:rPr>
          <w:rFonts w:ascii="Arial" w:cs="Arial" w:eastAsia="Arial" w:hAnsi="Arial"/>
          <w:sz w:val="14"/>
          <w:szCs w:val="14"/>
          <w:color w:val="auto"/>
        </w:rPr>
        <w:t>The key economic assumptions used to determine the fair value of capitalized servicing rights at December 31, 2007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Residential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3"/>
              </w:rPr>
              <w:t>Small-Balance</w:t>
            </w:r>
          </w:p>
        </w:tc>
        <w:tc>
          <w:tcPr>
            <w:tcW w:w="10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Commercial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Commercial</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prepayment speeds</w:t>
            </w: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20.34%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19.56%</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Arial" w:cs="Arial" w:eastAsia="Arial" w:hAnsi="Arial"/>
                <w:sz w:val="14"/>
                <w:szCs w:val="14"/>
                <w:color w:val="auto"/>
              </w:rPr>
              <w:t>Impact on fair value of 10% adverse change</w:t>
            </w: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(6,387,000)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(2,552,000)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on fair value of 20% adverse change</w:t>
            </w: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(12,110,000)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(4,872,000)</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Weighted-average OAS</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16.00%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on fair value of 10% adverse change</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(2,391,000)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(2,167,000)</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Arial" w:cs="Arial" w:eastAsia="Arial" w:hAnsi="Arial"/>
                <w:sz w:val="14"/>
                <w:szCs w:val="14"/>
                <w:color w:val="auto"/>
              </w:rPr>
              <w:t>Impact on fair value of 20% adverse change</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(4,673,000)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(4,195,000)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4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r>
      <w:tr>
        <w:trPr>
          <w:trHeight w:val="164"/>
        </w:trPr>
        <w:tc>
          <w:tcPr>
            <w:tcW w:w="20" w:type="dxa"/>
            <w:vAlign w:val="bottom"/>
          </w:tcPr>
          <w:p>
            <w:pPr>
              <w:spacing w:after="0"/>
              <w:rPr>
                <w:sz w:val="14"/>
                <w:szCs w:val="14"/>
                <w:color w:val="auto"/>
              </w:rPr>
            </w:pPr>
          </w:p>
        </w:tc>
        <w:tc>
          <w:tcPr>
            <w:tcW w:w="5780" w:type="dxa"/>
            <w:vAlign w:val="bottom"/>
          </w:tcPr>
          <w:p>
            <w:pPr>
              <w:ind w:left="120"/>
              <w:spacing w:after="0"/>
              <w:rPr>
                <w:sz w:val="20"/>
                <w:szCs w:val="20"/>
                <w:color w:val="auto"/>
              </w:rPr>
            </w:pPr>
            <w:r>
              <w:rPr>
                <w:rFonts w:ascii="Arial" w:cs="Arial" w:eastAsia="Arial" w:hAnsi="Arial"/>
                <w:sz w:val="14"/>
                <w:szCs w:val="14"/>
                <w:color w:val="auto"/>
              </w:rPr>
              <w:t>Impact on fair value of 10% adverse change</w:t>
            </w:r>
          </w:p>
        </w:tc>
        <w:tc>
          <w:tcPr>
            <w:tcW w:w="4180" w:type="dxa"/>
            <w:vAlign w:val="bottom"/>
          </w:tcPr>
          <w:p>
            <w:pPr>
              <w:jc w:val="right"/>
              <w:ind w:right="9"/>
              <w:spacing w:after="0"/>
              <w:rPr>
                <w:sz w:val="20"/>
                <w:szCs w:val="20"/>
                <w:color w:val="auto"/>
              </w:rPr>
            </w:pPr>
            <w:r>
              <w:rPr>
                <w:rFonts w:ascii="Arial" w:cs="Arial" w:eastAsia="Arial" w:hAnsi="Arial"/>
                <w:sz w:val="14"/>
                <w:szCs w:val="14"/>
                <w:color w:val="auto"/>
              </w:rPr>
              <w:t>$   (1,063,000)</w:t>
            </w:r>
          </w:p>
        </w:tc>
      </w:tr>
      <w:tr>
        <w:trPr>
          <w:trHeight w:val="164"/>
        </w:trPr>
        <w:tc>
          <w:tcPr>
            <w:tcW w:w="20" w:type="dxa"/>
            <w:vAlign w:val="bottom"/>
          </w:tcPr>
          <w:p>
            <w:pPr>
              <w:spacing w:after="0"/>
              <w:rPr>
                <w:sz w:val="14"/>
                <w:szCs w:val="14"/>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on fair value of 20% adverse change</w:t>
            </w:r>
          </w:p>
        </w:tc>
        <w:tc>
          <w:tcPr>
            <w:tcW w:w="4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(2,052,000)</w:t>
            </w:r>
          </w:p>
        </w:tc>
      </w:tr>
    </w:tbl>
    <w:p>
      <w:pPr>
        <w:spacing w:after="0" w:line="147" w:lineRule="exact"/>
        <w:rPr>
          <w:sz w:val="20"/>
          <w:szCs w:val="20"/>
          <w:color w:val="auto"/>
        </w:rPr>
      </w:pPr>
    </w:p>
    <w:p>
      <w:pPr>
        <w:ind w:left="1000" w:hanging="315"/>
        <w:spacing w:after="0"/>
        <w:tabs>
          <w:tab w:leader="none" w:pos="10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19" w:lineRule="exact"/>
        <w:rPr>
          <w:sz w:val="20"/>
          <w:szCs w:val="20"/>
          <w:color w:val="auto"/>
        </w:rPr>
      </w:pPr>
    </w:p>
    <w:p>
      <w:pPr>
        <w:ind w:left="680" w:right="1220"/>
        <w:spacing w:after="0" w:line="255" w:lineRule="auto"/>
        <w:rPr>
          <w:sz w:val="20"/>
          <w:szCs w:val="20"/>
          <w:color w:val="auto"/>
        </w:rPr>
      </w:pPr>
      <w:r>
        <w:rPr>
          <w:rFonts w:ascii="Arial" w:cs="Arial" w:eastAsia="Arial" w:hAnsi="Arial"/>
          <w:sz w:val="14"/>
          <w:szCs w:val="14"/>
          <w:color w:val="auto"/>
        </w:rPr>
        <w:t>In accordance with SFAS No. 142, the Company does not amortize goodwill associated with corporate acquisitions, however, core deposit and other intangible assets are amortized over the estimated life of each respective asset. Total amortizing intangible assets were comprised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94"/>
              <w:spacing w:after="0"/>
              <w:rPr>
                <w:sz w:val="20"/>
                <w:szCs w:val="20"/>
                <w:color w:val="auto"/>
              </w:rPr>
            </w:pPr>
            <w:r>
              <w:rPr>
                <w:rFonts w:ascii="Arial" w:cs="Arial" w:eastAsia="Arial" w:hAnsi="Arial"/>
                <w:sz w:val="10"/>
                <w:szCs w:val="10"/>
                <w:b w:val="1"/>
                <w:bCs w:val="1"/>
                <w:color w:val="auto"/>
                <w:w w:val="98"/>
              </w:rPr>
              <w:t>Gross Carrying</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4"/>
              <w:spacing w:after="0"/>
              <w:rPr>
                <w:sz w:val="20"/>
                <w:szCs w:val="20"/>
                <w:color w:val="auto"/>
              </w:rPr>
            </w:pPr>
            <w:r>
              <w:rPr>
                <w:rFonts w:ascii="Arial" w:cs="Arial" w:eastAsia="Arial" w:hAnsi="Arial"/>
                <w:sz w:val="10"/>
                <w:szCs w:val="10"/>
                <w:b w:val="1"/>
                <w:bCs w:val="1"/>
                <w:color w:val="auto"/>
                <w:w w:val="92"/>
              </w:rPr>
              <w:t>Accumulated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Carrying</w:t>
            </w:r>
          </w:p>
        </w:tc>
        <w:tc>
          <w:tcPr>
            <w:tcW w:w="820" w:type="dxa"/>
            <w:vAlign w:val="bottom"/>
          </w:tcPr>
          <w:p>
            <w:pPr>
              <w:spacing w:after="0"/>
              <w:rPr>
                <w:sz w:val="10"/>
                <w:szCs w:val="10"/>
                <w:color w:val="auto"/>
              </w:rPr>
            </w:pPr>
          </w:p>
        </w:tc>
      </w:tr>
      <w:tr>
        <w:trPr>
          <w:trHeight w:val="123"/>
        </w:trPr>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b w:val="1"/>
                <w:bCs w:val="1"/>
                <w:color w:val="auto"/>
                <w:w w:val="94"/>
              </w:rPr>
              <w:t>Amortization</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3"/>
        </w:trPr>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gridSpan w:val="3"/>
          </w:tcPr>
          <w:p>
            <w:pPr>
              <w:jc w:val="right"/>
              <w:ind w:right="114"/>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2007</w:t>
            </w:r>
          </w:p>
        </w:tc>
        <w:tc>
          <w:tcPr>
            <w:tcW w:w="2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Core deposit</w:t>
            </w:r>
          </w:p>
        </w:tc>
        <w:tc>
          <w:tcPr>
            <w:tcW w:w="2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637,803</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410,052</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227,751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6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116,800</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95,995</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20,805</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Total</w:t>
            </w:r>
          </w:p>
        </w:tc>
        <w:tc>
          <w:tcPr>
            <w:tcW w:w="26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754,603</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506,047</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248,556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70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2006</w:t>
            </w:r>
          </w:p>
        </w:tc>
        <w:tc>
          <w:tcPr>
            <w:tcW w:w="2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Core deposit</w:t>
            </w:r>
          </w:p>
        </w:tc>
        <w:tc>
          <w:tcPr>
            <w:tcW w:w="2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574,544</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354,287</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220,257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6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115,250</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85,274</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Arial" w:cs="Arial" w:eastAsia="Arial" w:hAnsi="Arial"/>
                <w:sz w:val="14"/>
                <w:szCs w:val="14"/>
                <w:color w:val="auto"/>
              </w:rPr>
              <w:t>Total</w:t>
            </w:r>
          </w:p>
        </w:tc>
        <w:tc>
          <w:tcPr>
            <w:tcW w:w="26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689,794</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439,561</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250,233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04"/>
        </w:trPr>
        <w:tc>
          <w:tcPr>
            <w:tcW w:w="4500" w:type="dxa"/>
            <w:vAlign w:val="bottom"/>
            <w:gridSpan w:val="2"/>
          </w:tcPr>
          <w:p>
            <w:pPr>
              <w:ind w:left="680"/>
              <w:spacing w:after="0"/>
              <w:rPr>
                <w:sz w:val="20"/>
                <w:szCs w:val="20"/>
                <w:color w:val="auto"/>
              </w:rPr>
            </w:pPr>
            <w:r>
              <w:rPr>
                <w:rFonts w:ascii="Arial" w:cs="Arial" w:eastAsia="Arial" w:hAnsi="Arial"/>
                <w:sz w:val="12"/>
                <w:szCs w:val="12"/>
                <w:color w:val="auto"/>
              </w:rPr>
              <w:t>106</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3"/>
          <w:szCs w:val="13"/>
          <w:color w:val="auto"/>
        </w:rPr>
        <w:t>Amortization of core deposit and other intangible assets was generally computed using accelerated methods over original amortization periods of five to ten years. The weighted-average original amortization period was approximately eight years. The remaining weighted-average amortization period as of December 31, 2007 was approximately seven years. Amortization expense for core deposit and other intangible assets was $66,486,000, $63,008,000, and $56,805,000 for the years ended December 31, 2007, 2006 and 2005, respectively. Estimated amortization expense in future years for such intangible assets is as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2008</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66,393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40" w:firstLine="599"/>
        <w:spacing w:after="0" w:line="246" w:lineRule="auto"/>
        <w:rPr>
          <w:sz w:val="20"/>
          <w:szCs w:val="20"/>
          <w:color w:val="auto"/>
        </w:rPr>
      </w:pPr>
      <w:r>
        <w:rPr>
          <w:rFonts w:ascii="Arial" w:cs="Arial" w:eastAsia="Arial" w:hAnsi="Arial"/>
          <w:sz w:val="14"/>
          <w:szCs w:val="14"/>
          <w:color w:val="auto"/>
        </w:rPr>
        <w:t>Also in accordance with the provisions of SFAS No. 142, the Company completed annual goodwill impairment tests as of October 1, 2005, 2006 and 2007. For purposes of testing for impairment, the Company assigned all recorded goodwill to the reporting units originally intended to benefit from past business combinations.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The Company’s non-relationship business reporting units were individually analyzed and fair value was largely determined by comparisons to market transactions for similar businesses. Based on the results of the goodwill impairment tests, the Company concluded that the amount of recorded goodwill was not impaired at the respective testing dates.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goodwill assigned to each of the Company’s reportable segments for purposes of testing for impairment was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93"/>
              <w:spacing w:after="0"/>
              <w:rPr>
                <w:sz w:val="20"/>
                <w:szCs w:val="20"/>
                <w:color w:val="auto"/>
              </w:rPr>
            </w:pPr>
            <w:r>
              <w:rPr>
                <w:rFonts w:ascii="Arial" w:cs="Arial" w:eastAsia="Arial" w:hAnsi="Arial"/>
                <w:sz w:val="10"/>
                <w:szCs w:val="10"/>
                <w:b w:val="1"/>
                <w:bCs w:val="1"/>
                <w:color w:val="auto"/>
                <w:w w:val="95"/>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5"/>
              <w:spacing w:after="0"/>
              <w:rPr>
                <w:sz w:val="20"/>
                <w:szCs w:val="20"/>
                <w:color w:val="auto"/>
              </w:rPr>
            </w:pPr>
            <w:r>
              <w:rPr>
                <w:rFonts w:ascii="Arial" w:cs="Arial" w:eastAsia="Arial" w:hAnsi="Arial"/>
                <w:sz w:val="10"/>
                <w:szCs w:val="10"/>
                <w:b w:val="1"/>
                <w:bCs w:val="1"/>
                <w:color w:val="auto"/>
                <w:w w:val="96"/>
              </w:rPr>
              <w:t>Partners Trust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91"/>
              </w:rPr>
              <w:t>Acquisition</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b w:val="1"/>
                <w:bCs w:val="1"/>
                <w:color w:val="auto"/>
              </w:rPr>
              <w:t>2007</w:t>
            </w:r>
          </w:p>
        </w:tc>
        <w:tc>
          <w:tcPr>
            <w:tcW w:w="56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5"/>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Business Banking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683,761</w:t>
            </w:r>
          </w:p>
        </w:tc>
        <w:tc>
          <w:tcPr>
            <w:tcW w:w="56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Commercial Banking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838,165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47,841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886,006</w:t>
            </w:r>
          </w:p>
        </w:tc>
        <w:tc>
          <w:tcPr>
            <w:tcW w:w="5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255,166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274,799</w:t>
            </w:r>
          </w:p>
        </w:tc>
        <w:tc>
          <w:tcPr>
            <w:tcW w:w="56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Discretionary Portfolio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Residential Mortgage Banking</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Retail Banking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798,822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178,452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977,274</w:t>
            </w:r>
          </w:p>
        </w:tc>
        <w:tc>
          <w:tcPr>
            <w:tcW w:w="5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374,593</w:t>
            </w:r>
          </w:p>
        </w:tc>
        <w:tc>
          <w:tcPr>
            <w:tcW w:w="3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374,593</w:t>
            </w:r>
          </w:p>
        </w:tc>
        <w:tc>
          <w:tcPr>
            <w:tcW w:w="560" w:type="dxa"/>
            <w:vAlign w:val="bottom"/>
            <w:shd w:val="clear" w:color="auto" w:fill="CCEEFF"/>
          </w:tcPr>
          <w:p>
            <w:pPr>
              <w:spacing w:after="0"/>
              <w:rPr>
                <w:sz w:val="14"/>
                <w:szCs w:val="14"/>
                <w:color w:val="auto"/>
              </w:rPr>
            </w:pPr>
          </w:p>
        </w:tc>
      </w:tr>
      <w:tr>
        <w:trPr>
          <w:trHeight w:val="172"/>
        </w:trPr>
        <w:tc>
          <w:tcPr>
            <w:tcW w:w="5960" w:type="dxa"/>
            <w:vAlign w:val="bottom"/>
            <w:gridSpan w:val="2"/>
          </w:tcPr>
          <w:p>
            <w:pPr>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2,908,849</w:t>
            </w:r>
          </w:p>
        </w:tc>
        <w:tc>
          <w:tcPr>
            <w:tcW w:w="3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287,584</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3,196,433</w:t>
            </w:r>
          </w:p>
        </w:tc>
        <w:tc>
          <w:tcPr>
            <w:tcW w:w="560" w:type="dxa"/>
            <w:vAlign w:val="bottom"/>
          </w:tcPr>
          <w:p>
            <w:pPr>
              <w:spacing w:after="0"/>
              <w:rPr>
                <w:sz w:val="14"/>
                <w:szCs w:val="14"/>
                <w:color w:val="auto"/>
              </w:rPr>
            </w:pPr>
          </w:p>
        </w:tc>
      </w:tr>
    </w:tbl>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1000" w:hanging="315"/>
        <w:spacing w:after="0"/>
        <w:tabs>
          <w:tab w:leader="none" w:pos="100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and interest rates of short-term borrowings were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Federal Funds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89"/>
              </w:rPr>
              <w:t>Purchased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89"/>
              </w:rPr>
              <w:t>and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0"/>
              </w:rPr>
              <w:t>Repurchase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380"/>
              <w:spacing w:after="0" w:line="106" w:lineRule="exact"/>
              <w:rPr>
                <w:sz w:val="20"/>
                <w:szCs w:val="20"/>
                <w:color w:val="auto"/>
              </w:rPr>
            </w:pPr>
            <w:r>
              <w:rPr>
                <w:rFonts w:ascii="Arial" w:cs="Arial" w:eastAsia="Arial" w:hAnsi="Arial"/>
                <w:sz w:val="10"/>
                <w:szCs w:val="10"/>
                <w:b w:val="1"/>
                <w:bCs w:val="1"/>
                <w:color w:val="auto"/>
                <w:w w:val="97"/>
              </w:rPr>
              <w:t>Short-term</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Total</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0"/>
                <w:szCs w:val="10"/>
                <w:b w:val="1"/>
                <w:bCs w:val="1"/>
                <w:color w:val="auto"/>
                <w:w w:val="89"/>
              </w:rPr>
              <w:t>Agreements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2"/>
              <w:spacing w:after="0"/>
              <w:rPr>
                <w:sz w:val="20"/>
                <w:szCs w:val="20"/>
                <w:color w:val="auto"/>
              </w:rPr>
            </w:pPr>
            <w:r>
              <w:rPr>
                <w:rFonts w:ascii="Arial" w:cs="Arial" w:eastAsia="Arial" w:hAnsi="Arial"/>
                <w:sz w:val="10"/>
                <w:szCs w:val="10"/>
                <w:b w:val="1"/>
                <w:bCs w:val="1"/>
                <w:color w:val="auto"/>
                <w:w w:val="89"/>
              </w:rPr>
              <w:t>Borrowings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(Dollars in thousands)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2007</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Amount outstanding</w:t>
            </w:r>
          </w:p>
        </w:tc>
        <w:tc>
          <w:tcPr>
            <w:tcW w:w="2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4,351,313</w:t>
            </w:r>
          </w:p>
        </w:tc>
        <w:tc>
          <w:tcPr>
            <w:tcW w:w="2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1,470,584</w:t>
            </w:r>
          </w:p>
        </w:tc>
        <w:tc>
          <w:tcPr>
            <w:tcW w:w="2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5,821,897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For the year ended December 31, 2007</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Highest amount at a month-end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4,351,313</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1,470,584</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Daily-average amount outstanding</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4,745,137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640,694</w:t>
            </w:r>
          </w:p>
        </w:tc>
        <w:tc>
          <w:tcPr>
            <w:tcW w:w="2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5,385,831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At December 31, 2006</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 outstanding</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2,531,684</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562,530</w:t>
            </w: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3,094,214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Weighted-average interest rate</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2006</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Highest amount at a month-end</w:t>
            </w:r>
          </w:p>
        </w:tc>
        <w:tc>
          <w:tcPr>
            <w:tcW w:w="2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4,533,796</w:t>
            </w:r>
          </w:p>
        </w:tc>
        <w:tc>
          <w:tcPr>
            <w:tcW w:w="2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980,361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Daily-average amount outstanding</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3,888,739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640,893</w:t>
            </w: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4,529,632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Weighted-average interest rate</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2005</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Amount outstanding</w:t>
            </w:r>
          </w:p>
        </w:tc>
        <w:tc>
          <w:tcPr>
            <w:tcW w:w="2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4,211,978</w:t>
            </w:r>
          </w:p>
        </w:tc>
        <w:tc>
          <w:tcPr>
            <w:tcW w:w="2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940,894</w:t>
            </w:r>
          </w:p>
        </w:tc>
        <w:tc>
          <w:tcPr>
            <w:tcW w:w="2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5,152,872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For the year ended December 31, 2005</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Highest amount at a month-end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4,547,239</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1,136,923</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4"/>
                <w:szCs w:val="14"/>
                <w:color w:val="auto"/>
              </w:rPr>
              <w:t>Daily-average amount outstanding</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4,232,002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658,229</w:t>
            </w:r>
          </w:p>
        </w:tc>
        <w:tc>
          <w:tcPr>
            <w:tcW w:w="2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4,890,231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60" w:firstLine="599"/>
        <w:spacing w:after="0" w:line="247" w:lineRule="auto"/>
        <w:rPr>
          <w:sz w:val="20"/>
          <w:szCs w:val="20"/>
          <w:color w:val="auto"/>
        </w:rPr>
      </w:pPr>
      <w:r>
        <w:rPr>
          <w:rFonts w:ascii="Arial" w:cs="Arial" w:eastAsia="Arial" w:hAnsi="Arial"/>
          <w:sz w:val="14"/>
          <w:szCs w:val="14"/>
          <w:color w:val="auto"/>
        </w:rPr>
        <w:t>In general, federal funds purchased and short-term repurchase agreements outstanding at December 31, 2007 matured on the next business day following year-end. Other short-term borrowings included a $500 million revolving asset-backed structured borrowing with an unaffiliated conduit lender. Further information related to the revolving asset-backed structured borrowing is provided in note 18. Other short-term borrowings at December 31, 2007 included $820 million of borrowings from the FHLB that matured within one year, including $320 million resulting from the acquisition of Partners Trust on November 30, 2007. There were no similar borrowings from the FHLB at December 31, 2006. The remaining borrowings included in other short-term borrowings had original maturities of one year or less and included borrowings from the U.S. Treasury and others.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2007, the Company had lines of credit under formal agreements as follows:</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4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32"/>
              <w:spacing w:after="0"/>
              <w:rPr>
                <w:sz w:val="20"/>
                <w:szCs w:val="20"/>
                <w:color w:val="auto"/>
              </w:rPr>
            </w:pPr>
            <w:r>
              <w:rPr>
                <w:rFonts w:ascii="Arial" w:cs="Arial" w:eastAsia="Arial" w:hAnsi="Arial"/>
                <w:sz w:val="13"/>
                <w:szCs w:val="13"/>
                <w:b w:val="1"/>
                <w:bCs w:val="1"/>
                <w:color w:val="auto"/>
              </w:rPr>
              <w:t>M&amp;T</w:t>
            </w:r>
          </w:p>
        </w:tc>
      </w:tr>
      <w:tr>
        <w:trPr>
          <w:trHeight w:val="167"/>
        </w:trPr>
        <w:tc>
          <w:tcPr>
            <w:tcW w:w="40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b w:val="1"/>
                <w:bCs w:val="1"/>
                <w:color w:val="auto"/>
              </w:rPr>
              <w:t>M&amp;T</w:t>
            </w:r>
          </w:p>
        </w:tc>
        <w:tc>
          <w:tcPr>
            <w:tcW w:w="4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M&amp;T Bank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2"/>
              <w:spacing w:after="0"/>
              <w:rPr>
                <w:sz w:val="20"/>
                <w:szCs w:val="20"/>
                <w:color w:val="auto"/>
              </w:rPr>
            </w:pPr>
            <w:r>
              <w:rPr>
                <w:rFonts w:ascii="Arial" w:cs="Arial" w:eastAsia="Arial" w:hAnsi="Arial"/>
                <w:sz w:val="13"/>
                <w:szCs w:val="13"/>
                <w:b w:val="1"/>
                <w:bCs w:val="1"/>
                <w:color w:val="auto"/>
                <w:w w:val="95"/>
              </w:rPr>
              <w:t>Bank, N.A.</w:t>
            </w:r>
          </w:p>
        </w:tc>
      </w:tr>
      <w:tr>
        <w:trPr>
          <w:trHeight w:val="157"/>
        </w:trPr>
        <w:tc>
          <w:tcPr>
            <w:tcW w:w="4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(In thousands)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78"/>
        </w:trPr>
        <w:tc>
          <w:tcPr>
            <w:tcW w:w="4080" w:type="dxa"/>
            <w:vAlign w:val="bottom"/>
          </w:tcPr>
          <w:p>
            <w:pPr>
              <w:spacing w:after="0"/>
              <w:rPr>
                <w:sz w:val="20"/>
                <w:szCs w:val="20"/>
                <w:color w:val="auto"/>
              </w:rPr>
            </w:pPr>
            <w:r>
              <w:rPr>
                <w:rFonts w:ascii="Arial" w:cs="Arial" w:eastAsia="Arial" w:hAnsi="Arial"/>
                <w:sz w:val="14"/>
                <w:szCs w:val="14"/>
                <w:color w:val="auto"/>
              </w:rPr>
              <w:t>Outstanding borrowings</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    6,513,332</w:t>
            </w:r>
          </w:p>
        </w:tc>
        <w:tc>
          <w:tcPr>
            <w:tcW w:w="28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Unused</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30,000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6,067,696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61,724</w:t>
            </w:r>
          </w:p>
        </w:tc>
      </w:tr>
    </w:tbl>
    <w:p>
      <w:pPr>
        <w:spacing w:after="0" w:line="71" w:lineRule="exact"/>
        <w:rPr>
          <w:sz w:val="20"/>
          <w:szCs w:val="20"/>
          <w:color w:val="auto"/>
        </w:rPr>
      </w:pPr>
    </w:p>
    <w:p>
      <w:pPr>
        <w:ind w:left="680" w:right="100" w:firstLine="599"/>
        <w:spacing w:after="0" w:line="254" w:lineRule="auto"/>
        <w:rPr>
          <w:sz w:val="20"/>
          <w:szCs w:val="20"/>
          <w:color w:val="auto"/>
        </w:rPr>
      </w:pPr>
      <w:r>
        <w:rPr>
          <w:rFonts w:ascii="Arial" w:cs="Arial" w:eastAsia="Arial" w:hAnsi="Arial"/>
          <w:sz w:val="14"/>
          <w:szCs w:val="14"/>
          <w:color w:val="auto"/>
        </w:rPr>
        <w:t>M&amp;T has a revolving credit agreement with an unaffiliated commercial bank whereby M&amp;T may borrow up to $30 million at its discretion through December 5, 2008. At December 31, 2007, M&amp;T Bank had borrowing facilities available with the FHLB whereby M&amp;T Bank could borrow up to approximately $8.2 billion. Additionally, M&amp;T Bank and M&amp;T Bank, National Association (“M&amp;T Bank, N.A.”), a wholly owned subsidiary of M&amp;T, had available lines of credit with the Federal Reserve Bank of New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20"/>
        <w:spacing w:after="0" w:line="253" w:lineRule="auto"/>
        <w:rPr>
          <w:sz w:val="20"/>
          <w:szCs w:val="20"/>
          <w:color w:val="auto"/>
        </w:rPr>
      </w:pPr>
      <w:r>
        <w:rPr>
          <w:rFonts w:ascii="Arial" w:cs="Arial" w:eastAsia="Arial" w:hAnsi="Arial"/>
          <w:sz w:val="14"/>
          <w:szCs w:val="14"/>
          <w:color w:val="auto"/>
        </w:rPr>
        <w:t>York totaling approximately $4.5 billion, under which there were no borrowings outstanding at December 31, 2007 or 2006. M&amp;T Bank and M&amp;T Bank, N.A. are required to pledge loans and investment securities as collateral for these borrowing facilities.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Long-term borrowings were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0"/>
                <w:szCs w:val="10"/>
                <w:b w:val="1"/>
                <w:bCs w:val="1"/>
                <w:color w:val="auto"/>
              </w:rPr>
              <w:t>December 31,</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2"/>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of M&amp;T Bank:</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8% due 2010</w:t>
            </w: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137,680</w:t>
            </w:r>
          </w:p>
        </w:tc>
        <w:tc>
          <w:tcPr>
            <w:tcW w:w="5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131,957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3.85% due 2013, variable rate commencing 2008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399,978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399,892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6.625% due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399,111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5.585% due 2020, variable rate commencing 2015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356,574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5.629% due 2021, variable rate commencing 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514,832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492,945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of M&amp;T: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7.2% due 2007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203,193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6.875% due 2009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102,238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Arial" w:cs="Arial" w:eastAsia="Arial" w:hAnsi="Arial"/>
                <w:sz w:val="14"/>
                <w:szCs w:val="14"/>
                <w:color w:val="auto"/>
              </w:rPr>
              <w:t>Senior medium term notes — 6.5% due 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29,814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Senior notes of M&amp;T — 5.375% due 2012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299,908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Arial" w:cs="Arial" w:eastAsia="Arial" w:hAnsi="Arial"/>
                <w:sz w:val="14"/>
                <w:szCs w:val="14"/>
                <w:color w:val="auto"/>
              </w:rPr>
              <w:t>Advances from FHLB:</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Variable rates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2,800,000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Fixed rates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1,197,212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629,438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Agreements to repurchase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1,025,001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spacing w:after="0"/>
              <w:rPr>
                <w:sz w:val="20"/>
                <w:szCs w:val="20"/>
                <w:color w:val="auto"/>
              </w:rPr>
            </w:pPr>
            <w:r>
              <w:rPr>
                <w:rFonts w:ascii="Arial" w:cs="Arial" w:eastAsia="Arial" w:hAnsi="Arial"/>
                <w:sz w:val="14"/>
                <w:szCs w:val="14"/>
                <w:color w:val="auto"/>
              </w:rPr>
              <w:t>Junior subordinated debentures associated with preferred capital securities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M&amp;T Capital Trust I — 8.234%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M&amp;T Capital Trust II — 8.277%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103,093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103,093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M&amp;T Capital Trust III — 9.25%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68,059</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First Maryland Capital I — Variable rate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144,201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143,652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First Maryland Capital II — Variable rate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141,986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BSB Capital Trust I — 8.125%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16,902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BSB Capital Trust III — Variable rate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tcPr>
          <w:p>
            <w:pPr>
              <w:ind w:left="120"/>
              <w:spacing w:after="0"/>
              <w:rPr>
                <w:sz w:val="20"/>
                <w:szCs w:val="20"/>
                <w:color w:val="auto"/>
              </w:rPr>
            </w:pPr>
            <w:r>
              <w:rPr>
                <w:rFonts w:ascii="Arial" w:cs="Arial" w:eastAsia="Arial" w:hAnsi="Arial"/>
                <w:sz w:val="14"/>
                <w:szCs w:val="14"/>
                <w:color w:val="auto"/>
              </w:rPr>
              <w:t>Allfirst Asset Trust — Variable rate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101,952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101,796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10,317,945</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6,890,741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260" w:firstLine="599"/>
        <w:spacing w:after="0" w:line="272" w:lineRule="auto"/>
        <w:rPr>
          <w:sz w:val="20"/>
          <w:szCs w:val="20"/>
          <w:color w:val="auto"/>
        </w:rPr>
      </w:pPr>
      <w:r>
        <w:rPr>
          <w:rFonts w:ascii="Arial" w:cs="Arial" w:eastAsia="Arial" w:hAnsi="Arial"/>
          <w:sz w:val="13"/>
          <w:szCs w:val="13"/>
          <w:color w:val="auto"/>
        </w:rPr>
        <w:t>The subordinated notes of M&amp;T Bank are unsecured and are subordinate to the claims of depositors and other creditors of M&amp;T Bank. In December 2007, M&amp;T Bank issued $400 million of subordinated notes which bear a fixed rate of interest of 6.625% and mature in December 2017. In December 2006, M&amp;T Bank issued</w:t>
      </w:r>
    </w:p>
    <w:p>
      <w:pPr>
        <w:spacing w:after="0" w:line="1" w:lineRule="exact"/>
        <w:rPr>
          <w:sz w:val="20"/>
          <w:szCs w:val="20"/>
          <w:color w:val="auto"/>
        </w:rPr>
      </w:pPr>
    </w:p>
    <w:p>
      <w:pPr>
        <w:ind w:left="680" w:right="20"/>
        <w:spacing w:after="0" w:line="246" w:lineRule="auto"/>
        <w:rPr>
          <w:sz w:val="20"/>
          <w:szCs w:val="20"/>
          <w:color w:val="auto"/>
        </w:rPr>
      </w:pPr>
      <w:r>
        <w:rPr>
          <w:rFonts w:ascii="Arial" w:cs="Arial" w:eastAsia="Arial" w:hAnsi="Arial"/>
          <w:sz w:val="14"/>
          <w:szCs w:val="14"/>
          <w:color w:val="auto"/>
        </w:rPr>
        <w:t>$500 million of subordinated notes which bear a fixed rate of interest of 5.629% until December 2016 and a floating rate thereafter until maturity in December 2021, at a rate equal to the three-month London Interbank Offered Rate (“LIBOR”) plus .64%. Beginning December 2016, M&amp;T Bank may, at its option and subject to prior regulatory approval, redeem some or all of the notes on any interest payment date. The subordinated notes due 2020 bear a fixed rate of interest of 5.585% until December 2015 and a floating rate of interest thereafter until maturity in December 2020, at a rate equal to the one-month LIBOR plus 1.215%. Beginning December 2015, M&amp;T Bank may, at its option and subject to prior regulatory approval, redeem some or all of the notes on any interest payment date. Those notes were issued as part of an exchange offer to holders of M&amp;T Bank’s 8% subordinated notes due October 2010. Coincident with the exchange, M&amp;T Bank terminated $363 million of interest rate swap agreements that were used to hedge the 8.0% subordinated notes that were exchanged. A</w:t>
      </w:r>
    </w:p>
    <w:p>
      <w:pPr>
        <w:spacing w:after="0" w:line="14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20"/>
        <w:spacing w:after="0" w:line="272" w:lineRule="auto"/>
        <w:rPr>
          <w:sz w:val="20"/>
          <w:szCs w:val="20"/>
          <w:color w:val="auto"/>
        </w:rPr>
      </w:pPr>
      <w:r>
        <w:rPr>
          <w:rFonts w:ascii="Arial" w:cs="Arial" w:eastAsia="Arial" w:hAnsi="Arial"/>
          <w:sz w:val="13"/>
          <w:szCs w:val="13"/>
          <w:color w:val="auto"/>
        </w:rPr>
        <w:t>$15 million valuation adjustment on the previously hedged notes was included in the carrying value of the new subordinated notes due in 2020. That valuation adjustment is being amortized to interest expense over the period to expected maturity of the new notes. The unamortized balance of such valuation adjustment was $13 million and</w:t>
      </w:r>
    </w:p>
    <w:p>
      <w:pPr>
        <w:spacing w:after="0" w:line="1" w:lineRule="exact"/>
        <w:rPr>
          <w:sz w:val="20"/>
          <w:szCs w:val="20"/>
          <w:color w:val="auto"/>
        </w:rPr>
      </w:pPr>
    </w:p>
    <w:p>
      <w:pPr>
        <w:ind w:left="680" w:right="180"/>
        <w:spacing w:after="0" w:line="263" w:lineRule="auto"/>
        <w:rPr>
          <w:sz w:val="20"/>
          <w:szCs w:val="20"/>
          <w:color w:val="auto"/>
        </w:rPr>
      </w:pPr>
      <w:r>
        <w:rPr>
          <w:rFonts w:ascii="Arial" w:cs="Arial" w:eastAsia="Arial" w:hAnsi="Arial"/>
          <w:sz w:val="13"/>
          <w:szCs w:val="13"/>
          <w:color w:val="auto"/>
        </w:rPr>
        <w:t>$14 million at December 31, 2007 and 2006, respectively. The subordinated notes due in 2020 have an effective rate of 7.76%. The subordinated notes due 2013 bear a fixed rate of interest of 3.85% through March 2008 and a floating rate of interest thereafter until maturity in April 2013, at a rate equal to the three-month LIBOR plus 1.50%. Beginning April 2008, M&amp;T Bank may, at its option and subject to prior regulatory approval, redeem some or all of the notes on any interest payment date.</w:t>
      </w:r>
    </w:p>
    <w:p>
      <w:pPr>
        <w:spacing w:after="0" w:line="1" w:lineRule="exact"/>
        <w:rPr>
          <w:sz w:val="20"/>
          <w:szCs w:val="20"/>
          <w:color w:val="auto"/>
        </w:rPr>
      </w:pPr>
    </w:p>
    <w:p>
      <w:pPr>
        <w:jc w:val="both"/>
        <w:ind w:left="680" w:right="260" w:firstLine="599"/>
        <w:spacing w:after="0" w:line="244" w:lineRule="auto"/>
        <w:rPr>
          <w:sz w:val="20"/>
          <w:szCs w:val="20"/>
          <w:color w:val="auto"/>
        </w:rPr>
      </w:pPr>
      <w:r>
        <w:rPr>
          <w:rFonts w:ascii="Arial" w:cs="Arial" w:eastAsia="Arial" w:hAnsi="Arial"/>
          <w:sz w:val="14"/>
          <w:szCs w:val="14"/>
          <w:color w:val="auto"/>
        </w:rPr>
        <w:t>The subordinated notes of M&amp;T are unsecured and subordinate to the general creditors of M&amp;T. The senior medium term notes were issued in 1998 by Keystone Financial Mid-Atlantic Funding Corp., a wholly owned subsidiary of M&amp;T that was acquired in 2000. The notes provide for semi-annual interest payments at fixed rates of interest and are guaranteed by M&amp;T.</w:t>
      </w:r>
    </w:p>
    <w:p>
      <w:pPr>
        <w:spacing w:after="0" w:line="1" w:lineRule="exact"/>
        <w:rPr>
          <w:sz w:val="20"/>
          <w:szCs w:val="20"/>
          <w:color w:val="auto"/>
        </w:rPr>
      </w:pPr>
    </w:p>
    <w:p>
      <w:pPr>
        <w:ind w:left="1280" w:right="60"/>
        <w:spacing w:after="0" w:line="263" w:lineRule="auto"/>
        <w:rPr>
          <w:sz w:val="20"/>
          <w:szCs w:val="20"/>
          <w:color w:val="auto"/>
        </w:rPr>
      </w:pPr>
      <w:r>
        <w:rPr>
          <w:rFonts w:ascii="Arial" w:cs="Arial" w:eastAsia="Arial" w:hAnsi="Arial"/>
          <w:sz w:val="13"/>
          <w:szCs w:val="13"/>
          <w:color w:val="auto"/>
        </w:rPr>
        <w:t>The senior notes of M&amp;T were issued in May 2007. The notes provide for semi-annual interest payments at a fixed rate of interest and mature in May 2012. Long-term variable rate advances from the FHLB had contractual interest rates that ranged from 4.81% to 5.25% at December 31, 2007 and from 5.31% to 5.37% at</w:t>
      </w:r>
    </w:p>
    <w:p>
      <w:pPr>
        <w:ind w:left="680" w:right="60"/>
        <w:spacing w:after="0" w:line="244" w:lineRule="auto"/>
        <w:rPr>
          <w:sz w:val="20"/>
          <w:szCs w:val="20"/>
          <w:color w:val="auto"/>
        </w:rPr>
      </w:pPr>
      <w:r>
        <w:rPr>
          <w:rFonts w:ascii="Arial" w:cs="Arial" w:eastAsia="Arial" w:hAnsi="Arial"/>
          <w:sz w:val="14"/>
          <w:szCs w:val="14"/>
          <w:color w:val="auto"/>
        </w:rPr>
        <w:t>December 31, 2006. The weighted-average contractual interest rates were 5.03% and 5.35% at December 31, 2007 and 2006, respectively. Long-term fixed-rate advances from the FHLB had contractual interest rates ranging from 4.05% to 7.32%. The weighted-average contractual interest rates payable were 5.18% and 5.52% at December 31, 2007 and 2006, respectively. Advances from the FHLB mature at various dates through 2029 and are secured by residential real estate loans, commercial real estate loans and investment securities.</w:t>
      </w:r>
    </w:p>
    <w:p>
      <w:pPr>
        <w:spacing w:after="0" w:line="1" w:lineRule="exact"/>
        <w:rPr>
          <w:sz w:val="20"/>
          <w:szCs w:val="20"/>
          <w:color w:val="auto"/>
        </w:rPr>
      </w:pPr>
    </w:p>
    <w:p>
      <w:pPr>
        <w:jc w:val="both"/>
        <w:ind w:left="680" w:right="20" w:firstLine="599"/>
        <w:spacing w:after="0" w:line="244" w:lineRule="auto"/>
        <w:rPr>
          <w:sz w:val="20"/>
          <w:szCs w:val="20"/>
          <w:color w:val="auto"/>
        </w:rPr>
      </w:pPr>
      <w:r>
        <w:rPr>
          <w:rFonts w:ascii="Arial" w:cs="Arial" w:eastAsia="Arial" w:hAnsi="Arial"/>
          <w:sz w:val="14"/>
          <w:szCs w:val="14"/>
          <w:color w:val="auto"/>
        </w:rPr>
        <w:t>Long-term agreements to repurchase securities had contractual interest rates that ranged from 3.91% to 5.14%. The weighted-average contractual interest rates were 4.21% and 4.24% at December 31, 2007 and 2006, respectively. The agreements outstanding at December 31, 2007 reflect various repurchase dates through 2017, however, the contractual maturities of the underlying investment securities extend beyond such repurchase dates.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M&amp;T Capital Trust I (“Trust I”), M&amp;T Capital Trust II (“Trust II”), and M&amp;T Capital Trust III (“Trust III”) have issued fixed rate preferred capital securities</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aggregating $310 million. First Maryland Capital I (“Trust IV”) and First Maryland Capital II (“Trust V”) have issued floating rate preferred capital securities aggregating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$300 million. The distribution rates on the preferred capital securities of Trust IV and Trust V adjust quarterly based on changes in the three-month LIBOR and were 6.24% and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5.76%, respectively, at December 31, 2007 and 6.37% and 6.22%, respectively, at December 31, 2006. As a result of the Partners Trust acquisition, M&amp;T assumed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responsibility for $31.5 million of similar preferred capital securities previously issued by special-purpose entities formed by Partners Trust consisting of $16.5 million of fixed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rate preferred capital securities issued by BSB Capital Trust I (“Trust VI”) and $15 million of floating rate preferred capital securities issued by BSB Capital Trust III</w:t>
      </w:r>
    </w:p>
    <w:p>
      <w:pPr>
        <w:spacing w:after="0" w:line="15" w:lineRule="exact"/>
        <w:rPr>
          <w:sz w:val="20"/>
          <w:szCs w:val="20"/>
          <w:color w:val="auto"/>
        </w:rPr>
      </w:pPr>
    </w:p>
    <w:p>
      <w:pPr>
        <w:ind w:left="680" w:right="800"/>
        <w:spacing w:after="0" w:line="293" w:lineRule="auto"/>
        <w:rPr>
          <w:sz w:val="20"/>
          <w:szCs w:val="20"/>
          <w:color w:val="auto"/>
        </w:rPr>
      </w:pPr>
      <w:r>
        <w:rPr>
          <w:rFonts w:ascii="Arial" w:cs="Arial" w:eastAsia="Arial" w:hAnsi="Arial"/>
          <w:sz w:val="13"/>
          <w:szCs w:val="13"/>
          <w:color w:val="auto"/>
        </w:rPr>
        <w:t>(“Trust VII”). The distribution rate on the preferred capital securities of Trust VII adjusts quarterly based on changes in the three-month LIBOR and was 8.59% at December 31, 2007. Trust I, Trust II, Trust III, Trust IV, Trust V, Trust VI and Trust VII are referred to herein collectively as the “Trusts.”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000" w:firstLine="599"/>
        <w:spacing w:after="0" w:line="272" w:lineRule="auto"/>
        <w:rPr>
          <w:sz w:val="20"/>
          <w:szCs w:val="20"/>
          <w:color w:val="auto"/>
        </w:rPr>
      </w:pPr>
      <w:r>
        <w:rPr>
          <w:rFonts w:ascii="Arial" w:cs="Arial" w:eastAsia="Arial" w:hAnsi="Arial"/>
          <w:sz w:val="14"/>
          <w:szCs w:val="14"/>
          <w:color w:val="auto"/>
        </w:rPr>
        <w:t>Other than the following payment terms (and the redemption terms described below), the preferred capital securities issued by the Trusts (“Capital Securities”) are substantially identical in all material respects: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500" w:type="dxa"/>
            <w:vAlign w:val="bottom"/>
            <w:gridSpan w:val="2"/>
          </w:tcPr>
          <w:p>
            <w:pPr>
              <w:spacing w:after="0"/>
              <w:rPr>
                <w:sz w:val="20"/>
                <w:szCs w:val="20"/>
                <w:color w:val="auto"/>
              </w:rPr>
            </w:pPr>
            <w:r>
              <w:rPr>
                <w:rFonts w:ascii="Arial" w:cs="Arial" w:eastAsia="Arial" w:hAnsi="Arial"/>
                <w:sz w:val="10"/>
                <w:szCs w:val="10"/>
                <w:b w:val="1"/>
                <w:bCs w:val="1"/>
                <w:color w:val="auto"/>
              </w:rPr>
              <w:t>Trust</w:t>
            </w:r>
          </w:p>
        </w:tc>
        <w:tc>
          <w:tcPr>
            <w:tcW w:w="3960" w:type="dxa"/>
            <w:vAlign w:val="bottom"/>
          </w:tcPr>
          <w:p>
            <w:pPr>
              <w:jc w:val="right"/>
              <w:ind w:right="632"/>
              <w:spacing w:after="0"/>
              <w:rPr>
                <w:sz w:val="20"/>
                <w:szCs w:val="20"/>
                <w:color w:val="auto"/>
              </w:rPr>
            </w:pPr>
            <w:r>
              <w:rPr>
                <w:rFonts w:ascii="Arial" w:cs="Arial" w:eastAsia="Arial" w:hAnsi="Arial"/>
                <w:sz w:val="10"/>
                <w:szCs w:val="10"/>
                <w:b w:val="1"/>
                <w:bCs w:val="1"/>
                <w:color w:val="auto"/>
              </w:rPr>
              <w:t>Distribution Rate</w:t>
            </w:r>
          </w:p>
        </w:tc>
        <w:tc>
          <w:tcPr>
            <w:tcW w:w="3520" w:type="dxa"/>
            <w:vAlign w:val="bottom"/>
          </w:tcPr>
          <w:p>
            <w:pPr>
              <w:ind w:left="2100"/>
              <w:spacing w:after="0"/>
              <w:rPr>
                <w:sz w:val="20"/>
                <w:szCs w:val="20"/>
                <w:color w:val="auto"/>
              </w:rPr>
            </w:pPr>
            <w:r>
              <w:rPr>
                <w:rFonts w:ascii="Arial" w:cs="Arial" w:eastAsia="Arial" w:hAnsi="Arial"/>
                <w:sz w:val="10"/>
                <w:szCs w:val="10"/>
                <w:b w:val="1"/>
                <w:bCs w:val="1"/>
                <w:color w:val="auto"/>
              </w:rPr>
              <w:t>Distribution Dates</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39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I</w:t>
            </w:r>
          </w:p>
        </w:tc>
        <w:tc>
          <w:tcPr>
            <w:tcW w:w="396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8.234%</w:t>
            </w:r>
          </w:p>
        </w:tc>
        <w:tc>
          <w:tcPr>
            <w:tcW w:w="35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February 1 and August 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Trust II</w:t>
            </w:r>
          </w:p>
        </w:tc>
        <w:tc>
          <w:tcPr>
            <w:tcW w:w="3960" w:type="dxa"/>
            <w:vAlign w:val="bottom"/>
          </w:tcPr>
          <w:p>
            <w:pPr>
              <w:jc w:val="right"/>
              <w:ind w:right="832"/>
              <w:spacing w:after="0"/>
              <w:rPr>
                <w:sz w:val="20"/>
                <w:szCs w:val="20"/>
                <w:color w:val="auto"/>
              </w:rPr>
            </w:pPr>
            <w:r>
              <w:rPr>
                <w:rFonts w:ascii="Arial" w:cs="Arial" w:eastAsia="Arial" w:hAnsi="Arial"/>
                <w:sz w:val="14"/>
                <w:szCs w:val="14"/>
                <w:color w:val="auto"/>
              </w:rPr>
              <w:t>8.277%</w:t>
            </w:r>
          </w:p>
        </w:tc>
        <w:tc>
          <w:tcPr>
            <w:tcW w:w="3520" w:type="dxa"/>
            <w:vAlign w:val="bottom"/>
          </w:tcPr>
          <w:p>
            <w:pPr>
              <w:ind w:left="700"/>
              <w:spacing w:after="0"/>
              <w:rPr>
                <w:sz w:val="20"/>
                <w:szCs w:val="20"/>
                <w:color w:val="auto"/>
              </w:rPr>
            </w:pPr>
            <w:r>
              <w:rPr>
                <w:rFonts w:ascii="Arial" w:cs="Arial" w:eastAsia="Arial" w:hAnsi="Arial"/>
                <w:sz w:val="14"/>
                <w:szCs w:val="14"/>
                <w:color w:val="auto"/>
              </w:rPr>
              <w:t>June 1 and December 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III</w:t>
            </w:r>
          </w:p>
        </w:tc>
        <w:tc>
          <w:tcPr>
            <w:tcW w:w="396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9.25%</w:t>
            </w:r>
          </w:p>
        </w:tc>
        <w:tc>
          <w:tcPr>
            <w:tcW w:w="35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February 1 and August 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Trust IV</w:t>
            </w:r>
          </w:p>
        </w:tc>
        <w:tc>
          <w:tcPr>
            <w:tcW w:w="3960" w:type="dxa"/>
            <w:vAlign w:val="bottom"/>
          </w:tcPr>
          <w:p>
            <w:pPr>
              <w:jc w:val="right"/>
              <w:ind w:right="832"/>
              <w:spacing w:after="0"/>
              <w:rPr>
                <w:sz w:val="20"/>
                <w:szCs w:val="20"/>
                <w:color w:val="auto"/>
              </w:rPr>
            </w:pPr>
            <w:r>
              <w:rPr>
                <w:rFonts w:ascii="Arial" w:cs="Arial" w:eastAsia="Arial" w:hAnsi="Arial"/>
                <w:sz w:val="14"/>
                <w:szCs w:val="14"/>
                <w:color w:val="auto"/>
              </w:rPr>
              <w:t>LIBOR plus 1.00%</w:t>
            </w:r>
          </w:p>
        </w:tc>
        <w:tc>
          <w:tcPr>
            <w:tcW w:w="3520" w:type="dxa"/>
            <w:vAlign w:val="bottom"/>
          </w:tcPr>
          <w:p>
            <w:pPr>
              <w:ind w:left="700"/>
              <w:spacing w:after="0"/>
              <w:rPr>
                <w:sz w:val="20"/>
                <w:szCs w:val="20"/>
                <w:color w:val="auto"/>
              </w:rPr>
            </w:pPr>
            <w:r>
              <w:rPr>
                <w:rFonts w:ascii="Arial" w:cs="Arial" w:eastAsia="Arial" w:hAnsi="Arial"/>
                <w:sz w:val="14"/>
                <w:szCs w:val="14"/>
                <w:color w:val="auto"/>
              </w:rPr>
              <w:t>January 15, April 15, July 15 and October 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V</w:t>
            </w:r>
          </w:p>
        </w:tc>
        <w:tc>
          <w:tcPr>
            <w:tcW w:w="396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LIBOR plus .85%</w:t>
            </w:r>
          </w:p>
        </w:tc>
        <w:tc>
          <w:tcPr>
            <w:tcW w:w="352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8"/>
              </w:rPr>
              <w:t>February 1, May 1, August 1 and November 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Trust VI</w:t>
            </w:r>
          </w:p>
        </w:tc>
        <w:tc>
          <w:tcPr>
            <w:tcW w:w="3960" w:type="dxa"/>
            <w:vAlign w:val="bottom"/>
          </w:tcPr>
          <w:p>
            <w:pPr>
              <w:jc w:val="right"/>
              <w:ind w:right="832"/>
              <w:spacing w:after="0"/>
              <w:rPr>
                <w:sz w:val="20"/>
                <w:szCs w:val="20"/>
                <w:color w:val="auto"/>
              </w:rPr>
            </w:pPr>
            <w:r>
              <w:rPr>
                <w:rFonts w:ascii="Arial" w:cs="Arial" w:eastAsia="Arial" w:hAnsi="Arial"/>
                <w:sz w:val="14"/>
                <w:szCs w:val="14"/>
                <w:color w:val="auto"/>
              </w:rPr>
              <w:t>8.125%</w:t>
            </w:r>
          </w:p>
        </w:tc>
        <w:tc>
          <w:tcPr>
            <w:tcW w:w="3520" w:type="dxa"/>
            <w:vAlign w:val="bottom"/>
          </w:tcPr>
          <w:p>
            <w:pPr>
              <w:ind w:left="700"/>
              <w:spacing w:after="0"/>
              <w:rPr>
                <w:sz w:val="20"/>
                <w:szCs w:val="20"/>
                <w:color w:val="auto"/>
              </w:rPr>
            </w:pPr>
            <w:r>
              <w:rPr>
                <w:rFonts w:ascii="Arial" w:cs="Arial" w:eastAsia="Arial" w:hAnsi="Arial"/>
                <w:sz w:val="14"/>
                <w:szCs w:val="14"/>
                <w:color w:val="auto"/>
              </w:rPr>
              <w:t>January 31 and July 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VII</w:t>
            </w:r>
          </w:p>
        </w:tc>
        <w:tc>
          <w:tcPr>
            <w:tcW w:w="396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LIBOR plus 3.35%</w:t>
            </w:r>
          </w:p>
        </w:tc>
        <w:tc>
          <w:tcPr>
            <w:tcW w:w="35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January 7, April 7, July 7 and October 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-759460</wp:posOffset>
            </wp:positionV>
            <wp:extent cx="1841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-759460</wp:posOffset>
            </wp:positionV>
            <wp:extent cx="1841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-759460</wp:posOffset>
            </wp:positionV>
            <wp:extent cx="1206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65" cy="6350"/>
                    </a:xfrm>
                    <a:prstGeom prst="rect">
                      <a:avLst/>
                    </a:prstGeom>
                    <a:noFill/>
                  </pic:spPr>
                </pic:pic>
              </a:graphicData>
            </a:graphic>
          </wp:anchor>
        </w:drawing>
      </w:r>
    </w:p>
    <w:p>
      <w:pPr>
        <w:spacing w:after="0" w:line="54" w:lineRule="exact"/>
        <w:rPr>
          <w:sz w:val="20"/>
          <w:szCs w:val="20"/>
          <w:color w:val="auto"/>
        </w:rPr>
      </w:pPr>
    </w:p>
    <w:p>
      <w:pPr>
        <w:ind w:left="680" w:right="960" w:firstLine="599"/>
        <w:spacing w:after="0" w:line="250" w:lineRule="auto"/>
        <w:rPr>
          <w:sz w:val="20"/>
          <w:szCs w:val="20"/>
          <w:color w:val="auto"/>
        </w:rPr>
      </w:pPr>
      <w:r>
        <w:rPr>
          <w:rFonts w:ascii="Arial" w:cs="Arial" w:eastAsia="Arial" w:hAnsi="Arial"/>
          <w:sz w:val="14"/>
          <w:szCs w:val="14"/>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1" w:lineRule="exact"/>
        <w:rPr>
          <w:sz w:val="20"/>
          <w:szCs w:val="20"/>
          <w:color w:val="auto"/>
        </w:rPr>
      </w:pPr>
    </w:p>
    <w:p>
      <w:pPr>
        <w:ind w:left="680" w:right="1300" w:firstLine="599"/>
        <w:spacing w:after="0" w:line="255" w:lineRule="auto"/>
        <w:rPr>
          <w:sz w:val="20"/>
          <w:szCs w:val="20"/>
          <w:color w:val="auto"/>
        </w:rPr>
      </w:pPr>
      <w:r>
        <w:rPr>
          <w:rFonts w:ascii="Arial" w:cs="Arial" w:eastAsia="Arial" w:hAnsi="Arial"/>
          <w:sz w:val="14"/>
          <w:szCs w:val="14"/>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00" w:type="dxa"/>
            <w:vAlign w:val="bottom"/>
            <w:gridSpan w:val="2"/>
            <w:vMerge w:val="restart"/>
          </w:tcPr>
          <w:p>
            <w:pPr>
              <w:ind w:left="680"/>
              <w:spacing w:after="0"/>
              <w:rPr>
                <w:sz w:val="20"/>
                <w:szCs w:val="20"/>
                <w:color w:val="auto"/>
              </w:rPr>
            </w:pPr>
            <w:r>
              <w:rPr>
                <w:rFonts w:ascii="Arial" w:cs="Arial" w:eastAsia="Arial" w:hAnsi="Arial"/>
                <w:sz w:val="10"/>
                <w:szCs w:val="10"/>
                <w:b w:val="1"/>
                <w:bCs w:val="1"/>
                <w:color w:val="auto"/>
              </w:rPr>
              <w:t>Trust</w:t>
            </w:r>
          </w:p>
        </w:tc>
        <w:tc>
          <w:tcPr>
            <w:tcW w:w="2880" w:type="dxa"/>
            <w:vAlign w:val="bottom"/>
          </w:tcPr>
          <w:p>
            <w:pPr>
              <w:ind w:left="2080"/>
              <w:spacing w:after="0"/>
              <w:rPr>
                <w:sz w:val="20"/>
                <w:szCs w:val="20"/>
                <w:color w:val="auto"/>
              </w:rPr>
            </w:pPr>
            <w:r>
              <w:rPr>
                <w:rFonts w:ascii="Arial" w:cs="Arial" w:eastAsia="Arial" w:hAnsi="Arial"/>
                <w:sz w:val="10"/>
                <w:szCs w:val="10"/>
                <w:b w:val="1"/>
                <w:bCs w:val="1"/>
                <w:color w:val="auto"/>
              </w:rPr>
              <w:t>Capital</w:t>
            </w:r>
          </w:p>
        </w:tc>
        <w:tc>
          <w:tcPr>
            <w:tcW w:w="1460" w:type="dxa"/>
            <w:vAlign w:val="bottom"/>
          </w:tcPr>
          <w:p>
            <w:pPr>
              <w:ind w:left="600"/>
              <w:spacing w:after="0"/>
              <w:rPr>
                <w:sz w:val="20"/>
                <w:szCs w:val="20"/>
                <w:color w:val="auto"/>
              </w:rPr>
            </w:pPr>
            <w:r>
              <w:rPr>
                <w:rFonts w:ascii="Arial" w:cs="Arial" w:eastAsia="Arial" w:hAnsi="Arial"/>
                <w:sz w:val="10"/>
                <w:szCs w:val="10"/>
                <w:b w:val="1"/>
                <w:bCs w:val="1"/>
                <w:color w:val="auto"/>
              </w:rPr>
              <w:t>Common</w:t>
            </w:r>
          </w:p>
        </w:tc>
        <w:tc>
          <w:tcPr>
            <w:tcW w:w="3420" w:type="dxa"/>
            <w:vAlign w:val="bottom"/>
            <w:vMerge w:val="restart"/>
          </w:tcPr>
          <w:p>
            <w:pPr>
              <w:ind w:left="1820"/>
              <w:spacing w:after="0"/>
              <w:rPr>
                <w:sz w:val="20"/>
                <w:szCs w:val="20"/>
                <w:color w:val="auto"/>
              </w:rPr>
            </w:pPr>
            <w:r>
              <w:rPr>
                <w:rFonts w:ascii="Arial" w:cs="Arial" w:eastAsia="Arial" w:hAnsi="Arial"/>
                <w:sz w:val="10"/>
                <w:szCs w:val="10"/>
                <w:b w:val="1"/>
                <w:bCs w:val="1"/>
                <w:u w:val="single" w:color="auto"/>
                <w:color w:val="auto"/>
              </w:rPr>
              <w:t>J</w:t>
            </w:r>
            <w:r>
              <w:rPr>
                <w:rFonts w:ascii="Arial" w:cs="Arial" w:eastAsia="Arial" w:hAnsi="Arial"/>
                <w:sz w:val="10"/>
                <w:szCs w:val="10"/>
                <w:b w:val="1"/>
                <w:bCs w:val="1"/>
                <w:color w:val="auto"/>
              </w:rPr>
              <w:t>unior Subordinated Debentures</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00" w:type="dxa"/>
            <w:vAlign w:val="bottom"/>
            <w:gridSpan w:val="2"/>
            <w:vMerge w:val="continue"/>
          </w:tcPr>
          <w:p>
            <w:pPr>
              <w:spacing w:after="0"/>
              <w:rPr>
                <w:sz w:val="11"/>
                <w:szCs w:val="11"/>
                <w:color w:val="auto"/>
              </w:rPr>
            </w:pPr>
          </w:p>
        </w:tc>
        <w:tc>
          <w:tcPr>
            <w:tcW w:w="2880" w:type="dxa"/>
            <w:vAlign w:val="bottom"/>
          </w:tcPr>
          <w:p>
            <w:pPr>
              <w:ind w:left="2240"/>
              <w:spacing w:after="0"/>
              <w:rPr>
                <w:sz w:val="20"/>
                <w:szCs w:val="20"/>
                <w:color w:val="auto"/>
              </w:rPr>
            </w:pPr>
            <w:r>
              <w:rPr>
                <w:rFonts w:ascii="Arial" w:cs="Arial" w:eastAsia="Arial" w:hAnsi="Arial"/>
                <w:sz w:val="10"/>
                <w:szCs w:val="10"/>
                <w:b w:val="1"/>
                <w:bCs w:val="1"/>
                <w:color w:val="auto"/>
              </w:rPr>
              <w:t>Securities</w:t>
            </w:r>
          </w:p>
        </w:tc>
        <w:tc>
          <w:tcPr>
            <w:tcW w:w="1460" w:type="dxa"/>
            <w:vAlign w:val="bottom"/>
          </w:tcPr>
          <w:p>
            <w:pPr>
              <w:ind w:left="800"/>
              <w:spacing w:after="0"/>
              <w:rPr>
                <w:sz w:val="20"/>
                <w:szCs w:val="20"/>
                <w:color w:val="auto"/>
              </w:rPr>
            </w:pPr>
            <w:r>
              <w:rPr>
                <w:rFonts w:ascii="Arial" w:cs="Arial" w:eastAsia="Arial" w:hAnsi="Arial"/>
                <w:sz w:val="10"/>
                <w:szCs w:val="10"/>
                <w:b w:val="1"/>
                <w:bCs w:val="1"/>
                <w:color w:val="auto"/>
              </w:rPr>
              <w:t>Securities</w:t>
            </w:r>
          </w:p>
        </w:tc>
        <w:tc>
          <w:tcPr>
            <w:tcW w:w="34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700" w:type="dxa"/>
            <w:vAlign w:val="bottom"/>
            <w:vMerge w:val="restart"/>
          </w:tcPr>
          <w:p>
            <w:pPr>
              <w:spacing w:after="0"/>
              <w:rPr>
                <w:sz w:val="4"/>
                <w:szCs w:val="4"/>
                <w:color w:val="auto"/>
              </w:rPr>
            </w:pPr>
          </w:p>
        </w:tc>
        <w:tc>
          <w:tcPr>
            <w:tcW w:w="22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700" w:type="dxa"/>
            <w:vAlign w:val="bottom"/>
            <w:vMerge w:val="continue"/>
          </w:tcPr>
          <w:p>
            <w:pPr>
              <w:spacing w:after="0"/>
              <w:rPr>
                <w:sz w:val="13"/>
                <w:szCs w:val="13"/>
                <w:color w:val="auto"/>
              </w:rPr>
            </w:pPr>
          </w:p>
        </w:tc>
        <w:tc>
          <w:tcPr>
            <w:tcW w:w="22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Trust I</w:t>
            </w:r>
          </w:p>
        </w:tc>
        <w:tc>
          <w:tcPr>
            <w:tcW w:w="2880" w:type="dxa"/>
            <w:vAlign w:val="bottom"/>
            <w:shd w:val="clear" w:color="auto" w:fill="CCEEFF"/>
          </w:tcPr>
          <w:p>
            <w:pPr>
              <w:ind w:left="1680"/>
              <w:spacing w:after="0" w:line="151" w:lineRule="exact"/>
              <w:rPr>
                <w:sz w:val="20"/>
                <w:szCs w:val="20"/>
                <w:color w:val="auto"/>
              </w:rPr>
            </w:pPr>
            <w:r>
              <w:rPr>
                <w:rFonts w:ascii="Arial" w:cs="Arial" w:eastAsia="Arial" w:hAnsi="Arial"/>
                <w:sz w:val="14"/>
                <w:szCs w:val="14"/>
                <w:color w:val="auto"/>
              </w:rPr>
              <w:t>$150 million</w:t>
            </w:r>
          </w:p>
        </w:tc>
        <w:tc>
          <w:tcPr>
            <w:tcW w:w="146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$4.64 million</w:t>
            </w:r>
          </w:p>
        </w:tc>
        <w:tc>
          <w:tcPr>
            <w:tcW w:w="342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rPr>
              <w:t>$154.64 million aggregate liquidation amount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2"/>
              </w:rPr>
              <w:t>8.234% Junior Subordinated Debentures due February</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1, 2027.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2200" w:type="dxa"/>
            <w:vAlign w:val="bottom"/>
          </w:tcPr>
          <w:p>
            <w:pPr>
              <w:spacing w:after="0" w:line="151" w:lineRule="exact"/>
              <w:rPr>
                <w:sz w:val="20"/>
                <w:szCs w:val="20"/>
                <w:color w:val="auto"/>
              </w:rPr>
            </w:pPr>
            <w:r>
              <w:rPr>
                <w:rFonts w:ascii="Arial" w:cs="Arial" w:eastAsia="Arial" w:hAnsi="Arial"/>
                <w:sz w:val="14"/>
                <w:szCs w:val="14"/>
                <w:color w:val="auto"/>
              </w:rPr>
              <w:t>Trust II</w:t>
            </w:r>
          </w:p>
        </w:tc>
        <w:tc>
          <w:tcPr>
            <w:tcW w:w="2880" w:type="dxa"/>
            <w:vAlign w:val="bottom"/>
          </w:tcPr>
          <w:p>
            <w:pPr>
              <w:ind w:left="1680"/>
              <w:spacing w:after="0" w:line="151" w:lineRule="exact"/>
              <w:rPr>
                <w:sz w:val="20"/>
                <w:szCs w:val="20"/>
                <w:color w:val="auto"/>
              </w:rPr>
            </w:pPr>
            <w:r>
              <w:rPr>
                <w:rFonts w:ascii="Arial" w:cs="Arial" w:eastAsia="Arial" w:hAnsi="Arial"/>
                <w:sz w:val="14"/>
                <w:szCs w:val="14"/>
                <w:color w:val="auto"/>
              </w:rPr>
              <w:t>$100 million</w:t>
            </w:r>
          </w:p>
        </w:tc>
        <w:tc>
          <w:tcPr>
            <w:tcW w:w="1460" w:type="dxa"/>
            <w:vAlign w:val="bottom"/>
          </w:tcPr>
          <w:p>
            <w:pPr>
              <w:ind w:left="200"/>
              <w:spacing w:after="0" w:line="151" w:lineRule="exact"/>
              <w:rPr>
                <w:sz w:val="20"/>
                <w:szCs w:val="20"/>
                <w:color w:val="auto"/>
              </w:rPr>
            </w:pPr>
            <w:r>
              <w:rPr>
                <w:rFonts w:ascii="Arial" w:cs="Arial" w:eastAsia="Arial" w:hAnsi="Arial"/>
                <w:sz w:val="14"/>
                <w:szCs w:val="14"/>
                <w:color w:val="auto"/>
              </w:rPr>
              <w:t>$3.09 million</w:t>
            </w:r>
          </w:p>
        </w:tc>
        <w:tc>
          <w:tcPr>
            <w:tcW w:w="3420" w:type="dxa"/>
            <w:vAlign w:val="bottom"/>
          </w:tcPr>
          <w:p>
            <w:pPr>
              <w:ind w:left="240"/>
              <w:spacing w:after="0" w:line="151" w:lineRule="exact"/>
              <w:rPr>
                <w:sz w:val="20"/>
                <w:szCs w:val="20"/>
                <w:color w:val="auto"/>
              </w:rPr>
            </w:pPr>
            <w:r>
              <w:rPr>
                <w:rFonts w:ascii="Arial" w:cs="Arial" w:eastAsia="Arial" w:hAnsi="Arial"/>
                <w:sz w:val="14"/>
                <w:szCs w:val="14"/>
                <w:color w:val="auto"/>
              </w:rPr>
              <w:t>$103.09 million aggregate liquidation amount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ind w:left="240"/>
              <w:spacing w:after="0"/>
              <w:rPr>
                <w:sz w:val="20"/>
                <w:szCs w:val="20"/>
                <w:color w:val="auto"/>
              </w:rPr>
            </w:pPr>
            <w:r>
              <w:rPr>
                <w:rFonts w:ascii="Arial" w:cs="Arial" w:eastAsia="Arial" w:hAnsi="Arial"/>
                <w:sz w:val="14"/>
                <w:szCs w:val="14"/>
                <w:color w:val="auto"/>
                <w:w w:val="95"/>
              </w:rPr>
              <w:t>8.277% Junior Subordinated Debentures due June 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20" w:type="dxa"/>
            <w:vAlign w:val="bottom"/>
          </w:tcPr>
          <w:p>
            <w:pPr>
              <w:ind w:left="240"/>
              <w:spacing w:after="0"/>
              <w:rPr>
                <w:sz w:val="20"/>
                <w:szCs w:val="20"/>
                <w:color w:val="auto"/>
              </w:rPr>
            </w:pPr>
            <w:r>
              <w:rPr>
                <w:rFonts w:ascii="Arial" w:cs="Arial" w:eastAsia="Arial" w:hAnsi="Arial"/>
                <w:sz w:val="14"/>
                <w:szCs w:val="14"/>
                <w:color w:val="auto"/>
              </w:rPr>
              <w:t>2027.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22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Trust III</w:t>
            </w:r>
          </w:p>
        </w:tc>
        <w:tc>
          <w:tcPr>
            <w:tcW w:w="2880" w:type="dxa"/>
            <w:vAlign w:val="bottom"/>
            <w:shd w:val="clear" w:color="auto" w:fill="CCEEFF"/>
          </w:tcPr>
          <w:p>
            <w:pPr>
              <w:ind w:left="1680"/>
              <w:spacing w:after="0" w:line="151" w:lineRule="exact"/>
              <w:rPr>
                <w:sz w:val="20"/>
                <w:szCs w:val="20"/>
                <w:color w:val="auto"/>
              </w:rPr>
            </w:pPr>
            <w:r>
              <w:rPr>
                <w:rFonts w:ascii="Arial" w:cs="Arial" w:eastAsia="Arial" w:hAnsi="Arial"/>
                <w:sz w:val="14"/>
                <w:szCs w:val="14"/>
                <w:color w:val="auto"/>
              </w:rPr>
              <w:t>$60 million</w:t>
            </w:r>
          </w:p>
        </w:tc>
        <w:tc>
          <w:tcPr>
            <w:tcW w:w="146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$1.856 million</w:t>
            </w:r>
          </w:p>
        </w:tc>
        <w:tc>
          <w:tcPr>
            <w:tcW w:w="342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w w:val="93"/>
              </w:rPr>
              <w:t>$61.856 million aggregate liquidation amount of 9.25%</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2"/>
              </w:rPr>
              <w:t>Junior Subordinated Debentures due February 1, 2027.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2200" w:type="dxa"/>
            <w:vAlign w:val="bottom"/>
          </w:tcPr>
          <w:p>
            <w:pPr>
              <w:spacing w:after="0" w:line="151" w:lineRule="exact"/>
              <w:rPr>
                <w:sz w:val="20"/>
                <w:szCs w:val="20"/>
                <w:color w:val="auto"/>
              </w:rPr>
            </w:pPr>
            <w:r>
              <w:rPr>
                <w:rFonts w:ascii="Arial" w:cs="Arial" w:eastAsia="Arial" w:hAnsi="Arial"/>
                <w:sz w:val="14"/>
                <w:szCs w:val="14"/>
                <w:color w:val="auto"/>
              </w:rPr>
              <w:t>Trust IV</w:t>
            </w:r>
          </w:p>
        </w:tc>
        <w:tc>
          <w:tcPr>
            <w:tcW w:w="2880" w:type="dxa"/>
            <w:vAlign w:val="bottom"/>
          </w:tcPr>
          <w:p>
            <w:pPr>
              <w:ind w:left="1680"/>
              <w:spacing w:after="0" w:line="151" w:lineRule="exact"/>
              <w:rPr>
                <w:sz w:val="20"/>
                <w:szCs w:val="20"/>
                <w:color w:val="auto"/>
              </w:rPr>
            </w:pPr>
            <w:r>
              <w:rPr>
                <w:rFonts w:ascii="Arial" w:cs="Arial" w:eastAsia="Arial" w:hAnsi="Arial"/>
                <w:sz w:val="14"/>
                <w:szCs w:val="14"/>
                <w:color w:val="auto"/>
              </w:rPr>
              <w:t>$150 million</w:t>
            </w:r>
          </w:p>
        </w:tc>
        <w:tc>
          <w:tcPr>
            <w:tcW w:w="1460" w:type="dxa"/>
            <w:vAlign w:val="bottom"/>
          </w:tcPr>
          <w:p>
            <w:pPr>
              <w:ind w:left="200"/>
              <w:spacing w:after="0" w:line="151" w:lineRule="exact"/>
              <w:rPr>
                <w:sz w:val="20"/>
                <w:szCs w:val="20"/>
                <w:color w:val="auto"/>
              </w:rPr>
            </w:pPr>
            <w:r>
              <w:rPr>
                <w:rFonts w:ascii="Arial" w:cs="Arial" w:eastAsia="Arial" w:hAnsi="Arial"/>
                <w:sz w:val="14"/>
                <w:szCs w:val="14"/>
                <w:color w:val="auto"/>
              </w:rPr>
              <w:t>$4.64 million</w:t>
            </w:r>
          </w:p>
        </w:tc>
        <w:tc>
          <w:tcPr>
            <w:tcW w:w="3420" w:type="dxa"/>
            <w:vAlign w:val="bottom"/>
          </w:tcPr>
          <w:p>
            <w:pPr>
              <w:ind w:left="240"/>
              <w:spacing w:after="0" w:line="151" w:lineRule="exact"/>
              <w:rPr>
                <w:sz w:val="20"/>
                <w:szCs w:val="20"/>
                <w:color w:val="auto"/>
              </w:rPr>
            </w:pPr>
            <w:r>
              <w:rPr>
                <w:rFonts w:ascii="Arial" w:cs="Arial" w:eastAsia="Arial" w:hAnsi="Arial"/>
                <w:sz w:val="14"/>
                <w:szCs w:val="14"/>
                <w:color w:val="auto"/>
              </w:rPr>
              <w:t>$154.64 million aggregate liquidation amount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ind w:left="240"/>
              <w:spacing w:after="0"/>
              <w:rPr>
                <w:sz w:val="20"/>
                <w:szCs w:val="20"/>
                <w:color w:val="auto"/>
              </w:rPr>
            </w:pPr>
            <w:r>
              <w:rPr>
                <w:rFonts w:ascii="Arial" w:cs="Arial" w:eastAsia="Arial" w:hAnsi="Arial"/>
                <w:sz w:val="14"/>
                <w:szCs w:val="14"/>
                <w:color w:val="auto"/>
              </w:rPr>
              <w:t>floating rate Junior Subordinated Debentures due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20" w:type="dxa"/>
            <w:vAlign w:val="bottom"/>
          </w:tcPr>
          <w:p>
            <w:pPr>
              <w:ind w:left="240"/>
              <w:spacing w:after="0"/>
              <w:rPr>
                <w:sz w:val="20"/>
                <w:szCs w:val="20"/>
                <w:color w:val="auto"/>
              </w:rPr>
            </w:pPr>
            <w:r>
              <w:rPr>
                <w:rFonts w:ascii="Arial" w:cs="Arial" w:eastAsia="Arial" w:hAnsi="Arial"/>
                <w:sz w:val="14"/>
                <w:szCs w:val="14"/>
                <w:color w:val="auto"/>
              </w:rPr>
              <w:t>January 15, 2027.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22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Trust V</w:t>
            </w:r>
          </w:p>
        </w:tc>
        <w:tc>
          <w:tcPr>
            <w:tcW w:w="2880" w:type="dxa"/>
            <w:vAlign w:val="bottom"/>
            <w:shd w:val="clear" w:color="auto" w:fill="CCEEFF"/>
          </w:tcPr>
          <w:p>
            <w:pPr>
              <w:ind w:left="1680"/>
              <w:spacing w:after="0" w:line="151" w:lineRule="exact"/>
              <w:rPr>
                <w:sz w:val="20"/>
                <w:szCs w:val="20"/>
                <w:color w:val="auto"/>
              </w:rPr>
            </w:pPr>
            <w:r>
              <w:rPr>
                <w:rFonts w:ascii="Arial" w:cs="Arial" w:eastAsia="Arial" w:hAnsi="Arial"/>
                <w:sz w:val="14"/>
                <w:szCs w:val="14"/>
                <w:color w:val="auto"/>
              </w:rPr>
              <w:t>$150 million</w:t>
            </w:r>
          </w:p>
        </w:tc>
        <w:tc>
          <w:tcPr>
            <w:tcW w:w="146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$4.64 million</w:t>
            </w:r>
          </w:p>
        </w:tc>
        <w:tc>
          <w:tcPr>
            <w:tcW w:w="342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rPr>
              <w:t>$154.64 million aggregate liquidation amount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floating rate Junior Subordinated Debentures due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February 1, 2027.</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2200" w:type="dxa"/>
            <w:vAlign w:val="bottom"/>
          </w:tcPr>
          <w:p>
            <w:pPr>
              <w:spacing w:after="0" w:line="151" w:lineRule="exact"/>
              <w:rPr>
                <w:sz w:val="20"/>
                <w:szCs w:val="20"/>
                <w:color w:val="auto"/>
              </w:rPr>
            </w:pPr>
            <w:r>
              <w:rPr>
                <w:rFonts w:ascii="Arial" w:cs="Arial" w:eastAsia="Arial" w:hAnsi="Arial"/>
                <w:sz w:val="14"/>
                <w:szCs w:val="14"/>
                <w:color w:val="auto"/>
              </w:rPr>
              <w:t>Trust VI</w:t>
            </w:r>
          </w:p>
        </w:tc>
        <w:tc>
          <w:tcPr>
            <w:tcW w:w="2880" w:type="dxa"/>
            <w:vAlign w:val="bottom"/>
          </w:tcPr>
          <w:p>
            <w:pPr>
              <w:ind w:left="1680"/>
              <w:spacing w:after="0" w:line="151" w:lineRule="exact"/>
              <w:rPr>
                <w:sz w:val="20"/>
                <w:szCs w:val="20"/>
                <w:color w:val="auto"/>
              </w:rPr>
            </w:pPr>
            <w:r>
              <w:rPr>
                <w:rFonts w:ascii="Arial" w:cs="Arial" w:eastAsia="Arial" w:hAnsi="Arial"/>
                <w:sz w:val="14"/>
                <w:szCs w:val="14"/>
                <w:color w:val="auto"/>
              </w:rPr>
              <w:t>$16.5 million</w:t>
            </w:r>
          </w:p>
        </w:tc>
        <w:tc>
          <w:tcPr>
            <w:tcW w:w="1460" w:type="dxa"/>
            <w:vAlign w:val="bottom"/>
          </w:tcPr>
          <w:p>
            <w:pPr>
              <w:ind w:left="200"/>
              <w:spacing w:after="0" w:line="151" w:lineRule="exact"/>
              <w:rPr>
                <w:sz w:val="20"/>
                <w:szCs w:val="20"/>
                <w:color w:val="auto"/>
              </w:rPr>
            </w:pPr>
            <w:r>
              <w:rPr>
                <w:rFonts w:ascii="Arial" w:cs="Arial" w:eastAsia="Arial" w:hAnsi="Arial"/>
                <w:sz w:val="14"/>
                <w:szCs w:val="14"/>
                <w:color w:val="auto"/>
              </w:rPr>
              <w:t>$.928 million</w:t>
            </w:r>
          </w:p>
        </w:tc>
        <w:tc>
          <w:tcPr>
            <w:tcW w:w="3420" w:type="dxa"/>
            <w:vAlign w:val="bottom"/>
          </w:tcPr>
          <w:p>
            <w:pPr>
              <w:ind w:left="240"/>
              <w:spacing w:after="0" w:line="151" w:lineRule="exact"/>
              <w:rPr>
                <w:sz w:val="20"/>
                <w:szCs w:val="20"/>
                <w:color w:val="auto"/>
              </w:rPr>
            </w:pPr>
            <w:r>
              <w:rPr>
                <w:rFonts w:ascii="Arial" w:cs="Arial" w:eastAsia="Arial" w:hAnsi="Arial"/>
                <w:sz w:val="14"/>
                <w:szCs w:val="14"/>
                <w:color w:val="auto"/>
              </w:rPr>
              <w:t>$17.428 million aggregate liquidation amount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ind w:left="240"/>
              <w:spacing w:after="0"/>
              <w:rPr>
                <w:sz w:val="20"/>
                <w:szCs w:val="20"/>
                <w:color w:val="auto"/>
              </w:rPr>
            </w:pPr>
            <w:r>
              <w:rPr>
                <w:rFonts w:ascii="Arial" w:cs="Arial" w:eastAsia="Arial" w:hAnsi="Arial"/>
                <w:sz w:val="14"/>
                <w:szCs w:val="14"/>
                <w:color w:val="auto"/>
                <w:w w:val="95"/>
              </w:rPr>
              <w:t>8.125% Junior Subordinated Debentures due July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20" w:type="dxa"/>
            <w:vAlign w:val="bottom"/>
          </w:tcPr>
          <w:p>
            <w:pPr>
              <w:ind w:left="240"/>
              <w:spacing w:after="0"/>
              <w:rPr>
                <w:sz w:val="20"/>
                <w:szCs w:val="20"/>
                <w:color w:val="auto"/>
              </w:rPr>
            </w:pPr>
            <w:r>
              <w:rPr>
                <w:rFonts w:ascii="Arial" w:cs="Arial" w:eastAsia="Arial" w:hAnsi="Arial"/>
                <w:sz w:val="14"/>
                <w:szCs w:val="14"/>
                <w:color w:val="auto"/>
              </w:rPr>
              <w:t>2028.</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22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Trust VII</w:t>
            </w:r>
          </w:p>
        </w:tc>
        <w:tc>
          <w:tcPr>
            <w:tcW w:w="2880" w:type="dxa"/>
            <w:vAlign w:val="bottom"/>
            <w:shd w:val="clear" w:color="auto" w:fill="CCEEFF"/>
          </w:tcPr>
          <w:p>
            <w:pPr>
              <w:ind w:left="1680"/>
              <w:spacing w:after="0" w:line="151" w:lineRule="exact"/>
              <w:rPr>
                <w:sz w:val="20"/>
                <w:szCs w:val="20"/>
                <w:color w:val="auto"/>
              </w:rPr>
            </w:pPr>
            <w:r>
              <w:rPr>
                <w:rFonts w:ascii="Arial" w:cs="Arial" w:eastAsia="Arial" w:hAnsi="Arial"/>
                <w:sz w:val="14"/>
                <w:szCs w:val="14"/>
                <w:color w:val="auto"/>
              </w:rPr>
              <w:t>$15 million</w:t>
            </w:r>
          </w:p>
        </w:tc>
        <w:tc>
          <w:tcPr>
            <w:tcW w:w="146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$.464 million</w:t>
            </w:r>
          </w:p>
        </w:tc>
        <w:tc>
          <w:tcPr>
            <w:tcW w:w="342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rPr>
              <w:t>$15.464 million aggregate liquidation amount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floating rate Junior Subordinated Debentures due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January 7, 2033.</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ind w:left="3260"/>
              <w:spacing w:after="0"/>
              <w:rPr>
                <w:sz w:val="20"/>
                <w:szCs w:val="20"/>
                <w:color w:val="auto"/>
              </w:rPr>
            </w:pPr>
            <w:r>
              <w:rPr>
                <w:rFonts w:ascii="Arial" w:cs="Arial" w:eastAsia="Arial" w:hAnsi="Arial"/>
                <w:sz w:val="10"/>
                <w:szCs w:val="10"/>
                <w:color w:val="auto"/>
                <w:w w:val="83"/>
              </w:rPr>
              <w:t>111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220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-2416810</wp:posOffset>
            </wp:positionV>
            <wp:extent cx="1841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-2416810</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-2416810</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The Junior Subordinated Debentures represent the sole assets of each Trust and payments under the Junior Subordinated Debentures are the sole source of cash flow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each Trust. The financial statement carrying values of junior subordinated debentures associated with preferred capital securities at December 31, 2007 and 2006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Trust III, Trust IV, Trust V, Trust VI and Trust VII include the unamortized portions of purchase accounting adjustments to reflect estimated fair value as of the date of M&amp;T’s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acquisition of the common securities of each respective trust. The interest rates payable on the Junior Subordinated Debentures of Trust IV, Trust V and Trust VII were 6.24%,</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5.76% and 8.59%, respectively, at December 31, 2007 and for Trust IV and Trust V were 6.37% and 6.22%, respectively, at December 31, 2006.</w:t>
      </w:r>
    </w:p>
    <w:p>
      <w:pPr>
        <w:spacing w:after="0" w:line="3"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Trust III and Trust VI) or twenty quarterly periods (in the case of Trust IV, Trust V and Trust VII),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3" w:lineRule="exact"/>
        <w:rPr>
          <w:sz w:val="20"/>
          <w:szCs w:val="20"/>
          <w:color w:val="auto"/>
        </w:rPr>
      </w:pPr>
    </w:p>
    <w:p>
      <w:pPr>
        <w:ind w:left="680" w:right="200" w:firstLine="599"/>
        <w:spacing w:after="0" w:line="244" w:lineRule="auto"/>
        <w:rPr>
          <w:sz w:val="20"/>
          <w:szCs w:val="20"/>
          <w:color w:val="auto"/>
        </w:rPr>
      </w:pPr>
      <w:r>
        <w:rPr>
          <w:rFonts w:ascii="Arial" w:cs="Arial" w:eastAsia="Arial" w:hAnsi="Arial"/>
          <w:sz w:val="14"/>
          <w:szCs w:val="14"/>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contemporaneously with the optional redemption of the related Junior Subordinated Debentures in whole or in part, subject to possible regulatory approval.</w:t>
      </w:r>
    </w:p>
    <w:p>
      <w:pPr>
        <w:spacing w:after="0" w:line="2"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6.67% and 6.80% at December 31, 2007 and 2006, respectively.</w:t>
      </w:r>
    </w:p>
    <w:p>
      <w:pPr>
        <w:spacing w:after="0" w:line="3"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60"/>
        <w:spacing w:after="0" w:line="272" w:lineRule="auto"/>
        <w:rPr>
          <w:sz w:val="20"/>
          <w:szCs w:val="20"/>
          <w:color w:val="auto"/>
        </w:rPr>
      </w:pPr>
      <w:r>
        <w:rPr>
          <w:rFonts w:ascii="Arial" w:cs="Arial" w:eastAsia="Arial" w:hAnsi="Arial"/>
          <w:sz w:val="13"/>
          <w:szCs w:val="13"/>
          <w:color w:val="auto"/>
        </w:rPr>
        <w:t>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Long-term borrowings at December 31, 2007 mature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2008</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2,233,423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1,890,236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577,906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1,543,523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3,853,511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10,317,945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80" w:hanging="495"/>
        <w:spacing w:after="0"/>
        <w:tabs>
          <w:tab w:leader="none" w:pos="118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The Company recognizes expense for stock-based compensation using the fair value method of accounting. Stock-based compensation expense recognized by the Company in each of 2007 and 2006 was $51 million, and was $45 million in 2005. The Company recognized $12 million, $13 million and $11 million in 2007, 2006 and 2005, respectively, of income tax benefits related to stock-based compensation. As required, coincident with the adoption of SFAS No. 123R, the Company began accelerating the recognition of compensation costs for stock-based awards granted to retirement-eligible employees and employees who become retirement-eligible prior to full vesting of the award because the Company’s incentive compensation plans allow for vesting at the time an employee retires. Stock-based compensation granted to retirement-eligible individuals through December 31, 2005 was expensed over the normal vesting period with any remaining unrecognized compensation cost recognized at the time of retirement. This change affected the timing of stock-based compensation expense recognition in the Company’s consolidated financial statements for years after 2005, but did not affect the value ascribed to stock-based compensation granted to employees nor the aggregate amount of stock-based compensation expense to be recognized by the Company. The acceleration of such expense was the primary reason for the higher stock-based compensation expense in 2007 and 2006 as compared with 2005.</w:t>
      </w:r>
    </w:p>
    <w:p>
      <w:pPr>
        <w:spacing w:after="0" w:line="2" w:lineRule="exact"/>
        <w:rPr>
          <w:sz w:val="20"/>
          <w:szCs w:val="20"/>
          <w:color w:val="auto"/>
        </w:rPr>
      </w:pPr>
    </w:p>
    <w:p>
      <w:pPr>
        <w:ind w:left="680" w:right="40" w:firstLine="599"/>
        <w:spacing w:after="0" w:line="302" w:lineRule="auto"/>
        <w:rPr>
          <w:sz w:val="20"/>
          <w:szCs w:val="20"/>
          <w:color w:val="auto"/>
        </w:rPr>
      </w:pPr>
      <w:r>
        <w:rPr>
          <w:rFonts w:ascii="Arial" w:cs="Arial" w:eastAsia="Arial" w:hAnsi="Arial"/>
          <w:sz w:val="12"/>
          <w:szCs w:val="12"/>
          <w:color w:val="auto"/>
        </w:rPr>
        <w:t>The Company’s 2005 Incentive Compensation Plan allows for the issuance of various forms of stock-based compensation, including stock options, restricted stock and performance-based awards. Through December 31, 2007, only stock-based compensation awards, including stock options and restricted stock, that vest with the passage of time as service is provided have been issued. The 2005 Incentive Compensation Plan allows for share grants not to exceed 6,000,000 shares of stock plus the shares that remained available for grant under a prior plan. At December 31, 2007 and 2006, respectively, there were 5,685,802 and 7,199,903 shares available for future grant.</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option awards</w:t>
      </w:r>
    </w:p>
    <w:p>
      <w:pPr>
        <w:spacing w:after="0" w:line="15" w:lineRule="exact"/>
        <w:rPr>
          <w:sz w:val="20"/>
          <w:szCs w:val="20"/>
          <w:color w:val="auto"/>
        </w:rPr>
      </w:pPr>
    </w:p>
    <w:p>
      <w:pPr>
        <w:jc w:val="both"/>
        <w:ind w:left="680" w:right="360"/>
        <w:spacing w:after="0" w:line="244" w:lineRule="auto"/>
        <w:rPr>
          <w:sz w:val="20"/>
          <w:szCs w:val="20"/>
          <w:color w:val="auto"/>
        </w:rPr>
      </w:pPr>
      <w:r>
        <w:rPr>
          <w:rFonts w:ascii="Arial" w:cs="Arial" w:eastAsia="Arial" w:hAnsi="Arial"/>
          <w:sz w:val="14"/>
          <w:szCs w:val="14"/>
          <w:color w:val="auto"/>
        </w:rPr>
        <w:t>Stock options issued generally vest over four years and are exercisable over terms not exceeding ten years and one day. In 2005, the Company granted 125,600 options to substantially all employees who had not been previously receiving awards. The options granted under that award vest three years after grant date and are exercisable for a period of seven years thereafter.</w:t>
      </w:r>
    </w:p>
    <w:p>
      <w:pPr>
        <w:spacing w:after="0" w:line="1" w:lineRule="exact"/>
        <w:rPr>
          <w:sz w:val="20"/>
          <w:szCs w:val="20"/>
          <w:color w:val="auto"/>
        </w:rPr>
      </w:pPr>
    </w:p>
    <w:p>
      <w:pPr>
        <w:ind w:left="680" w:right="40" w:firstLine="599"/>
        <w:spacing w:after="0" w:line="270" w:lineRule="auto"/>
        <w:rPr>
          <w:sz w:val="20"/>
          <w:szCs w:val="20"/>
          <w:color w:val="auto"/>
        </w:rPr>
      </w:pPr>
      <w:r>
        <w:rPr>
          <w:rFonts w:ascii="Arial" w:cs="Arial" w:eastAsia="Arial" w:hAnsi="Arial"/>
          <w:sz w:val="13"/>
          <w:szCs w:val="13"/>
          <w:color w:val="auto"/>
        </w:rPr>
        <w:t>The Company used an option pricing model to estimate the grant date present value of stock options granted. The weighted-average estimated grant date value per option was $28.59 in 2007, $28.10 in 2006 and $22.96 in 2005. The values were calculated using the following weighted-average assumptions: an option term of 6.5 years (representing the estimated period between grant date and exercise date based on historical data); a risk-free interest rate of 4.79% in 2007, 4.28% in 2006 and 3.95% in 2005 (representing the yield on a U.S. Treasury security with a remaining term equal to the expected option term); expected volatility of 21% in 2007, 24% in 2006 and 21% in 2005 (based on historical volatility of M&amp;T’s common stock price); and estimated dividend yields of 1.98% in 2007, 1.65% in 2006</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and 1.57% in 2005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in 2007 and 2006, and 8% in 2005 to reflect the probability of forfeiture prior to vesting. Aggregate fair value of options expected to vest that were granted in 2007, 2006 and 2005 were $48 million, $49 million and $41 million, respectively.</w:t>
      </w:r>
    </w:p>
    <w:p>
      <w:pPr>
        <w:ind w:left="1280"/>
        <w:spacing w:after="0"/>
        <w:rPr>
          <w:sz w:val="20"/>
          <w:szCs w:val="20"/>
          <w:color w:val="auto"/>
        </w:rPr>
      </w:pPr>
      <w:r>
        <w:rPr>
          <w:rFonts w:ascii="Arial" w:cs="Arial" w:eastAsia="Arial" w:hAnsi="Arial"/>
          <w:sz w:val="14"/>
          <w:szCs w:val="14"/>
          <w:color w:val="auto"/>
        </w:rPr>
        <w:t>A summary of stock option activity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Stock</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0"/>
                <w:szCs w:val="10"/>
                <w:b w:val="1"/>
                <w:bCs w:val="1"/>
                <w:color w:val="auto"/>
              </w:rPr>
              <w:t>Weighted-Average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800" w:type="dxa"/>
            <w:vAlign w:val="bottom"/>
          </w:tcPr>
          <w:p>
            <w:pPr>
              <w:spacing w:after="0"/>
              <w:rPr>
                <w:sz w:val="6"/>
                <w:szCs w:val="6"/>
                <w:color w:val="auto"/>
              </w:rPr>
            </w:pPr>
          </w:p>
        </w:tc>
        <w:tc>
          <w:tcPr>
            <w:tcW w:w="1020" w:type="dxa"/>
            <w:vAlign w:val="bottom"/>
            <w:gridSpan w:val="2"/>
          </w:tcPr>
          <w:p>
            <w:pPr>
              <w:jc w:val="center"/>
              <w:ind w:right="240"/>
              <w:spacing w:after="0" w:line="79" w:lineRule="exact"/>
              <w:rPr>
                <w:sz w:val="20"/>
                <w:szCs w:val="20"/>
                <w:color w:val="auto"/>
              </w:rPr>
            </w:pPr>
            <w:r>
              <w:rPr>
                <w:rFonts w:ascii="Arial" w:cs="Arial" w:eastAsia="Arial" w:hAnsi="Arial"/>
                <w:sz w:val="9"/>
                <w:szCs w:val="9"/>
                <w:b w:val="1"/>
                <w:bCs w:val="1"/>
                <w:color w:val="auto"/>
                <w:w w:val="99"/>
              </w:rPr>
              <w:t>Options</w:t>
            </w:r>
          </w:p>
        </w:tc>
        <w:tc>
          <w:tcPr>
            <w:tcW w:w="180" w:type="dxa"/>
            <w:vAlign w:val="bottom"/>
          </w:tcPr>
          <w:p>
            <w:pPr>
              <w:spacing w:after="0"/>
              <w:rPr>
                <w:sz w:val="6"/>
                <w:szCs w:val="6"/>
                <w:color w:val="auto"/>
              </w:rPr>
            </w:pPr>
          </w:p>
        </w:tc>
        <w:tc>
          <w:tcPr>
            <w:tcW w:w="50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Exercise</w:t>
            </w:r>
          </w:p>
        </w:tc>
        <w:tc>
          <w:tcPr>
            <w:tcW w:w="400" w:type="dxa"/>
            <w:vAlign w:val="bottom"/>
          </w:tcPr>
          <w:p>
            <w:pPr>
              <w:spacing w:after="0"/>
              <w:rPr>
                <w:sz w:val="6"/>
                <w:szCs w:val="6"/>
                <w:color w:val="auto"/>
              </w:rPr>
            </w:pPr>
          </w:p>
        </w:tc>
        <w:tc>
          <w:tcPr>
            <w:tcW w:w="580" w:type="dxa"/>
            <w:vAlign w:val="bottom"/>
          </w:tcPr>
          <w:p>
            <w:pPr>
              <w:jc w:val="right"/>
              <w:ind w:right="144"/>
              <w:spacing w:after="0" w:line="79" w:lineRule="exact"/>
              <w:rPr>
                <w:sz w:val="20"/>
                <w:szCs w:val="20"/>
                <w:color w:val="auto"/>
              </w:rPr>
            </w:pPr>
            <w:r>
              <w:rPr>
                <w:rFonts w:ascii="Arial" w:cs="Arial" w:eastAsia="Arial" w:hAnsi="Arial"/>
                <w:sz w:val="9"/>
                <w:szCs w:val="9"/>
                <w:b w:val="1"/>
                <w:bCs w:val="1"/>
                <w:color w:val="auto"/>
              </w:rPr>
              <w:t>Life</w:t>
            </w: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tcPr>
          <w:p>
            <w:pPr>
              <w:jc w:val="center"/>
              <w:ind w:right="220"/>
              <w:spacing w:after="0" w:line="79" w:lineRule="exact"/>
              <w:rPr>
                <w:sz w:val="20"/>
                <w:szCs w:val="20"/>
                <w:color w:val="auto"/>
              </w:rPr>
            </w:pPr>
            <w:r>
              <w:rPr>
                <w:rFonts w:ascii="Arial" w:cs="Arial" w:eastAsia="Arial" w:hAnsi="Arial"/>
                <w:sz w:val="9"/>
                <w:szCs w:val="9"/>
                <w:b w:val="1"/>
                <w:bCs w:val="1"/>
                <w:color w:val="auto"/>
              </w:rPr>
              <w:t>Intrinsic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Outstanding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4"/>
              <w:spacing w:after="0"/>
              <w:rPr>
                <w:sz w:val="20"/>
                <w:szCs w:val="20"/>
                <w:color w:val="auto"/>
              </w:rPr>
            </w:pPr>
            <w:r>
              <w:rPr>
                <w:rFonts w:ascii="Arial" w:cs="Arial" w:eastAsia="Arial" w:hAnsi="Arial"/>
                <w:sz w:val="10"/>
                <w:szCs w:val="10"/>
                <w:b w:val="1"/>
                <w:bCs w:val="1"/>
                <w:color w:val="auto"/>
              </w:rPr>
              <w:t>Price</w:t>
            </w:r>
          </w:p>
        </w:tc>
        <w:tc>
          <w:tcPr>
            <w:tcW w:w="400" w:type="dxa"/>
            <w:vAlign w:val="bottom"/>
          </w:tcPr>
          <w:p>
            <w:pPr>
              <w:spacing w:after="0"/>
              <w:rPr>
                <w:sz w:val="10"/>
                <w:szCs w:val="10"/>
                <w:color w:val="auto"/>
              </w:rPr>
            </w:pPr>
          </w:p>
        </w:tc>
        <w:tc>
          <w:tcPr>
            <w:tcW w:w="580" w:type="dxa"/>
            <w:vAlign w:val="bottom"/>
          </w:tcPr>
          <w:p>
            <w:pPr>
              <w:jc w:val="right"/>
              <w:ind w:right="24"/>
              <w:spacing w:after="0"/>
              <w:rPr>
                <w:sz w:val="20"/>
                <w:szCs w:val="20"/>
                <w:color w:val="auto"/>
              </w:rPr>
            </w:pPr>
            <w:r>
              <w:rPr>
                <w:rFonts w:ascii="Arial" w:cs="Arial" w:eastAsia="Arial" w:hAnsi="Arial"/>
                <w:sz w:val="10"/>
                <w:szCs w:val="10"/>
                <w:b w:val="1"/>
                <w:bCs w:val="1"/>
                <w:color w:val="auto"/>
              </w:rPr>
              <w:t>(In Years)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10,657,460</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81.71</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spacing w:after="0"/>
              <w:rPr>
                <w:sz w:val="20"/>
                <w:szCs w:val="20"/>
                <w:color w:val="auto"/>
              </w:rPr>
            </w:pPr>
            <w:r>
              <w:rPr>
                <w:rFonts w:ascii="Arial" w:cs="Arial" w:eastAsia="Arial" w:hAnsi="Arial"/>
                <w:sz w:val="14"/>
                <w:szCs w:val="14"/>
                <w:color w:val="auto"/>
              </w:rPr>
              <w:t>1,681,661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121.08</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(1,102,119)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64.85</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Cancelled</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(202,537)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105.83</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2007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11,034,465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20" w:type="dxa"/>
            <w:vAlign w:val="bottom"/>
            <w:gridSpan w:val="2"/>
          </w:tcPr>
          <w:p>
            <w:pPr>
              <w:spacing w:after="0"/>
              <w:rPr>
                <w:sz w:val="20"/>
                <w:szCs w:val="20"/>
                <w:color w:val="auto"/>
              </w:rPr>
            </w:pPr>
            <w:r>
              <w:rPr>
                <w:rFonts w:ascii="Arial" w:cs="Arial" w:eastAsia="Arial" w:hAnsi="Arial"/>
                <w:sz w:val="14"/>
                <w:szCs w:val="14"/>
                <w:color w:val="auto"/>
              </w:rPr>
              <w:t>Exercisable at December 31, 2007</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6,239,162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73.39</w:t>
            </w:r>
          </w:p>
        </w:tc>
        <w:tc>
          <w:tcPr>
            <w:tcW w:w="4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firstLine="599"/>
        <w:spacing w:after="0" w:line="303" w:lineRule="auto"/>
        <w:rPr>
          <w:sz w:val="20"/>
          <w:szCs w:val="20"/>
          <w:color w:val="auto"/>
        </w:rPr>
      </w:pPr>
      <w:r>
        <w:rPr>
          <w:rFonts w:ascii="Arial" w:cs="Arial" w:eastAsia="Arial" w:hAnsi="Arial"/>
          <w:sz w:val="12"/>
          <w:szCs w:val="12"/>
          <w:color w:val="auto"/>
        </w:rPr>
        <w:t>For 2007, 2006 and 2005, M&amp;T received $66 million, $68 million and $85 million, respectively, in cash and realized $17 million, $27 million and $31 million, respectively, in tax benefits from the exercise of stock options. The intrinsic value of stock options exercised during those periods was $55 million, $86 million and $92 million, respectively. As of December 31, 2007, there was $41 million of total unrecognized compensation cost related to non-vested stock options. That cost is expected to be recognized over a weighted-average period of 1.5 years. The total grant date fair value of stock options vested during 2007, 2006 and 2005 was $39 million, $37 million and $41 million, respectively. Upon the exercise of stock options, the Company generally issues shares from treasury stock to the extent available, but may also issue new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Restricted stock awards</w:t>
      </w:r>
    </w:p>
    <w:p>
      <w:pPr>
        <w:spacing w:after="0" w:line="15" w:lineRule="exact"/>
        <w:rPr>
          <w:sz w:val="20"/>
          <w:szCs w:val="20"/>
          <w:color w:val="auto"/>
        </w:rPr>
      </w:pPr>
    </w:p>
    <w:p>
      <w:pPr>
        <w:jc w:val="both"/>
        <w:ind w:left="680" w:right="180"/>
        <w:spacing w:after="0" w:line="302" w:lineRule="auto"/>
        <w:rPr>
          <w:sz w:val="20"/>
          <w:szCs w:val="20"/>
          <w:color w:val="auto"/>
        </w:rPr>
      </w:pPr>
      <w:r>
        <w:rPr>
          <w:rFonts w:ascii="Arial" w:cs="Arial" w:eastAsia="Arial" w:hAnsi="Arial"/>
          <w:sz w:val="12"/>
          <w:szCs w:val="12"/>
          <w:color w:val="auto"/>
        </w:rPr>
        <w:t>Beginning in 2007, certain eligible employees of the Company could elect to receive all or a portion of their stock-based compensation awards in the form of restricted stock rather than stock options. Restricted stock awards vest over four years. During 2007, 15,083 shares of restricted stock were awarded with a weighted-average grant date fair value of $121.31. As of December 31, 2007, there were 14,804 shares of nonvested restricted stock outstanding. Unrecognized compensation expense associated with these shares was not significant. The Company generally will issue restricted shares from treasury stock to the extent available, but may also issue new shares.</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purchase plan</w:t>
      </w:r>
    </w:p>
    <w:p>
      <w:pPr>
        <w:spacing w:after="0" w:line="15" w:lineRule="exact"/>
        <w:rPr>
          <w:sz w:val="20"/>
          <w:szCs w:val="20"/>
          <w:color w:val="auto"/>
        </w:rPr>
      </w:pPr>
    </w:p>
    <w:p>
      <w:pPr>
        <w:ind w:left="680" w:right="40"/>
        <w:spacing w:after="0" w:line="244" w:lineRule="auto"/>
        <w:rPr>
          <w:sz w:val="20"/>
          <w:szCs w:val="20"/>
          <w:color w:val="auto"/>
        </w:rPr>
      </w:pPr>
      <w:r>
        <w:rPr>
          <w:rFonts w:ascii="Arial" w:cs="Arial" w:eastAsia="Arial" w:hAnsi="Arial"/>
          <w:sz w:val="14"/>
          <w:szCs w:val="14"/>
          <w:color w:val="auto"/>
        </w:rPr>
        <w:t>The stock purchase plan provides eligible employees of the Company with the right to purchase shares of M&amp;T common stock through accumulated payroll deductions. Shares of M&amp;T common stock will be issued at the end of an option period, typically one year or six months. In connection with the employee stock purchase plan, 1,000,000 shares of M&amp;T common stock were authorized for issuance, of which 392,955 shares have been issued. There were no shares issued in 2007, 102,400 shares were issued in 2006 and 103,694 shares were issued in 2005. For 2006 and 2005, M&amp;T received $10 million and $9 million, respectively, in cash for shares purchased through the employee stock purchase plan.</w:t>
      </w:r>
    </w:p>
    <w:p>
      <w:pPr>
        <w:spacing w:after="0" w:line="2" w:lineRule="exact"/>
        <w:rPr>
          <w:sz w:val="20"/>
          <w:szCs w:val="20"/>
          <w:color w:val="auto"/>
        </w:rPr>
      </w:pPr>
    </w:p>
    <w:p>
      <w:pPr>
        <w:jc w:val="both"/>
        <w:ind w:left="680" w:right="300" w:firstLine="599"/>
        <w:spacing w:after="0" w:line="285" w:lineRule="auto"/>
        <w:rPr>
          <w:sz w:val="20"/>
          <w:szCs w:val="20"/>
          <w:color w:val="auto"/>
        </w:rPr>
      </w:pPr>
      <w:r>
        <w:rPr>
          <w:rFonts w:ascii="Arial" w:cs="Arial" w:eastAsia="Arial" w:hAnsi="Arial"/>
          <w:sz w:val="12"/>
          <w:szCs w:val="12"/>
          <w:color w:val="auto"/>
        </w:rPr>
        <w:t>Similar to the stock option plans, the Company used an option pricing model to estimate the grant date present value of purchase rights under the stock purchase plan. The estimated weighted-average grant date value per right was $15.04 in 2007, $16.43 in 2006 and $14.44 in 2005. Such values were calculated using the following weighted-average assumptions: a term of six months to one year (representing the period between grant date and exercise date); a risk-free interest rate of 4.39% in 2007,</w:t>
      </w:r>
    </w:p>
    <w:p>
      <w:pPr>
        <w:spacing w:after="0" w:line="1" w:lineRule="exact"/>
        <w:rPr>
          <w:sz w:val="20"/>
          <w:szCs w:val="20"/>
          <w:color w:val="auto"/>
        </w:rPr>
      </w:pPr>
    </w:p>
    <w:p>
      <w:pPr>
        <w:ind w:left="680" w:right="360"/>
        <w:spacing w:after="0" w:line="255" w:lineRule="auto"/>
        <w:rPr>
          <w:sz w:val="20"/>
          <w:szCs w:val="20"/>
          <w:color w:val="auto"/>
        </w:rPr>
      </w:pPr>
      <w:r>
        <w:rPr>
          <w:rFonts w:ascii="Arial" w:cs="Arial" w:eastAsia="Arial" w:hAnsi="Arial"/>
          <w:sz w:val="14"/>
          <w:szCs w:val="14"/>
          <w:color w:val="auto"/>
        </w:rPr>
        <w:t>4.95% in 2006 and 3.64% in 2005 (representing the yield on a U.S. Treasury security with a like term); expected volatility of 20% in 2007, 14% in 2006 and 16% in 2005 (based on historical volatility of</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060"/>
        <w:spacing w:after="0" w:line="272" w:lineRule="auto"/>
        <w:rPr>
          <w:sz w:val="20"/>
          <w:szCs w:val="20"/>
          <w:color w:val="auto"/>
        </w:rPr>
      </w:pPr>
      <w:r>
        <w:rPr>
          <w:rFonts w:ascii="Arial" w:cs="Arial" w:eastAsia="Arial" w:hAnsi="Arial"/>
          <w:sz w:val="14"/>
          <w:szCs w:val="14"/>
          <w:color w:val="auto"/>
        </w:rPr>
        <w:t>M&amp;T’s common stock price); and an estimated dividend yield of 2.63% in 2007, 1.96% in 2006 and 1.67% in 2005 (representing the approximate annualized cash dividend rate paid with respect to a share of common stock at or near the grant date).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Deferred bonus plan</w:t>
      </w:r>
    </w:p>
    <w:p>
      <w:pPr>
        <w:spacing w:after="0" w:line="15" w:lineRule="exact"/>
        <w:rPr>
          <w:sz w:val="20"/>
          <w:szCs w:val="20"/>
          <w:color w:val="auto"/>
        </w:rPr>
      </w:pPr>
    </w:p>
    <w:p>
      <w:pPr>
        <w:ind w:left="680" w:right="940"/>
        <w:spacing w:after="0" w:line="298" w:lineRule="auto"/>
        <w:rPr>
          <w:sz w:val="20"/>
          <w:szCs w:val="20"/>
          <w:color w:val="auto"/>
        </w:rPr>
      </w:pPr>
      <w:r>
        <w:rPr>
          <w:rFonts w:ascii="Arial" w:cs="Arial" w:eastAsia="Arial" w:hAnsi="Arial"/>
          <w:sz w:val="12"/>
          <w:szCs w:val="12"/>
          <w:color w:val="auto"/>
        </w:rPr>
        <w:t>The Company provides a deferred bonus plan pursuant to which eligible employees may elect to defer all or a portion of their current annual incentive compensation awards and allocate such awards to several investment options, including M&amp;T common stock. Participants may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56,630 and 61,757 at December 31, 2007 and 2006, respectively. The obligation to issue shares is included in common stock issuable in the consolidated balance sheet. Through December 31, 2007, 99,205 shares have been issued in connection with the deferred bonus plan.</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Directors’ stock plan</w:t>
      </w:r>
    </w:p>
    <w:p>
      <w:pPr>
        <w:spacing w:after="0" w:line="15" w:lineRule="exact"/>
        <w:rPr>
          <w:sz w:val="20"/>
          <w:szCs w:val="20"/>
          <w:color w:val="auto"/>
        </w:rPr>
      </w:pPr>
    </w:p>
    <w:p>
      <w:pPr>
        <w:ind w:left="680" w:right="860"/>
        <w:spacing w:after="0" w:line="244" w:lineRule="auto"/>
        <w:rPr>
          <w:sz w:val="20"/>
          <w:szCs w:val="20"/>
          <w:color w:val="auto"/>
        </w:rPr>
      </w:pPr>
      <w:r>
        <w:rPr>
          <w:rFonts w:ascii="Arial" w:cs="Arial" w:eastAsia="Arial" w:hAnsi="Arial"/>
          <w:sz w:val="14"/>
          <w:szCs w:val="14"/>
          <w:color w:val="auto"/>
        </w:rPr>
        <w:t>The Company maintained a compensation plan for non-employee members of the Company’s boards of directors and directors advisory councils that allowed such members to receive all or a portion of their compensation in shares of M&amp;T common stock. Through December 31, 2007, 93,606 shares had been issued in connection with the directors’ stock plan.</w:t>
      </w:r>
    </w:p>
    <w:p>
      <w:pPr>
        <w:spacing w:after="0" w:line="1" w:lineRule="exact"/>
        <w:rPr>
          <w:sz w:val="20"/>
          <w:szCs w:val="20"/>
          <w:color w:val="auto"/>
        </w:rPr>
      </w:pPr>
    </w:p>
    <w:p>
      <w:pPr>
        <w:jc w:val="both"/>
        <w:ind w:left="680" w:right="1120" w:firstLine="599"/>
        <w:spacing w:after="0" w:line="249" w:lineRule="auto"/>
        <w:rPr>
          <w:sz w:val="20"/>
          <w:szCs w:val="20"/>
          <w:color w:val="auto"/>
        </w:rPr>
      </w:pPr>
      <w:r>
        <w:rPr>
          <w:rFonts w:ascii="Arial" w:cs="Arial" w:eastAsia="Arial" w:hAnsi="Arial"/>
          <w:sz w:val="14"/>
          <w:szCs w:val="14"/>
          <w:color w:val="auto"/>
        </w:rPr>
        <w:t>Through an acquisition, the Company assumed an obligation to issue shares of M&amp;T common stock related to a deferred directors compensation plan. Shares of common stock issuable under such plan were 26,282 and 29,192 at December 31, 2007 and 2006, respectively. The obligation to issue shares is included in common stock issuable in the consolidated balance sheet.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Management stock ownership program</w:t>
      </w:r>
    </w:p>
    <w:p>
      <w:pPr>
        <w:spacing w:after="0" w:line="15" w:lineRule="exact"/>
        <w:rPr>
          <w:sz w:val="20"/>
          <w:szCs w:val="20"/>
          <w:color w:val="auto"/>
        </w:rPr>
      </w:pPr>
    </w:p>
    <w:p>
      <w:pPr>
        <w:jc w:val="both"/>
        <w:ind w:left="680" w:right="900"/>
        <w:spacing w:after="0" w:line="249" w:lineRule="auto"/>
        <w:rPr>
          <w:sz w:val="20"/>
          <w:szCs w:val="20"/>
          <w:color w:val="auto"/>
        </w:rPr>
      </w:pPr>
      <w:r>
        <w:rPr>
          <w:rFonts w:ascii="Arial" w:cs="Arial" w:eastAsia="Arial" w:hAnsi="Arial"/>
          <w:sz w:val="14"/>
          <w:szCs w:val="14"/>
          <w:color w:val="auto"/>
        </w:rPr>
        <w:t>Through an acquisition, M&amp;T obtained loans that are secured by M&amp;T common stock purchased by former executives of the acquired entity. At December 31, 2007 and 2006, the loan amounts owed M&amp;T were less than the fair value of the financed stock purchased and totaled $4 million. Such loans are classified as a reduction of additional paid-in capital in the consolidated balance sheet. The amounts are due to M&amp;T no later than October 5, 2010.</w:t>
      </w:r>
    </w:p>
    <w:p>
      <w:pPr>
        <w:spacing w:after="0" w:line="139" w:lineRule="exact"/>
        <w:rPr>
          <w:sz w:val="20"/>
          <w:szCs w:val="20"/>
          <w:color w:val="auto"/>
        </w:rPr>
      </w:pPr>
    </w:p>
    <w:p>
      <w:pPr>
        <w:ind w:left="1180" w:hanging="495"/>
        <w:spacing w:after="0"/>
        <w:tabs>
          <w:tab w:leader="none" w:pos="118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Pension plans and other postretirement benefits</w:t>
      </w:r>
    </w:p>
    <w:p>
      <w:pPr>
        <w:spacing w:after="0" w:line="19" w:lineRule="exact"/>
        <w:rPr>
          <w:sz w:val="20"/>
          <w:szCs w:val="20"/>
          <w:color w:val="auto"/>
        </w:rPr>
      </w:pPr>
    </w:p>
    <w:p>
      <w:pPr>
        <w:ind w:left="680" w:right="1160"/>
        <w:spacing w:after="0" w:line="244" w:lineRule="auto"/>
        <w:rPr>
          <w:sz w:val="20"/>
          <w:szCs w:val="20"/>
          <w:color w:val="auto"/>
        </w:rPr>
      </w:pPr>
      <w:r>
        <w:rPr>
          <w:rFonts w:ascii="Arial" w:cs="Arial" w:eastAsia="Arial" w:hAnsi="Arial"/>
          <w:sz w:val="14"/>
          <w:szCs w:val="14"/>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Net periodic pension expense for defined benefit plans consisted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2"/>
              <w:spacing w:after="0" w:line="96" w:lineRule="exact"/>
              <w:rPr>
                <w:sz w:val="20"/>
                <w:szCs w:val="20"/>
                <w:color w:val="auto"/>
              </w:rPr>
            </w:pPr>
            <w:r>
              <w:rPr>
                <w:rFonts w:ascii="Arial" w:cs="Arial" w:eastAsia="Arial" w:hAnsi="Arial"/>
                <w:sz w:val="10"/>
                <w:szCs w:val="10"/>
                <w:b w:val="1"/>
                <w:bCs w:val="1"/>
                <w:color w:val="auto"/>
                <w:w w:val="98"/>
              </w:rPr>
              <w:t>2006</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3"/>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left="222"/>
              <w:spacing w:after="0"/>
              <w:rPr>
                <w:sz w:val="20"/>
                <w:szCs w:val="20"/>
                <w:color w:val="auto"/>
              </w:rPr>
            </w:pPr>
            <w:r>
              <w:rPr>
                <w:rFonts w:ascii="Arial" w:cs="Arial" w:eastAsia="Arial" w:hAnsi="Arial"/>
                <w:sz w:val="10"/>
                <w:szCs w:val="10"/>
                <w:b w:val="1"/>
                <w:bCs w:val="1"/>
                <w:color w:val="auto"/>
                <w:w w:val="89"/>
              </w:rPr>
              <w:t>(In thousands)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21,138</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22,224</w:t>
            </w:r>
          </w:p>
        </w:tc>
        <w:tc>
          <w:tcPr>
            <w:tcW w:w="3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31,240</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38,120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35,315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39,041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2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(40,152)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(38,784)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(37,579)</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Amortization of prior service cost</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(6,559)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(6,559)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Recognized net actuarial loss</w:t>
            </w:r>
          </w:p>
        </w:tc>
        <w:tc>
          <w:tcPr>
            <w:tcW w:w="26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300" w:type="dxa"/>
            <w:vAlign w:val="bottom"/>
            <w:gridSpan w:val="2"/>
          </w:tcPr>
          <w:p>
            <w:pPr>
              <w:ind w:left="680"/>
              <w:spacing w:after="0"/>
              <w:rPr>
                <w:sz w:val="20"/>
                <w:szCs w:val="20"/>
                <w:color w:val="auto"/>
              </w:rPr>
            </w:pPr>
            <w:r>
              <w:rPr>
                <w:rFonts w:ascii="Arial" w:cs="Arial" w:eastAsia="Arial" w:hAnsi="Arial"/>
                <w:sz w:val="14"/>
                <w:szCs w:val="14"/>
                <w:color w:val="auto"/>
              </w:rPr>
              <w:t>Net periodic pension expense</w:t>
            </w:r>
          </w:p>
        </w:tc>
        <w:tc>
          <w:tcPr>
            <w:tcW w:w="26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04"/>
        </w:trPr>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115</w:t>
            </w: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Net other postretirement benefits expense for defined benefit plans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8"/>
          </w:tcPr>
          <w:p>
            <w:pPr>
              <w:ind w:left="40"/>
              <w:spacing w:after="0"/>
              <w:rPr>
                <w:sz w:val="20"/>
                <w:szCs w:val="20"/>
                <w:color w:val="auto"/>
              </w:rPr>
            </w:pPr>
            <w:r>
              <w:rPr>
                <w:rFonts w:ascii="Arial" w:cs="Arial" w:eastAsia="Arial" w:hAnsi="Arial"/>
                <w:sz w:val="10"/>
                <w:szCs w:val="10"/>
                <w:b w:val="1"/>
                <w:bCs w:val="1"/>
                <w:color w:val="auto"/>
                <w:w w:val="91"/>
              </w:rPr>
              <w:t>Year Ended December 31</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jc w:val="right"/>
              <w:ind w:right="54"/>
              <w:spacing w:after="0" w:line="96"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jc w:val="right"/>
              <w:ind w:right="39"/>
              <w:spacing w:after="0" w:line="96" w:lineRule="exact"/>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ind w:right="50"/>
              <w:spacing w:after="0" w:line="96" w:lineRule="exact"/>
              <w:rPr>
                <w:sz w:val="20"/>
                <w:szCs w:val="20"/>
                <w:color w:val="auto"/>
              </w:rPr>
            </w:pPr>
            <w:r>
              <w:rPr>
                <w:rFonts w:ascii="Arial" w:cs="Arial" w:eastAsia="Arial" w:hAnsi="Arial"/>
                <w:sz w:val="10"/>
                <w:szCs w:val="10"/>
                <w:b w:val="1"/>
                <w:bCs w:val="1"/>
                <w:color w:val="auto"/>
                <w:w w:val="89"/>
              </w:rPr>
              <w:t>2005</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ind w:left="140"/>
              <w:spacing w:after="0"/>
              <w:rPr>
                <w:sz w:val="20"/>
                <w:szCs w:val="20"/>
                <w:color w:val="auto"/>
              </w:rPr>
            </w:pPr>
            <w:r>
              <w:rPr>
                <w:rFonts w:ascii="Arial" w:cs="Arial" w:eastAsia="Arial" w:hAnsi="Arial"/>
                <w:sz w:val="9"/>
                <w:szCs w:val="9"/>
                <w:b w:val="1"/>
                <w:bCs w:val="1"/>
                <w:color w:val="auto"/>
                <w:w w:val="72"/>
              </w:rPr>
              <w:t>(In</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4"/>
              </w:rPr>
              <w:t>thousands)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573</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3,811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3,770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3,721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prior service cost</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Recognized net actuarial loss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Net other postretirement benefits expense</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4,936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$ 4,783</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4,393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5640" w:type="dxa"/>
            <w:vAlign w:val="bottom"/>
          </w:tcPr>
          <w:p>
            <w:pPr>
              <w:ind w:left="580"/>
              <w:spacing w:after="0"/>
              <w:rPr>
                <w:sz w:val="20"/>
                <w:szCs w:val="20"/>
                <w:color w:val="auto"/>
              </w:rPr>
            </w:pPr>
            <w:r>
              <w:rPr>
                <w:rFonts w:ascii="Arial" w:cs="Arial" w:eastAsia="Arial" w:hAnsi="Arial"/>
                <w:sz w:val="14"/>
                <w:szCs w:val="14"/>
                <w:color w:val="auto"/>
              </w:rPr>
              <w:t>Data relating to the funding position of the defined benefit plans were as follows: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0"/>
                <w:szCs w:val="10"/>
                <w:b w:val="1"/>
                <w:bCs w:val="1"/>
                <w:color w:val="auto"/>
              </w:rPr>
              <w:t>Pension Benefits</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10"/>
          </w:tcPr>
          <w:p>
            <w:pPr>
              <w:jc w:val="center"/>
              <w:ind w:right="160"/>
              <w:spacing w:after="0"/>
              <w:rPr>
                <w:sz w:val="20"/>
                <w:szCs w:val="20"/>
                <w:color w:val="auto"/>
              </w:rPr>
            </w:pPr>
            <w:r>
              <w:rPr>
                <w:rFonts w:ascii="Arial" w:cs="Arial" w:eastAsia="Arial" w:hAnsi="Arial"/>
                <w:sz w:val="10"/>
                <w:szCs w:val="10"/>
                <w:b w:val="1"/>
                <w:bCs w:val="1"/>
                <w:color w:val="auto"/>
                <w:w w:val="92"/>
              </w:rPr>
              <w:t>Postretirement Benefits</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91"/>
              <w:spacing w:after="0" w:line="96" w:lineRule="exact"/>
              <w:rPr>
                <w:sz w:val="20"/>
                <w:szCs w:val="20"/>
                <w:color w:val="auto"/>
              </w:rPr>
            </w:pPr>
            <w:r>
              <w:rPr>
                <w:rFonts w:ascii="Arial" w:cs="Arial" w:eastAsia="Arial" w:hAnsi="Arial"/>
                <w:sz w:val="10"/>
                <w:szCs w:val="10"/>
                <w:b w:val="1"/>
                <w:bCs w:val="1"/>
                <w:color w:val="auto"/>
              </w:rPr>
              <w:t>2007</w:t>
            </w: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1"/>
              <w:spacing w:after="0" w:line="96" w:lineRule="exact"/>
              <w:rPr>
                <w:sz w:val="20"/>
                <w:szCs w:val="20"/>
                <w:color w:val="auto"/>
              </w:rPr>
            </w:pPr>
            <w:r>
              <w:rPr>
                <w:rFonts w:ascii="Arial" w:cs="Arial" w:eastAsia="Arial" w:hAnsi="Arial"/>
                <w:sz w:val="10"/>
                <w:szCs w:val="10"/>
                <w:b w:val="1"/>
                <w:bCs w:val="1"/>
                <w:color w:val="auto"/>
              </w:rPr>
              <w:t>2006</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gridSpan w:val="2"/>
          </w:tcPr>
          <w:p>
            <w:pPr>
              <w:jc w:val="right"/>
              <w:ind w:right="112"/>
              <w:spacing w:after="0" w:line="96" w:lineRule="exact"/>
              <w:rPr>
                <w:sz w:val="20"/>
                <w:szCs w:val="20"/>
                <w:color w:val="auto"/>
              </w:rPr>
            </w:pPr>
            <w:r>
              <w:rPr>
                <w:rFonts w:ascii="Arial" w:cs="Arial" w:eastAsia="Arial" w:hAnsi="Arial"/>
                <w:sz w:val="10"/>
                <w:szCs w:val="10"/>
                <w:b w:val="1"/>
                <w:bCs w:val="1"/>
                <w:color w:val="auto"/>
              </w:rPr>
              <w:t>2007</w:t>
            </w: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gridSpan w:val="3"/>
          </w:tcPr>
          <w:p>
            <w:pPr>
              <w:jc w:val="right"/>
              <w:ind w:right="130"/>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Change in benefit obligation:</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Benefit obligation at beginning of year</w:t>
            </w:r>
          </w:p>
        </w:tc>
        <w:tc>
          <w:tcPr>
            <w:tcW w:w="5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654,712</w:t>
            </w:r>
          </w:p>
        </w:tc>
        <w:tc>
          <w:tcPr>
            <w:tcW w:w="220" w:type="dxa"/>
            <w:vAlign w:val="bottom"/>
          </w:tcPr>
          <w:p>
            <w:pPr>
              <w:spacing w:after="0"/>
              <w:rPr>
                <w:sz w:val="14"/>
                <w:szCs w:val="14"/>
                <w:color w:val="auto"/>
              </w:rPr>
            </w:pP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659,728</w:t>
            </w:r>
          </w:p>
        </w:tc>
        <w:tc>
          <w:tcPr>
            <w:tcW w:w="3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64,323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7"/>
              </w:rPr>
              <w:t>66,941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cost</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22,224</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Interest cost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35,315</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3,811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3,770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 participants’ contributions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2,427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Actuarial (gain) loss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17,006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4"/>
                <w:szCs w:val="14"/>
                <w:color w:val="auto"/>
              </w:rPr>
              <w:t>(27,382)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1,225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combinations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42,055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Medicare Part D reimbursement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642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Benefits paid</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(32,567)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4"/>
                <w:szCs w:val="14"/>
                <w:color w:val="auto"/>
              </w:rPr>
              <w:t>(35,173)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(9,797)</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1"/>
              </w:rPr>
              <w:t>(10,613)</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Benefit obligation at end of year</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740,464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654,712</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71,150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64,323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Change in plan assets: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Fair value of plan assets at beginning of year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514,115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452,271</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Actual return on plan assets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56,522</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Employer contributions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68,665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40,495</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6,603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8,186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combinations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47,477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Plan participants’ contributions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2,552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2,427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Medicare Part D reimbursement</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Benefits and other payments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(32,567)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4"/>
                <w:szCs w:val="14"/>
                <w:color w:val="auto"/>
              </w:rPr>
              <w:t>(35,173)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59"/>
              <w:spacing w:after="0"/>
              <w:rPr>
                <w:sz w:val="20"/>
                <w:szCs w:val="20"/>
                <w:color w:val="auto"/>
              </w:rPr>
            </w:pPr>
            <w:r>
              <w:rPr>
                <w:rFonts w:ascii="Arial" w:cs="Arial" w:eastAsia="Arial" w:hAnsi="Arial"/>
                <w:sz w:val="14"/>
                <w:szCs w:val="14"/>
                <w:color w:val="auto"/>
              </w:rPr>
              <w:t>(9,797)</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w w:val="91"/>
              </w:rPr>
              <w:t>(10,613)</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Fair value of plan assets at end of year</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625,581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514,115</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gridSpan w:val="2"/>
          </w:tcPr>
          <w:p>
            <w:pPr>
              <w:ind w:left="680"/>
              <w:spacing w:after="0"/>
              <w:rPr>
                <w:sz w:val="20"/>
                <w:szCs w:val="20"/>
                <w:color w:val="auto"/>
              </w:rPr>
            </w:pPr>
            <w:r>
              <w:rPr>
                <w:rFonts w:ascii="Arial" w:cs="Arial" w:eastAsia="Arial" w:hAnsi="Arial"/>
                <w:sz w:val="14"/>
                <w:szCs w:val="14"/>
                <w:color w:val="auto"/>
              </w:rPr>
              <w:t>Funded status</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(114,883</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(140,597</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(71,150</w:t>
            </w:r>
          </w:p>
        </w:tc>
        <w:tc>
          <w:tcPr>
            <w:tcW w:w="180" w:type="dxa"/>
            <w:vAlign w:val="bottom"/>
          </w:tcPr>
          <w:p>
            <w:pPr>
              <w:jc w:val="right"/>
              <w:ind w:right="59"/>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88"/>
              </w:rPr>
              <w:t>(64,323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Assets and liabilities recognized in the consolidated balance sheet were:</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Net prepaid asset</w:t>
            </w:r>
          </w:p>
        </w:tc>
        <w:tc>
          <w:tcPr>
            <w:tcW w:w="5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1,044</w:t>
            </w:r>
          </w:p>
        </w:tc>
        <w:tc>
          <w:tcPr>
            <w:tcW w:w="220" w:type="dxa"/>
            <w:vAlign w:val="bottom"/>
          </w:tcPr>
          <w:p>
            <w:pPr>
              <w:spacing w:after="0"/>
              <w:rPr>
                <w:sz w:val="14"/>
                <w:szCs w:val="14"/>
                <w:color w:val="auto"/>
              </w:rPr>
            </w:pP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1,017</w:t>
            </w:r>
          </w:p>
        </w:tc>
        <w:tc>
          <w:tcPr>
            <w:tcW w:w="3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(115,927)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54"/>
              <w:spacing w:after="0"/>
              <w:rPr>
                <w:sz w:val="20"/>
                <w:szCs w:val="20"/>
                <w:color w:val="auto"/>
              </w:rPr>
            </w:pPr>
            <w:r>
              <w:rPr>
                <w:rFonts w:ascii="Arial" w:cs="Arial" w:eastAsia="Arial" w:hAnsi="Arial"/>
                <w:sz w:val="14"/>
                <w:szCs w:val="14"/>
                <w:color w:val="auto"/>
                <w:w w:val="90"/>
              </w:rPr>
              <w:t>(141,614)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w w:val="99"/>
              </w:rPr>
              <w:t>(71,150)</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1"/>
              </w:rPr>
              <w:t>(64,323)</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gridSpan w:val="2"/>
          </w:tcPr>
          <w:p>
            <w:pPr>
              <w:ind w:left="680"/>
              <w:spacing w:after="0"/>
              <w:rPr>
                <w:sz w:val="20"/>
                <w:szCs w:val="20"/>
                <w:color w:val="auto"/>
              </w:rPr>
            </w:pPr>
            <w:r>
              <w:rPr>
                <w:rFonts w:ascii="Arial" w:cs="Arial" w:eastAsia="Arial" w:hAnsi="Arial"/>
                <w:sz w:val="14"/>
                <w:szCs w:val="14"/>
                <w:color w:val="auto"/>
              </w:rPr>
              <w:t>Amounts recognized in accumulated other comprehensive income (“AOCI”) were:</w:t>
            </w:r>
          </w:p>
        </w:tc>
        <w:tc>
          <w:tcPr>
            <w:tcW w:w="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124,871</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101,389</w:t>
            </w:r>
          </w:p>
        </w:tc>
        <w:tc>
          <w:tcPr>
            <w:tcW w:w="3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6,946</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6,821</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Net prior service cost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(56,248)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4"/>
                <w:szCs w:val="14"/>
                <w:color w:val="auto"/>
              </w:rPr>
              <w:t>(62,807)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761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Pre-tax adjustment to AOCI</w:t>
            </w:r>
          </w:p>
        </w:tc>
        <w:tc>
          <w:tcPr>
            <w:tcW w:w="4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68,623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38,582</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7,707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7,752</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Taxes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(26,832)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54"/>
              <w:spacing w:after="0"/>
              <w:rPr>
                <w:sz w:val="20"/>
                <w:szCs w:val="20"/>
                <w:color w:val="auto"/>
              </w:rPr>
            </w:pPr>
            <w:r>
              <w:rPr>
                <w:rFonts w:ascii="Arial" w:cs="Arial" w:eastAsia="Arial" w:hAnsi="Arial"/>
                <w:sz w:val="14"/>
                <w:szCs w:val="14"/>
                <w:color w:val="auto"/>
              </w:rPr>
              <w:t>(15,048)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59"/>
              <w:spacing w:after="0"/>
              <w:rPr>
                <w:sz w:val="20"/>
                <w:szCs w:val="20"/>
                <w:color w:val="auto"/>
              </w:rPr>
            </w:pPr>
            <w:r>
              <w:rPr>
                <w:rFonts w:ascii="Arial" w:cs="Arial" w:eastAsia="Arial" w:hAnsi="Arial"/>
                <w:sz w:val="14"/>
                <w:szCs w:val="14"/>
                <w:color w:val="auto"/>
              </w:rPr>
              <w:t>(3,013)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(3,023)</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adjustment to AOCI</w:t>
            </w:r>
          </w:p>
        </w:tc>
        <w:tc>
          <w:tcPr>
            <w:tcW w:w="5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41,791</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23,534</w:t>
            </w:r>
          </w:p>
        </w:tc>
        <w:tc>
          <w:tcPr>
            <w:tcW w:w="3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4,694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4,729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340" w:type="dxa"/>
            <w:vAlign w:val="bottom"/>
            <w:gridSpan w:val="2"/>
          </w:tcPr>
          <w:p>
            <w:pPr>
              <w:ind w:left="680"/>
              <w:spacing w:after="0"/>
              <w:rPr>
                <w:sz w:val="20"/>
                <w:szCs w:val="20"/>
                <w:color w:val="auto"/>
              </w:rPr>
            </w:pPr>
            <w:r>
              <w:rPr>
                <w:rFonts w:ascii="Arial" w:cs="Arial" w:eastAsia="Arial" w:hAnsi="Arial"/>
                <w:sz w:val="12"/>
                <w:szCs w:val="12"/>
                <w:color w:val="auto"/>
              </w:rPr>
              <w:t>116</w:t>
            </w: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6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0" w:firstLine="599"/>
        <w:spacing w:after="0" w:line="250" w:lineRule="auto"/>
        <w:rPr>
          <w:sz w:val="20"/>
          <w:szCs w:val="20"/>
          <w:color w:val="auto"/>
        </w:rPr>
      </w:pPr>
      <w:r>
        <w:rPr>
          <w:rFonts w:ascii="Arial" w:cs="Arial" w:eastAsia="Arial" w:hAnsi="Arial"/>
          <w:sz w:val="14"/>
          <w:szCs w:val="14"/>
          <w:color w:val="auto"/>
        </w:rPr>
        <w:t>The Company has an unfunded supplemental pension plan for certain key executives. The projected benefit obligation and accumulated benefit obligation included in the preceding data related to such plan were $48,872,000 and $48,134,000, respectively, as of December 31, 2007 and were $44,125,000 and $43,413,000, respectively, as of December 31, 2006.</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accumulated benefit obligation for all defined benefit pension plans was $732,502,000 and $649,925,000 at December 31, 2007 and 2006, respectively. As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2007, the accumulated benefit obligation and fair value of plan assets for pension plans with accumulated benefit obligations in excess of plan assets were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$725,776,000 (including $48,134,000 related to the unfunded supplemental pension plan) and $617,811,000, respectively. As of December 31, 2006, the accumulated benefit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obligation and fair value of plan assets for pension plans with accumulated benefit obligations in excess of plan assets were $643,095,000 (including $43,413,000 related to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unfunded supplemental pension plan) and $506,268,000, respectively.</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In September 2006, the Financial Accounting Standards Board issued SFAS No. 158, “Employers’ Accounting for Defined Benefit Pension and Other Postretirement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Plans,” which requires an employer to recognize in its balance sheet as an asset or liability the overfunded or underfunded status of a defined benefit postretirement plan,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measured as the difference between the fair value of plan assets and the benefit obligation. For a pension plan, the benefit obligation is the projected benefit obligation; for any</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postretirement benefit plan, such as a retiree health care plan, the benefit obligation is the accumulated postretirement benefit obligation. SFAS No. 158 requires that gains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 losses and prior service costs or credits that arise during the period, but are not included as components of net periodic benefit expense be recognized as a component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 comprehensive income. As indicated in the preceding table, as of December 31, 2007 the Company recorded an additional minimum liability totaling $76,330,000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($68,623,000 related to pension plans and $7,707,000 related to other postretirement benefits) with a corresponding reduction of stockholders’ equity, net of applicable deferred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taxes, of $46,485,000. Of the $68,623,000 related to pension plans, $7,932,000 was related to unfunded nonqualified defined benefit plans. In aggregate, the benefit plans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incurred losses during 2007 that resulted from actual experience differing from the assumptions utilized and from changes in actuarial assumptions. As a result, the Company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increased its minimum liability from that which was recorded at December 31, 2006 by $29,996,000 with a corresponding decrease to stockholders’ equity that, net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applicable deferred taxes, was $18,222,000. The table below reflects the changes in plan assets and benefit obligations recognized in other comprehensive income related to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Company’s postretirement benefit plans for 2007:</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0"/>
                <w:szCs w:val="10"/>
                <w:b w:val="1"/>
                <w:bCs w:val="1"/>
                <w:color w:val="auto"/>
                <w:w w:val="90"/>
              </w:rPr>
              <w:t>Pension Plans</w:t>
            </w:r>
          </w:p>
        </w:tc>
        <w:tc>
          <w:tcPr>
            <w:tcW w:w="1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0"/>
              </w:rPr>
              <w:t>Postretirement</w:t>
            </w:r>
          </w:p>
        </w:tc>
        <w:tc>
          <w:tcPr>
            <w:tcW w:w="180" w:type="dxa"/>
            <w:vAlign w:val="bottom"/>
          </w:tcPr>
          <w:p>
            <w:pPr>
              <w:spacing w:after="0"/>
              <w:rPr>
                <w:sz w:val="9"/>
                <w:szCs w:val="9"/>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1"/>
              </w:rPr>
              <w:t>Benefit Plans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jc w:val="right"/>
              <w:ind w:right="278"/>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Net loss (gain)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29,475</w:t>
            </w:r>
          </w:p>
        </w:tc>
        <w:tc>
          <w:tcPr>
            <w:tcW w:w="1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$ 29,959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Arial" w:cs="Arial" w:eastAsia="Arial" w:hAnsi="Arial"/>
                <w:sz w:val="14"/>
                <w:szCs w:val="14"/>
                <w:color w:val="auto"/>
              </w:rPr>
              <w:t>Amortization of prior service (cost) credit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(170)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6,389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(loss) gain</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(5,993)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172"/>
        </w:trPr>
        <w:tc>
          <w:tcPr>
            <w:tcW w:w="6800" w:type="dxa"/>
            <w:vAlign w:val="bottom"/>
            <w:gridSpan w:val="2"/>
          </w:tcPr>
          <w:p>
            <w:pPr>
              <w:spacing w:after="0"/>
              <w:rPr>
                <w:sz w:val="20"/>
                <w:szCs w:val="20"/>
                <w:color w:val="auto"/>
              </w:rPr>
            </w:pPr>
            <w:r>
              <w:rPr>
                <w:rFonts w:ascii="Arial" w:cs="Arial" w:eastAsia="Arial" w:hAnsi="Arial"/>
                <w:sz w:val="14"/>
                <w:szCs w:val="14"/>
                <w:color w:val="auto"/>
              </w:rPr>
              <w:t>Total recognized in other comprehensive income, pre-tax</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30,041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$ 29,996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380" w:firstLine="599"/>
        <w:spacing w:after="0" w:line="272" w:lineRule="auto"/>
        <w:rPr>
          <w:sz w:val="20"/>
          <w:szCs w:val="20"/>
          <w:color w:val="auto"/>
        </w:rPr>
      </w:pPr>
      <w:r>
        <w:rPr>
          <w:rFonts w:ascii="Arial" w:cs="Arial" w:eastAsia="Arial" w:hAnsi="Arial"/>
          <w:sz w:val="14"/>
          <w:szCs w:val="14"/>
          <w:color w:val="auto"/>
        </w:rPr>
        <w:t>The following table reflects the amortization of amounts in accumulated other comprehensive income expected to be recognized as components of net periodic benefit expense during 2008:</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1"/>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6"/>
        </w:trPr>
        <w:tc>
          <w:tcPr>
            <w:tcW w:w="5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319"/>
              <w:spacing w:after="0"/>
              <w:rPr>
                <w:sz w:val="20"/>
                <w:szCs w:val="20"/>
                <w:color w:val="auto"/>
              </w:rPr>
            </w:pPr>
            <w:r>
              <w:rPr>
                <w:rFonts w:ascii="Arial" w:cs="Arial" w:eastAsia="Arial" w:hAnsi="Arial"/>
                <w:sz w:val="10"/>
                <w:szCs w:val="10"/>
                <w:b w:val="1"/>
                <w:bCs w:val="1"/>
                <w:color w:val="auto"/>
                <w:w w:val="93"/>
              </w:rPr>
              <w:t>Pension Plans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61"/>
              <w:spacing w:after="0" w:line="106" w:lineRule="exact"/>
              <w:rPr>
                <w:sz w:val="20"/>
                <w:szCs w:val="20"/>
                <w:color w:val="auto"/>
              </w:rPr>
            </w:pPr>
            <w:r>
              <w:rPr>
                <w:rFonts w:ascii="Arial" w:cs="Arial" w:eastAsia="Arial" w:hAnsi="Arial"/>
                <w:sz w:val="10"/>
                <w:szCs w:val="10"/>
                <w:b w:val="1"/>
                <w:bCs w:val="1"/>
                <w:color w:val="auto"/>
                <w:w w:val="93"/>
              </w:rPr>
              <w:t>Postretirement</w:t>
            </w:r>
          </w:p>
        </w:tc>
        <w:tc>
          <w:tcPr>
            <w:tcW w:w="0" w:type="dxa"/>
            <w:vAlign w:val="bottom"/>
          </w:tcPr>
          <w:p>
            <w:pPr>
              <w:spacing w:after="0"/>
              <w:rPr>
                <w:sz w:val="1"/>
                <w:szCs w:val="1"/>
                <w:color w:val="auto"/>
              </w:rPr>
            </w:pPr>
          </w:p>
        </w:tc>
      </w:tr>
      <w:tr>
        <w:trPr>
          <w:trHeight w:val="123"/>
        </w:trPr>
        <w:tc>
          <w:tcPr>
            <w:tcW w:w="5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1"/>
              <w:spacing w:after="0"/>
              <w:rPr>
                <w:sz w:val="20"/>
                <w:szCs w:val="20"/>
                <w:color w:val="auto"/>
              </w:rPr>
            </w:pPr>
            <w:r>
              <w:rPr>
                <w:rFonts w:ascii="Arial" w:cs="Arial" w:eastAsia="Arial" w:hAnsi="Arial"/>
                <w:sz w:val="10"/>
                <w:szCs w:val="10"/>
                <w:b w:val="1"/>
                <w:bCs w:val="1"/>
                <w:color w:val="auto"/>
                <w:w w:val="91"/>
              </w:rPr>
              <w:t>Benefit Plans</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tcPr>
          <w:p>
            <w:pPr>
              <w:ind w:left="40"/>
              <w:spacing w:after="0"/>
              <w:rPr>
                <w:sz w:val="20"/>
                <w:szCs w:val="20"/>
                <w:color w:val="auto"/>
              </w:rPr>
            </w:pPr>
            <w:r>
              <w:rPr>
                <w:rFonts w:ascii="Arial" w:cs="Arial" w:eastAsia="Arial" w:hAnsi="Arial"/>
                <w:sz w:val="8"/>
                <w:szCs w:val="8"/>
                <w:b w:val="1"/>
                <w:bCs w:val="1"/>
                <w:color w:val="auto"/>
                <w:w w:val="78"/>
              </w:rPr>
              <w:t>thousands)</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140" w:type="dxa"/>
            <w:vAlign w:val="bottom"/>
          </w:tcPr>
          <w:p>
            <w:pPr>
              <w:spacing w:after="0"/>
              <w:rPr>
                <w:sz w:val="20"/>
                <w:szCs w:val="20"/>
                <w:color w:val="auto"/>
              </w:rPr>
            </w:pPr>
            <w:r>
              <w:rPr>
                <w:rFonts w:ascii="Arial" w:cs="Arial" w:eastAsia="Arial" w:hAnsi="Arial"/>
                <w:sz w:val="14"/>
                <w:szCs w:val="14"/>
                <w:color w:val="auto"/>
              </w:rPr>
              <w:t>Amortization of net prior service cost (credit)</w:t>
            </w:r>
          </w:p>
        </w:tc>
        <w:tc>
          <w:tcPr>
            <w:tcW w:w="2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auto"/>
              </w:rPr>
              <w:t>(6,559)</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0"/>
        </w:trPr>
        <w:tc>
          <w:tcPr>
            <w:tcW w:w="5140" w:type="dxa"/>
            <w:vAlign w:val="bottom"/>
          </w:tcPr>
          <w:p>
            <w:pPr>
              <w:spacing w:after="0"/>
              <w:rPr>
                <w:sz w:val="20"/>
                <w:szCs w:val="20"/>
                <w:color w:val="auto"/>
              </w:rPr>
            </w:pPr>
            <w:r>
              <w:rPr>
                <w:rFonts w:ascii="Arial" w:cs="Arial" w:eastAsia="Arial" w:hAnsi="Arial"/>
                <w:sz w:val="14"/>
                <w:szCs w:val="14"/>
                <w:color w:val="auto"/>
              </w:rPr>
              <w:t>Amortization of net loss</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right="140" w:firstLine="399"/>
        <w:spacing w:after="0" w:line="272" w:lineRule="auto"/>
        <w:rPr>
          <w:sz w:val="20"/>
          <w:szCs w:val="20"/>
          <w:color w:val="auto"/>
        </w:rPr>
      </w:pPr>
      <w:r>
        <w:rPr>
          <w:rFonts w:ascii="Arial" w:cs="Arial" w:eastAsia="Arial" w:hAnsi="Arial"/>
          <w:sz w:val="14"/>
          <w:szCs w:val="14"/>
          <w:color w:val="auto"/>
        </w:rPr>
        <w:t>The Company was required to initially adopt the provisions of SFAS No. 158 as of December 31, 2006. As of that date, the Company recorded an additional minimum liability totaling $46,334,000 ($38,582,000 related to pension plans and $7,752,000 related to other postretirement benefits) with a</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40"/>
        <w:spacing w:after="0" w:line="265" w:lineRule="auto"/>
        <w:rPr>
          <w:sz w:val="20"/>
          <w:szCs w:val="20"/>
          <w:color w:val="auto"/>
        </w:rPr>
      </w:pPr>
      <w:r>
        <w:rPr>
          <w:rFonts w:ascii="Arial" w:cs="Arial" w:eastAsia="Arial" w:hAnsi="Arial"/>
          <w:sz w:val="13"/>
          <w:szCs w:val="13"/>
          <w:color w:val="auto"/>
        </w:rPr>
        <w:t>corresponding reduction of stockholders’ equity, net of applicable deferred taxes, of $28,263,000. Of the $38,582,000 related to pension plans, $7,955,000 was related to unfunded nonqualified defined benefit plans. Because the recognition requirements of SFAS No. 158 were required to be applied at the end of the year of adoption, the Company had to first recognize the minimum liability amounts required under the provisions of SFAS No. 87, “Employers’ Accounting for Pensions.” As a result, as of December 31, 2006 the Company decreased its previously recorded minimum pension liability by $50,708,000 with a corresponding increase to other comprehensive income that, net of applicable deferred taxes, was $30,932,000. In order to recognize the funded status of the Company’s combined postretirement defined benefit plans under the provisions of SFAS No. 158, the Company then recorded an incremental minimum liability of $16,166,000 with a corresponding reduction of stockholders’ equity that, net of applicable deferred taxes, was $9,841,000. In total, the Company decreased its minimum liability from that which was recorded at December 31, 2005 by $34,542,000 with a corresponding increase to stockholders’ equity that, net of applicable deferred taxes, was $21,091,000.</w:t>
      </w:r>
    </w:p>
    <w:p>
      <w:pPr>
        <w:spacing w:after="0" w:line="4"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Effective January 1, 2006, the Company amended certain provisions of its defined benefit pension plans. The formula was changed to reduce the future accrual of benefits by lowering the accrual percentage and through use of a career-average-pay formula as opposed to the previous final-average-pay formula. The amendments affected benefits earned for service periods beginning after December 31, 2005. The amendments caused the projected benefit obligation associated with the defined benefit plans to decrease by approximately $98 million as of December 31, 2005. There was no corresponding effect on the accumulated benefit obligation. Amortization of prior service credits lowered pension expense in 2006 and 2007 by approximately $7 million. Also effective January 1, 2006, the Company began to provide a new qualified defined contribution pension plan. Active participants in the old defined benefit plan had the choice of electing to remain in the defined benefit plan under the reduced benefit formula, or electing to participate in the new qualified defined contribution plan. Under the new defined contribution pension plan, the Company makes contributions to the plan each year in an amount that is based on an individual participant’s total compensation (generally defined as total wages, incentive compensation, commissions and bonuses) and years of service. Participants do not contribute to the defined contribution pension plan. Employees who were not participants in the defined benefit plan as of December 31, 2005 are not eligible to participate in that plan, but are eligible to participate in the defined contribution plan. Pension expense recorded in 2007 and 2006 associated with the defined contribution pension plan was approximately $8 million and $7 million, respectively.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assumed weighted-average rates used to determine benefit obligations at December 31 were:</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w w:val="92"/>
              </w:rPr>
              <w:t>Pension</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97"/>
              </w:rPr>
              <w:t>Other</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4"/>
          </w:tcPr>
          <w:p>
            <w:pPr>
              <w:jc w:val="center"/>
              <w:ind w:right="140"/>
              <w:spacing w:after="0" w:line="106" w:lineRule="exact"/>
              <w:rPr>
                <w:sz w:val="20"/>
                <w:szCs w:val="20"/>
                <w:color w:val="auto"/>
              </w:rPr>
            </w:pPr>
            <w:r>
              <w:rPr>
                <w:rFonts w:ascii="Arial" w:cs="Arial" w:eastAsia="Arial" w:hAnsi="Arial"/>
                <w:sz w:val="10"/>
                <w:szCs w:val="10"/>
                <w:b w:val="1"/>
                <w:bCs w:val="1"/>
                <w:color w:val="auto"/>
                <w:w w:val="93"/>
              </w:rPr>
              <w:t>Postretirement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w w:val="91"/>
              </w:rPr>
              <w:t>Benefits</w:t>
            </w: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Benefits</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gridSpan w:val="2"/>
          </w:tcPr>
          <w:p>
            <w:pPr>
              <w:jc w:val="right"/>
              <w:ind w:right="60"/>
              <w:spacing w:after="0" w:line="96"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auto"/>
            </w:tcBorders>
            <w:gridSpan w:val="2"/>
          </w:tcPr>
          <w:p>
            <w:pPr>
              <w:jc w:val="right"/>
              <w:ind w:right="16"/>
              <w:spacing w:after="0" w:line="96"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auto"/>
            </w:tcBorders>
            <w:gridSpan w:val="2"/>
          </w:tcPr>
          <w:p>
            <w:pPr>
              <w:jc w:val="center"/>
              <w:spacing w:after="0" w:line="96"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340" w:type="dxa"/>
            <w:vAlign w:val="bottom"/>
            <w:tcBorders>
              <w:bottom w:val="single" w:sz="8" w:color="auto"/>
            </w:tcBorders>
          </w:tcPr>
          <w:p>
            <w:pPr>
              <w:jc w:val="right"/>
              <w:ind w:right="15"/>
              <w:spacing w:after="0" w:line="96"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820" w:type="dxa"/>
            <w:vAlign w:val="bottom"/>
            <w:gridSpan w:val="2"/>
          </w:tcPr>
          <w:p>
            <w:pPr>
              <w:spacing w:after="0"/>
              <w:rPr>
                <w:sz w:val="20"/>
                <w:szCs w:val="20"/>
                <w:color w:val="auto"/>
              </w:rPr>
            </w:pPr>
            <w:r>
              <w:rPr>
                <w:rFonts w:ascii="Arial" w:cs="Arial" w:eastAsia="Arial" w:hAnsi="Arial"/>
                <w:sz w:val="14"/>
                <w:szCs w:val="14"/>
                <w:color w:val="auto"/>
              </w:rPr>
              <w:t>Discount rate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4"/>
          </w:tcPr>
          <w:p>
            <w:pPr>
              <w:ind w:left="100"/>
              <w:spacing w:after="0"/>
              <w:rPr>
                <w:sz w:val="20"/>
                <w:szCs w:val="20"/>
                <w:color w:val="auto"/>
              </w:rPr>
            </w:pPr>
            <w:r>
              <w:rPr>
                <w:rFonts w:ascii="Arial" w:cs="Arial" w:eastAsia="Arial" w:hAnsi="Arial"/>
                <w:sz w:val="14"/>
                <w:szCs w:val="14"/>
                <w:color w:val="auto"/>
              </w:rPr>
              <w:t>6.00%</w:t>
            </w:r>
          </w:p>
        </w:tc>
        <w:tc>
          <w:tcPr>
            <w:tcW w:w="740" w:type="dxa"/>
            <w:vAlign w:val="bottom"/>
            <w:gridSpan w:val="4"/>
          </w:tcPr>
          <w:p>
            <w:pPr>
              <w:ind w:left="80"/>
              <w:spacing w:after="0"/>
              <w:rPr>
                <w:sz w:val="20"/>
                <w:szCs w:val="20"/>
                <w:color w:val="auto"/>
              </w:rPr>
            </w:pPr>
            <w:r>
              <w:rPr>
                <w:rFonts w:ascii="Arial" w:cs="Arial" w:eastAsia="Arial" w:hAnsi="Arial"/>
                <w:sz w:val="14"/>
                <w:szCs w:val="14"/>
                <w:color w:val="auto"/>
              </w:rPr>
              <w:t>5.75%</w:t>
            </w:r>
          </w:p>
        </w:tc>
        <w:tc>
          <w:tcPr>
            <w:tcW w:w="760" w:type="dxa"/>
            <w:vAlign w:val="bottom"/>
            <w:gridSpan w:val="3"/>
          </w:tcPr>
          <w:p>
            <w:pPr>
              <w:jc w:val="right"/>
              <w:ind w:right="249"/>
              <w:spacing w:after="0"/>
              <w:rPr>
                <w:sz w:val="20"/>
                <w:szCs w:val="20"/>
                <w:color w:val="auto"/>
              </w:rPr>
            </w:pPr>
            <w:r>
              <w:rPr>
                <w:rFonts w:ascii="Arial" w:cs="Arial" w:eastAsia="Arial" w:hAnsi="Arial"/>
                <w:sz w:val="14"/>
                <w:szCs w:val="14"/>
                <w:color w:val="auto"/>
              </w:rPr>
              <w:t>6.00%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80"/>
        </w:trPr>
        <w:tc>
          <w:tcPr>
            <w:tcW w:w="5820" w:type="dxa"/>
            <w:vAlign w:val="bottom"/>
            <w:gridSpan w:val="2"/>
          </w:tcPr>
          <w:p>
            <w:pPr>
              <w:spacing w:after="0"/>
              <w:rPr>
                <w:sz w:val="20"/>
                <w:szCs w:val="20"/>
                <w:color w:val="auto"/>
              </w:rPr>
            </w:pPr>
            <w:r>
              <w:rPr>
                <w:rFonts w:ascii="Arial" w:cs="Arial" w:eastAsia="Arial" w:hAnsi="Arial"/>
                <w:sz w:val="14"/>
                <w:szCs w:val="14"/>
                <w:color w:val="auto"/>
              </w:rPr>
              <w:t>Rate of increase in future compensation levels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4"/>
          </w:tcPr>
          <w:p>
            <w:pPr>
              <w:ind w:left="100"/>
              <w:spacing w:after="0"/>
              <w:rPr>
                <w:sz w:val="20"/>
                <w:szCs w:val="20"/>
                <w:color w:val="auto"/>
              </w:rPr>
            </w:pPr>
            <w:r>
              <w:rPr>
                <w:rFonts w:ascii="Arial" w:cs="Arial" w:eastAsia="Arial" w:hAnsi="Arial"/>
                <w:sz w:val="14"/>
                <w:szCs w:val="14"/>
                <w:color w:val="auto"/>
              </w:rPr>
              <w:t>4.60%</w:t>
            </w:r>
          </w:p>
        </w:tc>
        <w:tc>
          <w:tcPr>
            <w:tcW w:w="740" w:type="dxa"/>
            <w:vAlign w:val="bottom"/>
            <w:gridSpan w:val="4"/>
          </w:tcPr>
          <w:p>
            <w:pPr>
              <w:ind w:left="80"/>
              <w:spacing w:after="0"/>
              <w:rPr>
                <w:sz w:val="20"/>
                <w:szCs w:val="20"/>
                <w:color w:val="auto"/>
              </w:rPr>
            </w:pPr>
            <w:r>
              <w:rPr>
                <w:rFonts w:ascii="Arial" w:cs="Arial" w:eastAsia="Arial" w:hAnsi="Arial"/>
                <w:sz w:val="14"/>
                <w:szCs w:val="14"/>
                <w:color w:val="auto"/>
              </w:rPr>
              <w:t>4.70%</w:t>
            </w:r>
          </w:p>
        </w:tc>
        <w:tc>
          <w:tcPr>
            <w:tcW w:w="20" w:type="dxa"/>
            <w:vAlign w:val="bottom"/>
          </w:tcPr>
          <w:p>
            <w:pPr>
              <w:spacing w:after="0"/>
              <w:rPr>
                <w:sz w:val="15"/>
                <w:szCs w:val="15"/>
                <w:color w:val="auto"/>
              </w:rPr>
            </w:pPr>
          </w:p>
        </w:tc>
        <w:tc>
          <w:tcPr>
            <w:tcW w:w="74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240" w:type="dxa"/>
            <w:vAlign w:val="bottom"/>
            <w:gridSpan w:val="6"/>
          </w:tcPr>
          <w:p>
            <w:pPr>
              <w:ind w:left="580"/>
              <w:spacing w:after="0"/>
              <w:rPr>
                <w:sz w:val="20"/>
                <w:szCs w:val="20"/>
                <w:color w:val="auto"/>
              </w:rPr>
            </w:pPr>
            <w:r>
              <w:rPr>
                <w:rFonts w:ascii="Arial" w:cs="Arial" w:eastAsia="Arial" w:hAnsi="Arial"/>
                <w:sz w:val="14"/>
                <w:szCs w:val="14"/>
                <w:color w:val="auto"/>
                <w:w w:val="91"/>
              </w:rPr>
              <w:t>The assumed weighted-average rates used to determine net benefit expense for the years ended December 31 were: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0"/>
                <w:szCs w:val="10"/>
                <w:b w:val="1"/>
                <w:bCs w:val="1"/>
                <w:color w:val="auto"/>
                <w:w w:val="88"/>
              </w:rPr>
              <w:t>Pension Benefits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right="349"/>
              <w:spacing w:after="0"/>
              <w:rPr>
                <w:sz w:val="20"/>
                <w:szCs w:val="20"/>
                <w:color w:val="auto"/>
              </w:rPr>
            </w:pPr>
            <w:r>
              <w:rPr>
                <w:rFonts w:ascii="Arial" w:cs="Arial" w:eastAsia="Arial" w:hAnsi="Arial"/>
                <w:sz w:val="10"/>
                <w:szCs w:val="10"/>
                <w:b w:val="1"/>
                <w:bCs w:val="1"/>
                <w:color w:val="auto"/>
                <w:w w:val="97"/>
              </w:rPr>
              <w:t>Other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2"/>
              </w:rPr>
              <w:t>Postretirement Benefits</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580" w:type="dxa"/>
            <w:vAlign w:val="bottom"/>
            <w:gridSpan w:val="2"/>
          </w:tcPr>
          <w:p>
            <w:pPr>
              <w:jc w:val="right"/>
              <w:ind w:right="80"/>
              <w:spacing w:after="0" w:line="96" w:lineRule="exact"/>
              <w:rPr>
                <w:sz w:val="20"/>
                <w:szCs w:val="20"/>
                <w:color w:val="auto"/>
              </w:rPr>
            </w:pPr>
            <w:r>
              <w:rPr>
                <w:rFonts w:ascii="Arial" w:cs="Arial" w:eastAsia="Arial" w:hAnsi="Arial"/>
                <w:sz w:val="10"/>
                <w:szCs w:val="10"/>
                <w:b w:val="1"/>
                <w:bCs w:val="1"/>
                <w:color w:val="auto"/>
              </w:rPr>
              <w:t>2006</w:t>
            </w:r>
          </w:p>
        </w:tc>
        <w:tc>
          <w:tcPr>
            <w:tcW w:w="360" w:type="dxa"/>
            <w:vAlign w:val="bottom"/>
          </w:tcPr>
          <w:p>
            <w:pPr>
              <w:spacing w:after="0"/>
              <w:rPr>
                <w:sz w:val="8"/>
                <w:szCs w:val="8"/>
                <w:color w:val="auto"/>
              </w:rPr>
            </w:pPr>
          </w:p>
        </w:tc>
        <w:tc>
          <w:tcPr>
            <w:tcW w:w="340" w:type="dxa"/>
            <w:vAlign w:val="bottom"/>
            <w:gridSpan w:val="2"/>
          </w:tcPr>
          <w:p>
            <w:pPr>
              <w:ind w:left="100"/>
              <w:spacing w:after="0" w:line="96" w:lineRule="exact"/>
              <w:rPr>
                <w:sz w:val="20"/>
                <w:szCs w:val="20"/>
                <w:color w:val="auto"/>
              </w:rPr>
            </w:pPr>
            <w:r>
              <w:rPr>
                <w:rFonts w:ascii="Arial" w:cs="Arial" w:eastAsia="Arial" w:hAnsi="Arial"/>
                <w:sz w:val="10"/>
                <w:szCs w:val="10"/>
                <w:b w:val="1"/>
                <w:bCs w:val="1"/>
                <w:color w:val="auto"/>
                <w:w w:val="98"/>
              </w:rPr>
              <w:t>2005</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ind w:left="60"/>
              <w:spacing w:after="0" w:line="96"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gridSpan w:val="2"/>
          </w:tcPr>
          <w:p>
            <w:pPr>
              <w:jc w:val="center"/>
              <w:spacing w:after="0" w:line="96"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340" w:type="dxa"/>
            <w:vAlign w:val="bottom"/>
          </w:tcPr>
          <w:p>
            <w:pPr>
              <w:jc w:val="right"/>
              <w:ind w:right="15"/>
              <w:spacing w:after="0" w:line="96"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5.50%</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6.00%</w:t>
            </w:r>
          </w:p>
        </w:tc>
        <w:tc>
          <w:tcPr>
            <w:tcW w:w="740" w:type="dxa"/>
            <w:vAlign w:val="bottom"/>
            <w:gridSpan w:val="4"/>
            <w:shd w:val="clear" w:color="auto" w:fill="CCEEFF"/>
          </w:tcPr>
          <w:p>
            <w:pPr>
              <w:jc w:val="right"/>
              <w:ind w:right="209"/>
              <w:spacing w:after="0"/>
              <w:rPr>
                <w:sz w:val="20"/>
                <w:szCs w:val="20"/>
                <w:color w:val="auto"/>
              </w:rPr>
            </w:pPr>
            <w:r>
              <w:rPr>
                <w:rFonts w:ascii="Arial" w:cs="Arial" w:eastAsia="Arial" w:hAnsi="Arial"/>
                <w:sz w:val="14"/>
                <w:szCs w:val="14"/>
                <w:color w:val="auto"/>
              </w:rPr>
              <w:t>5.75%</w:t>
            </w:r>
          </w:p>
        </w:tc>
        <w:tc>
          <w:tcPr>
            <w:tcW w:w="760" w:type="dxa"/>
            <w:vAlign w:val="bottom"/>
            <w:gridSpan w:val="3"/>
            <w:shd w:val="clear" w:color="auto" w:fill="CCEEFF"/>
          </w:tcPr>
          <w:p>
            <w:pPr>
              <w:jc w:val="right"/>
              <w:ind w:right="229"/>
              <w:spacing w:after="0"/>
              <w:rPr>
                <w:sz w:val="20"/>
                <w:szCs w:val="20"/>
                <w:color w:val="auto"/>
              </w:rPr>
            </w:pPr>
            <w:r>
              <w:rPr>
                <w:rFonts w:ascii="Arial" w:cs="Arial" w:eastAsia="Arial" w:hAnsi="Arial"/>
                <w:sz w:val="14"/>
                <w:szCs w:val="14"/>
                <w:color w:val="auto"/>
              </w:rPr>
              <w:t>5.50%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Long-term rate of return on plan assets</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8.00%</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8.50%</w:t>
            </w:r>
          </w:p>
        </w:tc>
        <w:tc>
          <w:tcPr>
            <w:tcW w:w="760" w:type="dxa"/>
            <w:vAlign w:val="bottom"/>
            <w:gridSpan w:val="4"/>
          </w:tcPr>
          <w:p>
            <w:pPr>
              <w:jc w:val="right"/>
              <w:ind w:right="280"/>
              <w:spacing w:after="0"/>
              <w:rPr>
                <w:sz w:val="20"/>
                <w:szCs w:val="20"/>
                <w:color w:val="auto"/>
              </w:rPr>
            </w:pPr>
            <w:r>
              <w:rPr>
                <w:rFonts w:ascii="Arial" w:cs="Arial" w:eastAsia="Arial" w:hAnsi="Arial"/>
                <w:sz w:val="14"/>
                <w:szCs w:val="14"/>
                <w:color w:val="auto"/>
              </w:rPr>
              <w:t>8.50%</w:t>
            </w:r>
          </w:p>
        </w:tc>
        <w:tc>
          <w:tcPr>
            <w:tcW w:w="20" w:type="dxa"/>
            <w:vAlign w:val="bottom"/>
          </w:tcPr>
          <w:p>
            <w:pPr>
              <w:spacing w:after="0"/>
              <w:rPr>
                <w:sz w:val="14"/>
                <w:szCs w:val="14"/>
                <w:color w:val="auto"/>
              </w:rPr>
            </w:pPr>
          </w:p>
        </w:tc>
        <w:tc>
          <w:tcPr>
            <w:tcW w:w="720" w:type="dxa"/>
            <w:vAlign w:val="bottom"/>
            <w:gridSpan w:val="3"/>
          </w:tcPr>
          <w:p>
            <w:pPr>
              <w:jc w:val="right"/>
              <w:ind w:right="3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Rate of increase in future compensation levels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4.70%</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4.90%</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4.91%</w:t>
            </w:r>
          </w:p>
        </w:tc>
        <w:tc>
          <w:tcPr>
            <w:tcW w:w="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240" w:firstLine="599"/>
        <w:spacing w:after="0" w:line="358" w:lineRule="auto"/>
        <w:rPr>
          <w:sz w:val="20"/>
          <w:szCs w:val="20"/>
          <w:color w:val="auto"/>
        </w:rPr>
      </w:pPr>
      <w:r>
        <w:rPr>
          <w:rFonts w:ascii="Arial" w:cs="Arial" w:eastAsia="Arial" w:hAnsi="Arial"/>
          <w:sz w:val="12"/>
          <w:szCs w:val="12"/>
          <w:color w:val="auto"/>
        </w:rPr>
        <w:t>On December 1, 2007, pension and other benefit obligations were assumed as a result of the acquisition of Partners Trust. Initial liabilities and net costs were determined using a 6.00% discount rate and other assumptions as noted above. Partners Trust had previously frozen all pension benefit accruals and participation in its plan.</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340" w:firstLine="599"/>
        <w:spacing w:after="0" w:line="272" w:lineRule="auto"/>
        <w:rPr>
          <w:sz w:val="20"/>
          <w:szCs w:val="20"/>
          <w:color w:val="auto"/>
        </w:rPr>
      </w:pPr>
      <w:r>
        <w:rPr>
          <w:rFonts w:ascii="Arial" w:cs="Arial" w:eastAsia="Arial" w:hAnsi="Arial"/>
          <w:sz w:val="14"/>
          <w:szCs w:val="14"/>
          <w:color w:val="auto"/>
        </w:rPr>
        <w:t>Weighted-average pension plan asset allocations based on the fair value of such assets at December 31, 2007 and 2006, and target allocations for 2008, by asset category, are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December 31</w:t>
            </w:r>
          </w:p>
        </w:tc>
        <w:tc>
          <w:tcPr>
            <w:tcW w:w="110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Target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32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1100" w:type="dxa"/>
            <w:vAlign w:val="bottom"/>
            <w:gridSpan w:val="2"/>
          </w:tcPr>
          <w:p>
            <w:pPr>
              <w:jc w:val="right"/>
              <w:ind w:right="280"/>
              <w:spacing w:after="0" w:line="96" w:lineRule="exact"/>
              <w:rPr>
                <w:sz w:val="20"/>
                <w:szCs w:val="20"/>
                <w:color w:val="auto"/>
              </w:rPr>
            </w:pPr>
            <w:r>
              <w:rPr>
                <w:rFonts w:ascii="Arial" w:cs="Arial" w:eastAsia="Arial" w:hAnsi="Arial"/>
                <w:sz w:val="10"/>
                <w:szCs w:val="10"/>
                <w:b w:val="1"/>
                <w:bCs w:val="1"/>
                <w:color w:val="auto"/>
              </w:rPr>
              <w:t>Allocation 2008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4"/>
                <w:szCs w:val="14"/>
                <w:color w:val="auto"/>
              </w:rPr>
              <w:t>Debt securities</w:t>
            </w:r>
          </w:p>
        </w:tc>
        <w:tc>
          <w:tcPr>
            <w:tcW w:w="320" w:type="dxa"/>
            <w:vAlign w:val="bottom"/>
          </w:tcPr>
          <w:p>
            <w:pPr>
              <w:jc w:val="right"/>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20" w:type="dxa"/>
            <w:vAlign w:val="bottom"/>
            <w:gridSpan w:val="2"/>
          </w:tcPr>
          <w:p>
            <w:pPr>
              <w:spacing w:after="0"/>
              <w:rPr>
                <w:sz w:val="20"/>
                <w:szCs w:val="20"/>
                <w:color w:val="auto"/>
              </w:rPr>
            </w:pPr>
            <w:r>
              <w:rPr>
                <w:rFonts w:ascii="Arial" w:cs="Arial" w:eastAsia="Arial" w:hAnsi="Arial"/>
                <w:sz w:val="14"/>
                <w:szCs w:val="14"/>
                <w:color w:val="auto"/>
              </w:rPr>
              <w:t>Total</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100%</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100%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60" w:firstLine="599"/>
        <w:spacing w:after="0" w:line="247" w:lineRule="auto"/>
        <w:rPr>
          <w:sz w:val="20"/>
          <w:szCs w:val="20"/>
          <w:color w:val="auto"/>
        </w:rPr>
      </w:pPr>
      <w:r>
        <w:rPr>
          <w:rFonts w:ascii="Arial" w:cs="Arial" w:eastAsia="Arial" w:hAnsi="Arial"/>
          <w:sz w:val="14"/>
          <w:szCs w:val="14"/>
          <w:color w:val="auto"/>
        </w:rPr>
        <w:t>The expected long-term rate of return assumption as of each measurement date was determined by taking into consideration asset allocations as of each such date, target allocations of assets, historical returns on the types of assets held and current economic factors. The Company’s investment policy for determining the asset allocation targets was developed based on the desire to maximize total return while placing a strong emphasis on preservation of capital. In general, it is hoped that, in the aggregate, changes in the fair value of plan assets will be less volatile than similar changes in appropriate market indices. Returns on invested assets are periodically compared with target market indices for each asset type to aid management in evaluating such returns. Furthermore, management regularly reviews the investment policy and may, if deemed appropriate, make changes to the target allocations presented above.</w:t>
      </w:r>
    </w:p>
    <w:p>
      <w:pPr>
        <w:spacing w:after="0" w:line="2" w:lineRule="exact"/>
        <w:rPr>
          <w:sz w:val="20"/>
          <w:szCs w:val="20"/>
          <w:color w:val="auto"/>
        </w:rPr>
      </w:pPr>
    </w:p>
    <w:p>
      <w:pPr>
        <w:ind w:left="680" w:right="160" w:firstLine="599"/>
        <w:spacing w:after="0" w:line="244" w:lineRule="auto"/>
        <w:rPr>
          <w:sz w:val="20"/>
          <w:szCs w:val="20"/>
          <w:color w:val="auto"/>
        </w:rPr>
      </w:pPr>
      <w:r>
        <w:rPr>
          <w:rFonts w:ascii="Arial" w:cs="Arial" w:eastAsia="Arial" w:hAnsi="Arial"/>
          <w:sz w:val="14"/>
          <w:szCs w:val="14"/>
          <w:color w:val="auto"/>
        </w:rPr>
        <w:t>Pension plan assets included common stock of M&amp;T with a fair value of $26,749,000 (4% of total plan assets) at December 31, 2007 and $40,059,000 (8% of total plan assets) at December 31, 2006. Pension plan assets included American Depositary Shares of AIB (“AIB ADSs”) with a fair value of $6,478,000 and $8,570,000 at December 31, 2007 and 2006, respectively (see note 23).</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Company makes contributions to its funded qualified defined benefit pension plans as required by government regulation or as deemed appropriate by management after considering factors such as the fair value of plan assets, expected returns on such assets, and the present value of benefit obligations of the plans. Subject to the impact of actual events and circumstances that may occur in 2008, the Company may make contributions to the qualified defined benefit pension plans in 2008, but the amount of any such contribution has not yet been determined. No minimum contribution is required in 2008 under government regulations for the qualified defined benefit pension plans. The Company contributed $66 million to the qualified defined benefit pension plans in 2007 and $36 million in 2006. The Company regularly funds the payment of benefit obligations for the supplemental defined benefit pension and postretirement benefit plans because such plans do not hold assets for investment. Payments made by the Company for supplemental pension benefits were $2,665,000 and $4,835,000 in 2007 and 2006, respectively. Payments made by the Company for postretirement benefits were $6,603,000 and $8,186,000 in 2007 and 2006, respectively. Payments for supplemental pension and other postretirement benefits for 2008 are not expected to differ from those made in 2007 by an amount that will be material to the Company’s consolidated financial position.</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Estimated benefits expected to be paid in future years related to the Company’s defined benefit pension and other postretirement benefits plans are as follows: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Pension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3"/>
              </w:rPr>
              <w:t>Postretirement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Benefits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1"/>
              </w:rPr>
              <w:t>Benefits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3"/>
          </w:tcPr>
          <w:p>
            <w:pPr>
              <w:jc w:val="right"/>
              <w:ind w:right="576"/>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3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2008</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  34,602</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2009</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34,038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2010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38,324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40,383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2012</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43,333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 through 2017</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248,032</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jc w:val="both"/>
        <w:ind w:left="680" w:right="20" w:firstLine="599"/>
        <w:spacing w:after="0" w:line="287" w:lineRule="auto"/>
        <w:rPr>
          <w:sz w:val="20"/>
          <w:szCs w:val="20"/>
          <w:color w:val="auto"/>
        </w:rPr>
      </w:pPr>
      <w:r>
        <w:rPr>
          <w:rFonts w:ascii="Arial" w:cs="Arial" w:eastAsia="Arial" w:hAnsi="Arial"/>
          <w:sz w:val="13"/>
          <w:szCs w:val="13"/>
          <w:color w:val="auto"/>
        </w:rPr>
        <w:t>For measurement of other postretirement benefits, an 8% annual rate of increase in the per capita cost of covered health care benefits was assumed for 2008. The rate was assumed to decrease gradually to 5% over 3 years and remain constant thereafter. Assumed health care cost trend rates have a significant effect on the amounts reported for health care plans. A one-percentage point change in assumed health care cost trend rates would have had the following effects: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10"/>
                <w:szCs w:val="10"/>
                <w:color w:val="auto"/>
              </w:rPr>
            </w:pPr>
          </w:p>
        </w:tc>
        <w:tc>
          <w:tcPr>
            <w:tcW w:w="50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-1%</w:t>
            </w: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(In thousands)</w:t>
            </w:r>
          </w:p>
        </w:tc>
      </w:tr>
      <w:tr>
        <w:trPr>
          <w:trHeight w:val="175"/>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2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660" w:type="dxa"/>
            <w:vAlign w:val="bottom"/>
          </w:tcPr>
          <w:p>
            <w:pPr>
              <w:ind w:left="120"/>
              <w:spacing w:after="0"/>
              <w:rPr>
                <w:sz w:val="20"/>
                <w:szCs w:val="20"/>
                <w:color w:val="auto"/>
              </w:rPr>
            </w:pPr>
            <w:r>
              <w:rPr>
                <w:rFonts w:ascii="Arial" w:cs="Arial" w:eastAsia="Arial" w:hAnsi="Arial"/>
                <w:sz w:val="14"/>
                <w:szCs w:val="14"/>
                <w:color w:val="auto"/>
              </w:rPr>
              <w:t>Service and interest cost</w:t>
            </w:r>
          </w:p>
        </w:tc>
        <w:tc>
          <w:tcPr>
            <w:tcW w:w="3320" w:type="dxa"/>
            <w:vAlign w:val="bottom"/>
            <w:gridSpan w:val="2"/>
          </w:tcPr>
          <w:p>
            <w:pPr>
              <w:jc w:val="right"/>
              <w:spacing w:after="0"/>
              <w:rPr>
                <w:sz w:val="20"/>
                <w:szCs w:val="20"/>
                <w:color w:val="auto"/>
              </w:rPr>
            </w:pPr>
            <w:r>
              <w:rPr>
                <w:rFonts w:ascii="Arial" w:cs="Arial" w:eastAsia="Arial" w:hAnsi="Arial"/>
                <w:sz w:val="14"/>
                <w:szCs w:val="14"/>
                <w:color w:val="auto"/>
              </w:rPr>
              <w:t>$  200</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  (178)</w:t>
            </w:r>
          </w:p>
        </w:tc>
      </w:tr>
      <w:tr>
        <w:trPr>
          <w:trHeight w:val="164"/>
        </w:trPr>
        <w:tc>
          <w:tcPr>
            <w:tcW w:w="20" w:type="dxa"/>
            <w:vAlign w:val="bottom"/>
          </w:tcPr>
          <w:p>
            <w:pPr>
              <w:spacing w:after="0"/>
              <w:rPr>
                <w:sz w:val="14"/>
                <w:szCs w:val="14"/>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postretirement benefit obligation</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(3,274)</w:t>
            </w:r>
          </w:p>
        </w:tc>
      </w:tr>
    </w:tbl>
    <w:p>
      <w:pPr>
        <w:spacing w:after="0" w:line="161" w:lineRule="exact"/>
        <w:rPr>
          <w:sz w:val="20"/>
          <w:szCs w:val="20"/>
          <w:color w:val="auto"/>
        </w:rPr>
      </w:pPr>
    </w:p>
    <w:p>
      <w:pPr>
        <w:ind w:left="680" w:right="80" w:firstLine="399"/>
        <w:spacing w:after="0" w:line="251" w:lineRule="auto"/>
        <w:rPr>
          <w:sz w:val="20"/>
          <w:szCs w:val="20"/>
          <w:color w:val="auto"/>
        </w:rPr>
      </w:pPr>
      <w:r>
        <w:rPr>
          <w:rFonts w:ascii="Arial" w:cs="Arial" w:eastAsia="Arial" w:hAnsi="Arial"/>
          <w:sz w:val="14"/>
          <w:szCs w:val="14"/>
          <w:color w:val="auto"/>
        </w:rPr>
        <w:t>The Company has a retirement savings plan (“Savings Plan”)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Savings Plan totaled $21,749,000, $21,152,000 and $16,507,000 in 2007, 2006 and 2005, respectively.</w:t>
      </w:r>
    </w:p>
    <w:p>
      <w:pPr>
        <w:spacing w:after="0" w:line="138" w:lineRule="exact"/>
        <w:rPr>
          <w:sz w:val="20"/>
          <w:szCs w:val="20"/>
          <w:color w:val="auto"/>
        </w:rPr>
      </w:pPr>
    </w:p>
    <w:p>
      <w:pPr>
        <w:ind w:left="1180" w:hanging="495"/>
        <w:spacing w:after="0"/>
        <w:tabs>
          <w:tab w:leader="none" w:pos="118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components of income tax expense (benefit) were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8"/>
              </w:rPr>
              <w:t>2006</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tcPr>
          <w:p>
            <w:pPr>
              <w:jc w:val="right"/>
              <w:ind w:right="136"/>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left="215"/>
              <w:spacing w:after="0"/>
              <w:rPr>
                <w:sz w:val="20"/>
                <w:szCs w:val="20"/>
                <w:color w:val="auto"/>
              </w:rPr>
            </w:pPr>
            <w:r>
              <w:rPr>
                <w:rFonts w:ascii="Arial" w:cs="Arial" w:eastAsia="Arial" w:hAnsi="Arial"/>
                <w:sz w:val="10"/>
                <w:szCs w:val="10"/>
                <w:b w:val="1"/>
                <w:bCs w:val="1"/>
                <w:color w:val="auto"/>
                <w:w w:val="89"/>
              </w:rPr>
              <w:t>(In thousands)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20" w:type="dxa"/>
            <w:vAlign w:val="bottom"/>
          </w:tcPr>
          <w:p>
            <w:pPr>
              <w:ind w:left="120"/>
              <w:spacing w:after="0"/>
              <w:rPr>
                <w:sz w:val="20"/>
                <w:szCs w:val="20"/>
                <w:color w:val="auto"/>
              </w:rPr>
            </w:pPr>
            <w:r>
              <w:rPr>
                <w:rFonts w:ascii="Arial" w:cs="Arial" w:eastAsia="Arial" w:hAnsi="Arial"/>
                <w:sz w:val="14"/>
                <w:szCs w:val="14"/>
                <w:color w:val="auto"/>
              </w:rPr>
              <w:t>Federal</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321,604</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$ 439,632</w:t>
            </w: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$ 453,425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city</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32,344</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21,070</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23,382</w:t>
            </w:r>
          </w:p>
        </w:tc>
        <w:tc>
          <w:tcPr>
            <w:tcW w:w="8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Arial" w:cs="Arial" w:eastAsia="Arial" w:hAnsi="Arial"/>
                <w:sz w:val="14"/>
                <w:szCs w:val="14"/>
                <w:color w:val="auto"/>
              </w:rPr>
              <w:t>Total current</w:t>
            </w:r>
          </w:p>
        </w:tc>
        <w:tc>
          <w:tcPr>
            <w:tcW w:w="2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353,948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460,702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476,807</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tcPr>
          <w:p>
            <w:pPr>
              <w:ind w:left="120"/>
              <w:spacing w:after="0"/>
              <w:rPr>
                <w:sz w:val="20"/>
                <w:szCs w:val="20"/>
                <w:color w:val="auto"/>
              </w:rPr>
            </w:pPr>
            <w:r>
              <w:rPr>
                <w:rFonts w:ascii="Arial" w:cs="Arial" w:eastAsia="Arial" w:hAnsi="Arial"/>
                <w:sz w:val="14"/>
                <w:szCs w:val="14"/>
                <w:color w:val="auto"/>
              </w:rPr>
              <w:t>Federal</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(40,707)</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(56,981)</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(79,383)</w:t>
            </w:r>
          </w:p>
        </w:tc>
      </w:tr>
      <w:tr>
        <w:trPr>
          <w:trHeight w:val="164"/>
        </w:trPr>
        <w:tc>
          <w:tcPr>
            <w:tcW w:w="20" w:type="dxa"/>
            <w:vAlign w:val="bottom"/>
          </w:tcPr>
          <w:p>
            <w:pPr>
              <w:spacing w:after="0"/>
              <w:rPr>
                <w:sz w:val="14"/>
                <w:szCs w:val="14"/>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city</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(3,963)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(11,268)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(8,688)</w:t>
            </w: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Arial" w:cs="Arial" w:eastAsia="Arial" w:hAnsi="Arial"/>
                <w:sz w:val="14"/>
                <w:szCs w:val="14"/>
                <w:color w:val="auto"/>
              </w:rPr>
              <w:t>Total deferred</w:t>
            </w:r>
          </w:p>
        </w:tc>
        <w:tc>
          <w:tcPr>
            <w:tcW w:w="2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(44,670)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(68,249)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(88,071)</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income taxes applicable to pre-tax income</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309,278</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$ 392,453</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$ 388,736</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4" w:lineRule="exact"/>
        <w:rPr>
          <w:sz w:val="20"/>
          <w:szCs w:val="20"/>
          <w:color w:val="auto"/>
        </w:rPr>
      </w:pPr>
    </w:p>
    <w:p>
      <w:pPr>
        <w:ind w:left="680" w:right="80" w:firstLine="599"/>
        <w:spacing w:after="0" w:line="288" w:lineRule="auto"/>
        <w:rPr>
          <w:sz w:val="20"/>
          <w:szCs w:val="20"/>
          <w:color w:val="auto"/>
        </w:rPr>
      </w:pPr>
      <w:r>
        <w:rPr>
          <w:rFonts w:ascii="Arial" w:cs="Arial" w:eastAsia="Arial" w:hAnsi="Arial"/>
          <w:sz w:val="12"/>
          <w:szCs w:val="12"/>
          <w:color w:val="auto"/>
        </w:rPr>
        <w:t>The Company files a consolidated federal income tax return reflecting taxable income earned by all subsidiaries. In prior years, applicable federal tax law allowed certain financial institutions the option of deducting as bad debt expense for tax purposes amounts in excess of actual losses. In accordance with generally accepted accounting principles,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2007, M&amp;T Bank’s tax bad debt reserve for which no federal income taxes have been provided was $79,121,000, including $5,100,000 obtained in the Partners Trust acquisition. No actions are planned that would cause this reserve to become wholly or partially taxable.</w:t>
      </w:r>
    </w:p>
    <w:p>
      <w:pPr>
        <w:spacing w:after="0" w:line="3" w:lineRule="exact"/>
        <w:rPr>
          <w:sz w:val="20"/>
          <w:szCs w:val="20"/>
          <w:color w:val="auto"/>
        </w:rPr>
      </w:pPr>
    </w:p>
    <w:p>
      <w:pPr>
        <w:ind w:left="680" w:right="420" w:firstLine="599"/>
        <w:spacing w:after="0" w:line="255" w:lineRule="auto"/>
        <w:rPr>
          <w:sz w:val="20"/>
          <w:szCs w:val="20"/>
          <w:color w:val="auto"/>
        </w:rPr>
      </w:pPr>
      <w:r>
        <w:rPr>
          <w:rFonts w:ascii="Arial" w:cs="Arial" w:eastAsia="Arial" w:hAnsi="Arial"/>
          <w:sz w:val="14"/>
          <w:szCs w:val="14"/>
          <w:color w:val="auto"/>
        </w:rPr>
        <w:t>Income taxes attributable to gains or losses on bank investment securities were benefits of $49,308,000 and $5,434,000 in 2007 and 2005, respectively, and an expense of $976,000 in 2006. No alternative minimum tax expense was recognized in 2007, 2006 or 2005.</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Total income taxes differed from the amount computed by applying the statutory federal income tax rate to pre-tax income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jc w:val="center"/>
              <w:ind w:left="36"/>
              <w:spacing w:after="0" w:line="96"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31"/>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taxes at statutory rate</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337,238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$ 431,075</w:t>
            </w:r>
          </w:p>
        </w:tc>
        <w:tc>
          <w:tcPr>
            <w:tcW w:w="28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409,822</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Increase (decrease) in taxes: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Tax-exempt income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(30,149)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(31,222)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(27,548)</w:t>
            </w:r>
          </w:p>
        </w:tc>
      </w:tr>
      <w:tr>
        <w:trPr>
          <w:trHeight w:val="164"/>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State and city income taxes, net of federal income tax effect</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18,448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6,371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9,551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(16,259)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(13,771)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(3,089)</w:t>
            </w: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309,278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$ 392,453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388,736</w:t>
            </w:r>
          </w:p>
        </w:tc>
        <w:tc>
          <w:tcPr>
            <w:tcW w:w="80" w:type="dxa"/>
            <w:vAlign w:val="bottom"/>
          </w:tcPr>
          <w:p>
            <w:pPr>
              <w:spacing w:after="0"/>
              <w:rPr>
                <w:sz w:val="14"/>
                <w:szCs w:val="14"/>
                <w:color w:val="auto"/>
              </w:rPr>
            </w:pPr>
          </w:p>
        </w:tc>
      </w:tr>
      <w:tr>
        <w:trPr>
          <w:trHeight w:val="264"/>
        </w:trPr>
        <w:tc>
          <w:tcPr>
            <w:tcW w:w="20" w:type="dxa"/>
            <w:vAlign w:val="bottom"/>
          </w:tcPr>
          <w:p>
            <w:pPr>
              <w:spacing w:after="0"/>
              <w:rPr>
                <w:sz w:val="22"/>
                <w:szCs w:val="22"/>
                <w:color w:val="auto"/>
              </w:rPr>
            </w:pPr>
          </w:p>
        </w:tc>
        <w:tc>
          <w:tcPr>
            <w:tcW w:w="6080" w:type="dxa"/>
            <w:vAlign w:val="bottom"/>
          </w:tcPr>
          <w:p>
            <w:pPr>
              <w:ind w:left="580"/>
              <w:spacing w:after="0"/>
              <w:rPr>
                <w:sz w:val="20"/>
                <w:szCs w:val="20"/>
                <w:color w:val="auto"/>
              </w:rPr>
            </w:pPr>
            <w:r>
              <w:rPr>
                <w:rFonts w:ascii="Arial" w:cs="Arial" w:eastAsia="Arial" w:hAnsi="Arial"/>
                <w:sz w:val="14"/>
                <w:szCs w:val="14"/>
                <w:color w:val="auto"/>
              </w:rPr>
              <w:t>Deferred tax assets (liabilities) were comprised of the following at December 31:</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9"/>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7"/>
                <w:szCs w:val="17"/>
                <w:color w:val="auto"/>
              </w:rPr>
            </w:pPr>
          </w:p>
        </w:tc>
      </w:tr>
      <w:tr>
        <w:trPr>
          <w:trHeight w:val="123"/>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(In thousands)</w:t>
            </w:r>
          </w:p>
        </w:tc>
        <w:tc>
          <w:tcPr>
            <w:tcW w:w="3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Losses on loans and other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333,705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302,061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296,920</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Postretirement and other employee benefits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46,619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42,348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39,926</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Incentive compensation plans</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31,730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28,786</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Interest on loans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32,587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23,399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21,871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Retirement benefits</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28,912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40,600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64,215</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52,841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45,729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41,379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Unrealized investment losses</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31,281</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7,163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8,324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38,249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20,526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20,324</w:t>
            </w:r>
          </w:p>
        </w:tc>
        <w:tc>
          <w:tcPr>
            <w:tcW w:w="8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Gross deferred tax assets</w:t>
            </w: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584,642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534,897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544,702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Leasing transactions</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(313,812)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(317,854)</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(366,549)</w:t>
            </w: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Capitalized servicing rights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4"/>
                <w:szCs w:val="14"/>
                <w:color w:val="auto"/>
              </w:rPr>
              <w:t>(7,133)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(6,031)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(16,964)</w:t>
            </w: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Interest on subordinated note exchange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(17,118)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(21,093)</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(22,961)</w:t>
            </w:r>
          </w:p>
        </w:tc>
      </w:tr>
      <w:tr>
        <w:trPr>
          <w:trHeight w:val="164"/>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(342)</w:t>
            </w: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(10,791)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(12,191)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(1,784)</w:t>
            </w:r>
          </w:p>
        </w:tc>
      </w:tr>
      <w:tr>
        <w:trPr>
          <w:trHeight w:val="163"/>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Arial" w:cs="Arial" w:eastAsia="Arial" w:hAnsi="Arial"/>
                <w:sz w:val="14"/>
                <w:szCs w:val="14"/>
                <w:color w:val="auto"/>
              </w:rPr>
              <w:t>Gross deferred tax liabilities</w:t>
            </w:r>
          </w:p>
        </w:tc>
        <w:tc>
          <w:tcPr>
            <w:tcW w:w="9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(348,854)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(357,169)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3"/>
              </w:rPr>
              <w:t>(408,600)</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235,788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177,728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136,102</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Company believes that it is more likely than not that the deferred tax assets will be realized through taxable earnings or alternative tax strategies.</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income tax credits shown in the statement of income of M&amp;T in note 25 arise principally from operating losses before dividends from subsidiaries.</w:t>
      </w:r>
    </w:p>
    <w:p>
      <w:pPr>
        <w:spacing w:after="0" w:line="15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920" w:firstLine="599"/>
        <w:spacing w:after="0" w:line="272" w:lineRule="auto"/>
        <w:rPr>
          <w:sz w:val="20"/>
          <w:szCs w:val="20"/>
          <w:color w:val="auto"/>
        </w:rPr>
      </w:pPr>
      <w:r>
        <w:rPr>
          <w:rFonts w:ascii="Arial" w:cs="Arial" w:eastAsia="Arial" w:hAnsi="Arial"/>
          <w:sz w:val="14"/>
          <w:szCs w:val="14"/>
          <w:color w:val="auto"/>
        </w:rPr>
        <w:t>The adoption of FIN No. 48 as of January 1, 2007 did not result in any change to the Company’s liability for uncertain tax positions as of that date. A reconciliation of the beginning and ending amount of unrecognized tax benefits is as follows:</w:t>
      </w:r>
    </w:p>
    <w:p>
      <w:pPr>
        <w:spacing w:after="0" w:line="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Federal,</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4"/>
              </w:rPr>
              <w:t>Accrued</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Unrecognized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380"/>
              <w:spacing w:after="0" w:line="106" w:lineRule="exact"/>
              <w:rPr>
                <w:sz w:val="20"/>
                <w:szCs w:val="20"/>
                <w:color w:val="auto"/>
              </w:rPr>
            </w:pPr>
            <w:r>
              <w:rPr>
                <w:rFonts w:ascii="Arial" w:cs="Arial" w:eastAsia="Arial" w:hAnsi="Arial"/>
                <w:sz w:val="10"/>
                <w:szCs w:val="10"/>
                <w:b w:val="1"/>
                <w:bCs w:val="1"/>
                <w:color w:val="auto"/>
                <w:w w:val="93"/>
              </w:rPr>
              <w:t>State and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6" w:lineRule="exact"/>
              <w:rPr>
                <w:sz w:val="20"/>
                <w:szCs w:val="20"/>
                <w:color w:val="auto"/>
              </w:rPr>
            </w:pPr>
            <w:r>
              <w:rPr>
                <w:rFonts w:ascii="Arial" w:cs="Arial" w:eastAsia="Arial" w:hAnsi="Arial"/>
                <w:sz w:val="10"/>
                <w:szCs w:val="10"/>
                <w:b w:val="1"/>
                <w:bCs w:val="1"/>
                <w:color w:val="auto"/>
                <w:w w:val="94"/>
              </w:rPr>
              <w:t>Income Tax</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90"/>
              </w:rPr>
              <w:t>Local Tax</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88"/>
              </w:rPr>
              <w:t>Interest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0"/>
                <w:szCs w:val="10"/>
                <w:b w:val="1"/>
                <w:bCs w:val="1"/>
                <w:color w:val="auto"/>
                <w:w w:val="91"/>
              </w:rPr>
              <w:t>Benefits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January 1, 2007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96,979</w:t>
            </w:r>
          </w:p>
        </w:tc>
        <w:tc>
          <w:tcPr>
            <w:tcW w:w="3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the current year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17,760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17,760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Elimination of unrecognized tax benefits as a result of the conclusion of litigation with a taxing authority</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(1,885)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color w:val="auto"/>
              </w:rPr>
              <w:t>(634)</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(2,519)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Unrecognized tax benefits acquired in a business combination</w:t>
            </w:r>
          </w:p>
        </w:tc>
        <w:tc>
          <w:tcPr>
            <w:tcW w:w="6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2,144</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gridSpan w:val="2"/>
          </w:tcPr>
          <w:p>
            <w:pPr>
              <w:spacing w:after="0"/>
              <w:rPr>
                <w:sz w:val="20"/>
                <w:szCs w:val="20"/>
                <w:color w:val="auto"/>
              </w:rPr>
            </w:pPr>
            <w:r>
              <w:rPr>
                <w:rFonts w:ascii="Arial" w:cs="Arial" w:eastAsia="Arial" w:hAnsi="Arial"/>
                <w:sz w:val="12"/>
                <w:szCs w:val="12"/>
                <w:color w:val="auto"/>
              </w:rPr>
              <w:t>Gross unrecognized tax benefits at December 31, 2007</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120,044</w:t>
            </w:r>
          </w:p>
        </w:tc>
        <w:tc>
          <w:tcPr>
            <w:tcW w:w="30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26,368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146,412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Less: Federal, state and local income tax benefits</w:t>
            </w:r>
          </w:p>
        </w:tc>
        <w:tc>
          <w:tcPr>
            <w:tcW w:w="6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(46,157)</w:t>
            </w:r>
          </w:p>
        </w:tc>
        <w:tc>
          <w:tcPr>
            <w:tcW w:w="0" w:type="dxa"/>
            <w:vAlign w:val="bottom"/>
          </w:tcPr>
          <w:p>
            <w:pPr>
              <w:spacing w:after="0"/>
              <w:rPr>
                <w:sz w:val="1"/>
                <w:szCs w:val="1"/>
                <w:color w:val="auto"/>
              </w:rPr>
            </w:pPr>
          </w:p>
        </w:tc>
      </w:tr>
      <w:tr>
        <w:trPr>
          <w:trHeight w:val="139"/>
        </w:trPr>
        <w:tc>
          <w:tcPr>
            <w:tcW w:w="6240" w:type="dxa"/>
            <w:vAlign w:val="bottom"/>
            <w:gridSpan w:val="2"/>
          </w:tcPr>
          <w:p>
            <w:pPr>
              <w:spacing w:after="0"/>
              <w:rPr>
                <w:sz w:val="20"/>
                <w:szCs w:val="20"/>
                <w:color w:val="auto"/>
              </w:rPr>
            </w:pPr>
            <w:r>
              <w:rPr>
                <w:rFonts w:ascii="Arial" w:cs="Arial" w:eastAsia="Arial" w:hAnsi="Arial"/>
                <w:sz w:val="12"/>
                <w:szCs w:val="12"/>
                <w:color w:val="auto"/>
              </w:rPr>
              <w:t>Net unrecognized tax benefits at December 31, 2007</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100,255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w w:val="98"/>
              </w:rPr>
              <w:t>Less: unrecognized tax benefits included above that relate to acquired entities that would impact goodwill if recognized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(16,007)</w:t>
            </w:r>
          </w:p>
        </w:tc>
        <w:tc>
          <w:tcPr>
            <w:tcW w:w="0" w:type="dxa"/>
            <w:vAlign w:val="bottom"/>
          </w:tcPr>
          <w:p>
            <w:pPr>
              <w:spacing w:after="0"/>
              <w:rPr>
                <w:sz w:val="1"/>
                <w:szCs w:val="1"/>
                <w:color w:val="auto"/>
              </w:rPr>
            </w:pPr>
          </w:p>
        </w:tc>
      </w:tr>
      <w:tr>
        <w:trPr>
          <w:trHeight w:val="153"/>
        </w:trPr>
        <w:tc>
          <w:tcPr>
            <w:tcW w:w="6240" w:type="dxa"/>
            <w:vAlign w:val="bottom"/>
            <w:gridSpan w:val="2"/>
          </w:tcPr>
          <w:p>
            <w:pPr>
              <w:spacing w:after="0"/>
              <w:rPr>
                <w:sz w:val="20"/>
                <w:szCs w:val="20"/>
                <w:color w:val="auto"/>
              </w:rPr>
            </w:pPr>
            <w:r>
              <w:rPr>
                <w:rFonts w:ascii="Arial" w:cs="Arial" w:eastAsia="Arial" w:hAnsi="Arial"/>
                <w:sz w:val="12"/>
                <w:szCs w:val="12"/>
                <w:color w:val="auto"/>
                <w:w w:val="98"/>
              </w:rPr>
              <w:t>Total unrecognized tax benefits that, if recognized, would impact the effective income tax rate as of December 31, 2007</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84,248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1160" w:firstLine="599"/>
        <w:spacing w:after="0" w:line="272" w:lineRule="auto"/>
        <w:rPr>
          <w:sz w:val="20"/>
          <w:szCs w:val="20"/>
          <w:color w:val="auto"/>
        </w:rPr>
      </w:pPr>
      <w:r>
        <w:rPr>
          <w:rFonts w:ascii="Arial" w:cs="Arial" w:eastAsia="Arial" w:hAnsi="Arial"/>
          <w:sz w:val="13"/>
          <w:szCs w:val="13"/>
          <w:color w:val="auto"/>
        </w:rPr>
        <w:t>At the January 1, 2007 adoption of FIN No. 48, the $111,266,000 of unrecognized tax benefits net of federal and state income tax benefits was $75,023,000 and included $67,309,000 that, if recognized, would impact the effective tax rate and $7,714,000 that related to acquired entities and would impact goodwill.</w:t>
      </w:r>
    </w:p>
    <w:p>
      <w:pPr>
        <w:spacing w:after="0" w:line="1" w:lineRule="exact"/>
        <w:rPr>
          <w:sz w:val="20"/>
          <w:szCs w:val="20"/>
          <w:color w:val="auto"/>
        </w:rPr>
      </w:pPr>
    </w:p>
    <w:p>
      <w:pPr>
        <w:ind w:left="680" w:right="840" w:firstLine="599"/>
        <w:spacing w:after="0" w:line="266" w:lineRule="auto"/>
        <w:rPr>
          <w:sz w:val="20"/>
          <w:szCs w:val="20"/>
          <w:color w:val="auto"/>
        </w:rPr>
      </w:pPr>
      <w:r>
        <w:rPr>
          <w:rFonts w:ascii="Arial" w:cs="Arial" w:eastAsia="Arial" w:hAnsi="Arial"/>
          <w:sz w:val="13"/>
          <w:szCs w:val="13"/>
          <w:color w:val="auto"/>
        </w:rPr>
        <w:t>The Company’s policy is to recognize interest and penalties, if any, related to unrecognized tax benefits in income taxes in the consolidated statement of income. The balance of accrued interest at December 31, 2007 is included in the table above. If any tax return examination by federal, state or local tax authorities is concluded during the next twelve months, it is possible that the amount of the accrued liability for uncertain tax positions could change. It is not possible to estimate the amount of any such change at this time.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The Company’s federal income tax returns for 2004-2007 may still be examined by the Internal Revenue Service. The Company also files income tax returns in over forty state and local jurisdictions. Substantially all material state and local matters have been concluded for years through 1998. Some tax returns for years after 1998 are presently under examination. It is not possible to estimate when those examinations may be completed.</w:t>
      </w:r>
    </w:p>
    <w:p>
      <w:pPr>
        <w:spacing w:after="0" w:line="132" w:lineRule="exact"/>
        <w:rPr>
          <w:sz w:val="20"/>
          <w:szCs w:val="20"/>
          <w:color w:val="auto"/>
        </w:rPr>
      </w:pPr>
    </w:p>
    <w:p>
      <w:pPr>
        <w:ind w:left="1180" w:hanging="495"/>
        <w:spacing w:after="0"/>
        <w:tabs>
          <w:tab w:leader="none" w:pos="118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computations of basic earnings per share follow: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4"/>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4"/>
              <w:spacing w:after="0" w:line="96"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4"/>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4"/>
          </w:tcPr>
          <w:p>
            <w:pPr>
              <w:jc w:val="center"/>
              <w:spacing w:after="0"/>
              <w:rPr>
                <w:sz w:val="20"/>
                <w:szCs w:val="20"/>
                <w:color w:val="auto"/>
              </w:rPr>
            </w:pPr>
            <w:r>
              <w:rPr>
                <w:rFonts w:ascii="Arial" w:cs="Arial" w:eastAsia="Arial" w:hAnsi="Arial"/>
                <w:sz w:val="10"/>
                <w:szCs w:val="10"/>
                <w:b w:val="1"/>
                <w:bCs w:val="1"/>
                <w:color w:val="auto"/>
                <w:w w:val="89"/>
              </w:rPr>
              <w:t>(In thousands, except per share)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654,259</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839,189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782,183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shares outstanding (including common stock issuable)</w:t>
            </w: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108,129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111,173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113,689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1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6.05</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7.55</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9"/>
        </w:trPr>
        <w:tc>
          <w:tcPr>
            <w:tcW w:w="6400" w:type="dxa"/>
            <w:vAlign w:val="bottom"/>
            <w:gridSpan w:val="2"/>
          </w:tcPr>
          <w:p>
            <w:pPr>
              <w:ind w:left="680"/>
              <w:spacing w:after="0"/>
              <w:rPr>
                <w:sz w:val="20"/>
                <w:szCs w:val="20"/>
                <w:color w:val="auto"/>
              </w:rPr>
            </w:pPr>
            <w:r>
              <w:rPr>
                <w:rFonts w:ascii="Arial" w:cs="Arial" w:eastAsia="Arial" w:hAnsi="Arial"/>
                <w:sz w:val="12"/>
                <w:szCs w:val="12"/>
                <w:color w:val="auto"/>
              </w:rPr>
              <w:t>122</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7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computations of diluted earnings per share follow:</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2"/>
              <w:spacing w:after="0" w:line="96"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2"/>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4"/>
          </w:tcPr>
          <w:p>
            <w:pPr>
              <w:jc w:val="center"/>
              <w:spacing w:after="0"/>
              <w:rPr>
                <w:sz w:val="20"/>
                <w:szCs w:val="20"/>
                <w:color w:val="auto"/>
              </w:rPr>
            </w:pPr>
            <w:r>
              <w:rPr>
                <w:rFonts w:ascii="Arial" w:cs="Arial" w:eastAsia="Arial" w:hAnsi="Arial"/>
                <w:sz w:val="10"/>
                <w:szCs w:val="10"/>
                <w:b w:val="1"/>
                <w:bCs w:val="1"/>
                <w:color w:val="auto"/>
                <w:w w:val="89"/>
              </w:rPr>
              <w:t>(In thousands, except per share)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654,259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839,189</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782,183</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color w:val="auto"/>
              </w:rPr>
              <w:t>Weighted-average shares outstanding</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108,129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111,173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113,689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color w:val="auto"/>
              </w:rPr>
              <w:t>Plus: incremental shares from assumed conversion of stock-based compensation awards</w:t>
            </w:r>
          </w:p>
        </w:tc>
        <w:tc>
          <w:tcPr>
            <w:tcW w:w="1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80" w:type="dxa"/>
            <w:vAlign w:val="bottom"/>
            <w:shd w:val="clear" w:color="auto" w:fill="CCEEFF"/>
          </w:tcPr>
          <w:p>
            <w:pPr>
              <w:spacing w:after="0"/>
              <w:rPr>
                <w:sz w:val="14"/>
                <w:szCs w:val="14"/>
                <w:color w:val="auto"/>
              </w:rPr>
            </w:pPr>
          </w:p>
        </w:tc>
      </w:tr>
      <w:tr>
        <w:trPr>
          <w:trHeight w:val="163"/>
        </w:trPr>
        <w:tc>
          <w:tcPr>
            <w:tcW w:w="6140" w:type="dxa"/>
            <w:vAlign w:val="bottom"/>
            <w:gridSpan w:val="2"/>
          </w:tcPr>
          <w:p>
            <w:pPr>
              <w:spacing w:after="0"/>
              <w:rPr>
                <w:sz w:val="20"/>
                <w:szCs w:val="20"/>
                <w:color w:val="auto"/>
              </w:rPr>
            </w:pPr>
            <w:r>
              <w:rPr>
                <w:rFonts w:ascii="Arial" w:cs="Arial" w:eastAsia="Arial" w:hAnsi="Arial"/>
                <w:sz w:val="14"/>
                <w:szCs w:val="14"/>
                <w:color w:val="auto"/>
              </w:rPr>
              <w:t>Adjusted weighted-average shares outstanding</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110,012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113,918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116,232</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per share</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80" w:type="dxa"/>
            <w:vAlign w:val="bottom"/>
            <w:shd w:val="clear" w:color="auto" w:fill="CCEEFF"/>
          </w:tcPr>
          <w:p>
            <w:pPr>
              <w:spacing w:after="0"/>
              <w:rPr>
                <w:sz w:val="14"/>
                <w:szCs w:val="14"/>
                <w:color w:val="auto"/>
              </w:rPr>
            </w:pPr>
          </w:p>
        </w:tc>
      </w:tr>
    </w:tbl>
    <w:p>
      <w:pPr>
        <w:spacing w:after="0" w:line="74" w:lineRule="exact"/>
        <w:rPr>
          <w:sz w:val="20"/>
          <w:szCs w:val="20"/>
          <w:color w:val="auto"/>
        </w:rPr>
      </w:pPr>
    </w:p>
    <w:p>
      <w:pPr>
        <w:ind w:left="680" w:right="1400" w:firstLine="599"/>
        <w:spacing w:after="0" w:line="272" w:lineRule="auto"/>
        <w:rPr>
          <w:sz w:val="20"/>
          <w:szCs w:val="20"/>
          <w:color w:val="auto"/>
        </w:rPr>
      </w:pPr>
      <w:r>
        <w:rPr>
          <w:rFonts w:ascii="Arial" w:cs="Arial" w:eastAsia="Arial" w:hAnsi="Arial"/>
          <w:sz w:val="14"/>
          <w:szCs w:val="14"/>
          <w:color w:val="auto"/>
        </w:rPr>
        <w:t>Options to purchase approximately 3,667,000, 2,063,000 and 1,737,000 common shares during 2007, 2006 and 2005, respectively, were not included in the computations of diluted earnings per share because the effect on those years would be antidilutive.</w:t>
      </w:r>
    </w:p>
    <w:p>
      <w:pPr>
        <w:spacing w:after="0" w:line="123" w:lineRule="exact"/>
        <w:rPr>
          <w:sz w:val="20"/>
          <w:szCs w:val="20"/>
          <w:color w:val="auto"/>
        </w:rPr>
      </w:pPr>
    </w:p>
    <w:p>
      <w:pPr>
        <w:ind w:left="1180" w:hanging="495"/>
        <w:spacing w:after="0"/>
        <w:tabs>
          <w:tab w:leader="none" w:pos="118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Comprehensive income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table displays the components of other comprehensive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2"/>
              </w:rPr>
              <w:t>Before-tax</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Net</w:t>
            </w:r>
          </w:p>
        </w:tc>
        <w:tc>
          <w:tcPr>
            <w:tcW w:w="8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b w:val="1"/>
                <w:bCs w:val="1"/>
                <w:color w:val="auto"/>
                <w:w w:val="84"/>
              </w:rPr>
              <w:t>Taxes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tcPr>
          <w:p>
            <w:pPr>
              <w:jc w:val="center"/>
              <w:ind w:left="93"/>
              <w:spacing w:after="0"/>
              <w:rPr>
                <w:sz w:val="20"/>
                <w:szCs w:val="20"/>
                <w:color w:val="auto"/>
              </w:rPr>
            </w:pPr>
            <w:r>
              <w:rPr>
                <w:rFonts w:ascii="Arial" w:cs="Arial" w:eastAsia="Arial" w:hAnsi="Arial"/>
                <w:sz w:val="10"/>
                <w:szCs w:val="10"/>
                <w:b w:val="1"/>
                <w:bCs w:val="1"/>
                <w:color w:val="auto"/>
                <w:w w:val="89"/>
              </w:rPr>
              <w:t>(In 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2007</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Unrealized losses on investment securities: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losses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(149,854)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38,971</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(110,883)</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Arial" w:cs="Arial" w:eastAsia="Arial" w:hAnsi="Arial"/>
                <w:sz w:val="14"/>
                <w:szCs w:val="14"/>
                <w:color w:val="auto"/>
              </w:rPr>
              <w:t>Less: reclassification adjustment for losses recognized in net income</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(126,096)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49,308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(76,788)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(23,758)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5"/>
              </w:rPr>
              <w:t>(10,337)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(34,095)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Unrealized losses on cash flow hedges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(14,696)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(8,931)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Defined benefit plan liability adjustment</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(29,996)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(18,222)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(68,450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(61,248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2006</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Unrealized gains on investment securities: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33,939</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(9,084)</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24,855</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Arial" w:cs="Arial" w:eastAsia="Arial" w:hAnsi="Arial"/>
                <w:sz w:val="14"/>
                <w:szCs w:val="14"/>
                <w:color w:val="auto"/>
              </w:rPr>
              <w:t>Less: reclassification adjustment for gains realized in net income</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2,566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(976)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(8,108)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23,265</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Minimum pension liability adjustment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50,708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(19,776)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30,932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82,081</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5"/>
              </w:rPr>
              <w:t>(27,884)</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54,197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40" w:type="dxa"/>
            <w:vAlign w:val="bottom"/>
            <w:gridSpan w:val="2"/>
          </w:tcPr>
          <w:p>
            <w:pPr>
              <w:ind w:left="680"/>
              <w:spacing w:after="0"/>
              <w:rPr>
                <w:sz w:val="20"/>
                <w:szCs w:val="20"/>
                <w:color w:val="auto"/>
              </w:rPr>
            </w:pPr>
            <w:r>
              <w:rPr>
                <w:rFonts w:ascii="Arial" w:cs="Arial" w:eastAsia="Arial" w:hAnsi="Arial"/>
                <w:sz w:val="14"/>
                <w:szCs w:val="14"/>
                <w:color w:val="auto"/>
              </w:rPr>
              <w:t>For the year ended December 31, 2005</w:t>
            </w:r>
          </w:p>
        </w:tc>
        <w:tc>
          <w:tcPr>
            <w:tcW w:w="1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losses on investment securities:</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Arial" w:cs="Arial" w:eastAsia="Arial" w:hAnsi="Arial"/>
                <w:sz w:val="14"/>
                <w:szCs w:val="14"/>
                <w:color w:val="auto"/>
              </w:rPr>
              <w:t>Unrealized holding losses</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(115,026)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42,623</w:t>
            </w:r>
          </w:p>
        </w:tc>
        <w:tc>
          <w:tcPr>
            <w:tcW w:w="220" w:type="dxa"/>
            <w:vAlign w:val="bottom"/>
          </w:tcPr>
          <w:p>
            <w:pPr>
              <w:spacing w:after="0"/>
              <w:rPr>
                <w:sz w:val="14"/>
                <w:szCs w:val="14"/>
                <w:color w:val="auto"/>
              </w:rPr>
            </w:pP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(72,403)</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reclassification adjustment for losses recognized in net income</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(28,133)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(28,539)</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(86,893)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43,029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(43,864)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adjustment</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(60,422)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(36,857)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(147,315</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(80,721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540" w:type="dxa"/>
            <w:vAlign w:val="bottom"/>
            <w:tcBorders>
              <w:bottom w:val="single" w:sz="8" w:color="808080"/>
            </w:tcBorders>
          </w:tcPr>
          <w:p>
            <w:pPr>
              <w:spacing w:after="0"/>
              <w:rPr>
                <w:sz w:val="14"/>
                <w:szCs w:val="14"/>
                <w:color w:val="auto"/>
              </w:rPr>
            </w:pPr>
          </w:p>
        </w:tc>
        <w:tc>
          <w:tcPr>
            <w:tcW w:w="1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Accumulated other comprehensive income (loss), net consisted of unrealized gains (losses) as follows: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w w:val="90"/>
              </w:rPr>
              <w:t>Investment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Cash</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Defined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60"/>
              <w:spacing w:after="0" w:line="106" w:lineRule="exact"/>
              <w:rPr>
                <w:sz w:val="20"/>
                <w:szCs w:val="20"/>
                <w:color w:val="auto"/>
              </w:rPr>
            </w:pPr>
            <w:r>
              <w:rPr>
                <w:rFonts w:ascii="Arial" w:cs="Arial" w:eastAsia="Arial" w:hAnsi="Arial"/>
                <w:sz w:val="10"/>
                <w:szCs w:val="10"/>
                <w:b w:val="1"/>
                <w:bCs w:val="1"/>
                <w:color w:val="auto"/>
                <w:w w:val="96"/>
              </w:rPr>
              <w:t>Flow</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4"/>
              </w:rPr>
              <w:t>Benefit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71"/>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b w:val="1"/>
                <w:bCs w:val="1"/>
                <w:color w:val="auto"/>
                <w:w w:val="96"/>
              </w:rPr>
              <w:t>Securities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8"/>
              </w:rPr>
              <w:t>Hedges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89"/>
              </w:rPr>
              <w:t>Plans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6"/>
          </w:tcPr>
          <w:p>
            <w:pPr>
              <w:jc w:val="right"/>
              <w:ind w:right="620"/>
              <w:spacing w:after="0"/>
              <w:rPr>
                <w:sz w:val="20"/>
                <w:szCs w:val="20"/>
                <w:color w:val="auto"/>
              </w:rPr>
            </w:pPr>
            <w:r>
              <w:rPr>
                <w:rFonts w:ascii="Arial" w:cs="Arial" w:eastAsia="Arial" w:hAnsi="Arial"/>
                <w:sz w:val="10"/>
                <w:szCs w:val="10"/>
                <w:b w:val="1"/>
                <w:bCs w:val="1"/>
                <w:color w:val="auto"/>
              </w:rPr>
              <w:t>(In thousands)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Balance at January 1, 2005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(12,497)</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(17,209)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Net gain (loss) during 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(43,864)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(36,857)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(80,721)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(48,576)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(49,354)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(97,930)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Net gain (loss) during 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23,265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30,932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54,197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Change in accounting for defined benefit plans (note 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(9,841)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(9,841)</w:t>
            </w:r>
          </w:p>
        </w:tc>
        <w:tc>
          <w:tcPr>
            <w:tcW w:w="0" w:type="dxa"/>
            <w:vAlign w:val="bottom"/>
          </w:tcPr>
          <w:p>
            <w:pPr>
              <w:spacing w:after="0"/>
              <w:rPr>
                <w:sz w:val="1"/>
                <w:szCs w:val="1"/>
                <w:color w:val="auto"/>
              </w:rPr>
            </w:pPr>
          </w:p>
        </w:tc>
      </w:tr>
      <w:tr>
        <w:trPr>
          <w:trHeight w:val="163"/>
        </w:trPr>
        <w:tc>
          <w:tcPr>
            <w:tcW w:w="6200" w:type="dxa"/>
            <w:vAlign w:val="bottom"/>
            <w:gridSpan w:val="2"/>
          </w:tcPr>
          <w:p>
            <w:pPr>
              <w:spacing w:after="0"/>
              <w:rPr>
                <w:sz w:val="20"/>
                <w:szCs w:val="20"/>
                <w:color w:val="auto"/>
              </w:rPr>
            </w:pPr>
            <w:r>
              <w:rPr>
                <w:rFonts w:ascii="Arial" w:cs="Arial" w:eastAsia="Arial" w:hAnsi="Arial"/>
                <w:sz w:val="14"/>
                <w:szCs w:val="14"/>
                <w:color w:val="auto"/>
              </w:rPr>
              <w:t>Balance at December 31, 2006</w:t>
            </w: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(25,311)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(28,263)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Net gain (loss) during 2007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(34,095)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(8,931)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(18,222)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(61,248)</w:t>
            </w:r>
          </w:p>
        </w:tc>
        <w:tc>
          <w:tcPr>
            <w:tcW w:w="0" w:type="dxa"/>
            <w:vAlign w:val="bottom"/>
          </w:tcPr>
          <w:p>
            <w:pPr>
              <w:spacing w:after="0"/>
              <w:rPr>
                <w:sz w:val="1"/>
                <w:szCs w:val="1"/>
                <w:color w:val="auto"/>
              </w:rPr>
            </w:pPr>
          </w:p>
        </w:tc>
      </w:tr>
      <w:tr>
        <w:trPr>
          <w:trHeight w:val="172"/>
        </w:trPr>
        <w:tc>
          <w:tcPr>
            <w:tcW w:w="6200" w:type="dxa"/>
            <w:vAlign w:val="bottom"/>
            <w:gridSpan w:val="2"/>
          </w:tcPr>
          <w:p>
            <w:pPr>
              <w:spacing w:after="0"/>
              <w:rPr>
                <w:sz w:val="20"/>
                <w:szCs w:val="20"/>
                <w:color w:val="auto"/>
              </w:rPr>
            </w:pPr>
            <w:r>
              <w:rPr>
                <w:rFonts w:ascii="Arial" w:cs="Arial" w:eastAsia="Arial" w:hAnsi="Arial"/>
                <w:sz w:val="14"/>
                <w:szCs w:val="14"/>
                <w:color w:val="auto"/>
              </w:rPr>
              <w:t>Balance at December 31, 2007</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(59,406</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(46,485</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(114,822</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80" w:hanging="495"/>
        <w:spacing w:after="0"/>
        <w:tabs>
          <w:tab w:leader="none" w:pos="11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Other income and other expense</w:t>
      </w:r>
    </w:p>
    <w:p>
      <w:pPr>
        <w:spacing w:after="0" w:line="19"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20" w:type="dxa"/>
            <w:vAlign w:val="bottom"/>
            <w:tcBorders>
              <w:bottom w:val="single" w:sz="8" w:color="auto"/>
            </w:tcBorders>
          </w:tcPr>
          <w:p>
            <w:pPr>
              <w:jc w:val="right"/>
              <w:ind w:right="109"/>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480" w:type="dxa"/>
            <w:vAlign w:val="bottom"/>
            <w:tcBorders>
              <w:bottom w:val="single" w:sz="8" w:color="auto"/>
            </w:tcBorders>
          </w:tcPr>
          <w:p>
            <w:pPr>
              <w:jc w:val="right"/>
              <w:ind w:right="89"/>
              <w:spacing w:after="0" w:line="96"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jc w:val="right"/>
              <w:ind w:right="149"/>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4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Arial" w:cs="Arial" w:eastAsia="Arial" w:hAnsi="Arial"/>
                <w:sz w:val="14"/>
                <w:szCs w:val="14"/>
                <w:color w:val="auto"/>
              </w:rPr>
              <w:t>Bank owned life insurance</w:t>
            </w: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$ 46,723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$ 52,690</w:t>
            </w:r>
          </w:p>
        </w:tc>
        <w:tc>
          <w:tcPr>
            <w:tcW w:w="3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9"/>
              </w:rPr>
              <w:t>$  46,695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Letter of credit fees</w:t>
            </w:r>
          </w:p>
        </w:tc>
        <w:tc>
          <w:tcPr>
            <w:tcW w:w="2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38,600</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Other expense:</w:t>
            </w:r>
          </w:p>
        </w:tc>
        <w:tc>
          <w:tcPr>
            <w:tcW w:w="2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85,421</w:t>
            </w: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101,096</w:t>
            </w:r>
          </w:p>
        </w:tc>
        <w:tc>
          <w:tcPr>
            <w:tcW w:w="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020" w:type="dxa"/>
            <w:vAlign w:val="bottom"/>
          </w:tcPr>
          <w:p>
            <w:pPr>
              <w:ind w:left="120"/>
              <w:spacing w:after="0"/>
              <w:rPr>
                <w:sz w:val="20"/>
                <w:szCs w:val="20"/>
                <w:color w:val="auto"/>
              </w:rPr>
            </w:pPr>
            <w:r>
              <w:rPr>
                <w:rFonts w:ascii="Arial" w:cs="Arial" w:eastAsia="Arial" w:hAnsi="Arial"/>
                <w:sz w:val="14"/>
                <w:szCs w:val="14"/>
                <w:color w:val="auto"/>
              </w:rPr>
              <w:t>Amortization of capitalized servicing rights</w:t>
            </w: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62,931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61,007</w:t>
            </w:r>
          </w:p>
        </w:tc>
        <w:tc>
          <w:tcPr>
            <w:tcW w:w="3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58,467</w:t>
            </w:r>
          </w:p>
        </w:tc>
        <w:tc>
          <w:tcPr>
            <w:tcW w:w="80" w:type="dxa"/>
            <w:vAlign w:val="bottom"/>
          </w:tcPr>
          <w:p>
            <w:pPr>
              <w:spacing w:after="0"/>
              <w:rPr>
                <w:sz w:val="15"/>
                <w:szCs w:val="15"/>
                <w:color w:val="auto"/>
              </w:rPr>
            </w:pPr>
          </w:p>
        </w:tc>
      </w:tr>
    </w:tbl>
    <w:p>
      <w:pPr>
        <w:spacing w:after="0" w:line="131" w:lineRule="exact"/>
        <w:rPr>
          <w:sz w:val="20"/>
          <w:szCs w:val="20"/>
          <w:color w:val="auto"/>
        </w:rPr>
      </w:pPr>
    </w:p>
    <w:p>
      <w:pPr>
        <w:ind w:left="1180" w:hanging="495"/>
        <w:spacing w:after="0"/>
        <w:tabs>
          <w:tab w:leader="none" w:pos="118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International activities</w:t>
      </w:r>
    </w:p>
    <w:p>
      <w:pPr>
        <w:spacing w:after="0" w:line="19" w:lineRule="exact"/>
        <w:rPr>
          <w:sz w:val="20"/>
          <w:szCs w:val="20"/>
          <w:color w:val="auto"/>
        </w:rPr>
      </w:pPr>
    </w:p>
    <w:p>
      <w:pPr>
        <w:ind w:left="680" w:right="100"/>
        <w:spacing w:after="0" w:line="270" w:lineRule="auto"/>
        <w:rPr>
          <w:sz w:val="20"/>
          <w:szCs w:val="20"/>
          <w:color w:val="auto"/>
        </w:rPr>
      </w:pPr>
      <w:r>
        <w:rPr>
          <w:rFonts w:ascii="Arial" w:cs="Arial" w:eastAsia="Arial" w:hAnsi="Arial"/>
          <w:sz w:val="13"/>
          <w:szCs w:val="13"/>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Net assets identified with international activities amounted to $119,930,000 and $185,175,000 at December 31, 2007 and 2006, respectively. Such assets included $106,816,000 and $175,528,000, respectively, of loans to foreign borrowers. Deposits at M&amp;T Bank’s offshore branch office were $5,856,427,000 and $5,429,668,000 at December 31, 2007 and 2006, respectively. The Company uses such deposits to facilitate customer demand and as an alternative to short-term borrowings when the costs of such deposits seem reasonable.</w:t>
      </w:r>
    </w:p>
    <w:p>
      <w:pPr>
        <w:spacing w:after="0" w:line="127" w:lineRule="exact"/>
        <w:rPr>
          <w:sz w:val="20"/>
          <w:szCs w:val="20"/>
          <w:color w:val="auto"/>
        </w:rPr>
      </w:pPr>
    </w:p>
    <w:p>
      <w:pPr>
        <w:ind w:left="1180" w:hanging="495"/>
        <w:spacing w:after="0"/>
        <w:tabs>
          <w:tab w:leader="none" w:pos="118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w:t>
      </w:r>
    </w:p>
    <w:p>
      <w:pPr>
        <w:spacing w:after="0" w:line="19" w:lineRule="exact"/>
        <w:rPr>
          <w:sz w:val="20"/>
          <w:szCs w:val="20"/>
          <w:color w:val="auto"/>
        </w:rPr>
      </w:pPr>
    </w:p>
    <w:p>
      <w:pPr>
        <w:ind w:left="680" w:right="220"/>
        <w:spacing w:after="0" w:line="263" w:lineRule="auto"/>
        <w:rPr>
          <w:sz w:val="20"/>
          <w:szCs w:val="20"/>
          <w:color w:val="auto"/>
        </w:rPr>
      </w:pPr>
      <w:r>
        <w:rPr>
          <w:rFonts w:ascii="Arial" w:cs="Arial" w:eastAsia="Arial" w:hAnsi="Arial"/>
          <w:sz w:val="13"/>
          <w:szCs w:val="13"/>
          <w:color w:val="auto"/>
        </w:rPr>
        <w:t>As part of managing interest rate risk, the Company enters into interest rate swap agreements to modify the repricing characteristics of certain portions of the Company’s portfolios of earning assets and interest-bearing liabilities. Interest rate swap agreements are generally entered into with counterparties that meet established credit standards and most contain collateral provisions protecting the at-risk party. The Company believes that the credit risk inherent in these contracts is not significant.</w:t>
      </w:r>
    </w:p>
    <w:p>
      <w:pPr>
        <w:spacing w:after="0" w:line="1" w:lineRule="exact"/>
        <w:rPr>
          <w:sz w:val="20"/>
          <w:szCs w:val="20"/>
          <w:color w:val="auto"/>
        </w:rPr>
      </w:pPr>
    </w:p>
    <w:p>
      <w:pPr>
        <w:ind w:left="680" w:right="140" w:firstLine="599"/>
        <w:spacing w:after="0" w:line="249" w:lineRule="auto"/>
        <w:rPr>
          <w:sz w:val="20"/>
          <w:szCs w:val="20"/>
          <w:color w:val="auto"/>
        </w:rPr>
      </w:pPr>
      <w:r>
        <w:rPr>
          <w:rFonts w:ascii="Arial" w:cs="Arial" w:eastAsia="Arial" w:hAnsi="Arial"/>
          <w:sz w:val="14"/>
          <w:szCs w:val="14"/>
          <w:color w:val="auto"/>
        </w:rPr>
        <w:t>The Company designates interest rate swap agreements utilized in the management of interest rate risk as either fair value hedges or cash flow hedges as defined in SFAS No. 133. Fair value hedges are intended to protect against exposure to changes in the fair value of designated assets or liabilities. Cash flow hedges are intended to protect against the variability of cash flows associated with designated assets or liabilities.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460" w:firstLine="599"/>
        <w:spacing w:after="0" w:line="272" w:lineRule="auto"/>
        <w:rPr>
          <w:sz w:val="20"/>
          <w:szCs w:val="20"/>
          <w:color w:val="auto"/>
        </w:rPr>
      </w:pPr>
      <w:r>
        <w:rPr>
          <w:rFonts w:ascii="Arial" w:cs="Arial" w:eastAsia="Arial" w:hAnsi="Arial"/>
          <w:sz w:val="14"/>
          <w:szCs w:val="14"/>
          <w:color w:val="auto"/>
        </w:rPr>
        <w:t>Information about interest rate swap agreements entered into for interest rate risk management purposes summarized by type of financial instrument the swap agreements were intended to hedge follows:</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0"/>
                <w:szCs w:val="10"/>
                <w:b w:val="1"/>
                <w:bCs w:val="1"/>
                <w:color w:val="auto"/>
                <w:w w:val="90"/>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Estimated Fair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5"/>
              <w:spacing w:after="0"/>
              <w:rPr>
                <w:sz w:val="20"/>
                <w:szCs w:val="20"/>
                <w:color w:val="auto"/>
              </w:rPr>
            </w:pPr>
            <w:r>
              <w:rPr>
                <w:rFonts w:ascii="Arial" w:cs="Arial" w:eastAsia="Arial" w:hAnsi="Arial"/>
                <w:sz w:val="10"/>
                <w:szCs w:val="10"/>
                <w:b w:val="1"/>
                <w:bCs w:val="1"/>
                <w:color w:val="auto"/>
                <w:w w:val="94"/>
              </w:rPr>
              <w:t>Notional</w:t>
            </w:r>
          </w:p>
        </w:tc>
        <w:tc>
          <w:tcPr>
            <w:tcW w:w="380" w:type="dxa"/>
            <w:vAlign w:val="bottom"/>
          </w:tcPr>
          <w:p>
            <w:pPr>
              <w:spacing w:after="0"/>
              <w:rPr>
                <w:sz w:val="10"/>
                <w:szCs w:val="1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Average</w:t>
            </w:r>
          </w:p>
        </w:tc>
        <w:tc>
          <w:tcPr>
            <w:tcW w:w="1420" w:type="dxa"/>
            <w:vAlign w:val="bottom"/>
            <w:gridSpan w:val="4"/>
          </w:tcPr>
          <w:p>
            <w:pPr>
              <w:jc w:val="right"/>
              <w:ind w:right="560"/>
              <w:spacing w:after="0"/>
              <w:rPr>
                <w:sz w:val="20"/>
                <w:szCs w:val="20"/>
                <w:color w:val="auto"/>
              </w:rPr>
            </w:pPr>
            <w:r>
              <w:rPr>
                <w:rFonts w:ascii="Arial" w:cs="Arial" w:eastAsia="Arial" w:hAnsi="Arial"/>
                <w:sz w:val="10"/>
                <w:szCs w:val="10"/>
                <w:b w:val="1"/>
                <w:bCs w:val="1"/>
                <w:color w:val="auto"/>
              </w:rPr>
              <w:t>Average Rate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Value-Gain</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right="55"/>
              <w:spacing w:after="0" w:line="96"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1000" w:type="dxa"/>
            <w:vAlign w:val="bottom"/>
            <w:gridSpan w:val="2"/>
          </w:tcPr>
          <w:p>
            <w:pPr>
              <w:jc w:val="center"/>
              <w:ind w:right="400"/>
              <w:spacing w:after="0" w:line="96" w:lineRule="exact"/>
              <w:rPr>
                <w:sz w:val="20"/>
                <w:szCs w:val="20"/>
                <w:color w:val="auto"/>
              </w:rPr>
            </w:pPr>
            <w:r>
              <w:rPr>
                <w:rFonts w:ascii="Arial" w:cs="Arial" w:eastAsia="Arial" w:hAnsi="Arial"/>
                <w:sz w:val="10"/>
                <w:szCs w:val="10"/>
                <w:b w:val="1"/>
                <w:bCs w:val="1"/>
                <w:color w:val="auto"/>
              </w:rPr>
              <w:t>Maturity</w:t>
            </w:r>
          </w:p>
        </w:tc>
        <w:tc>
          <w:tcPr>
            <w:tcW w:w="760" w:type="dxa"/>
            <w:vAlign w:val="bottom"/>
            <w:tcBorders>
              <w:top w:val="single" w:sz="8" w:color="auto"/>
            </w:tcBorders>
            <w:gridSpan w:val="2"/>
          </w:tcPr>
          <w:p>
            <w:pPr>
              <w:jc w:val="right"/>
              <w:ind w:right="429"/>
              <w:spacing w:after="0" w:line="96" w:lineRule="exact"/>
              <w:rPr>
                <w:sz w:val="20"/>
                <w:szCs w:val="20"/>
                <w:color w:val="auto"/>
              </w:rPr>
            </w:pPr>
            <w:r>
              <w:rPr>
                <w:rFonts w:ascii="Arial" w:cs="Arial" w:eastAsia="Arial" w:hAnsi="Arial"/>
                <w:sz w:val="10"/>
                <w:szCs w:val="10"/>
                <w:b w:val="1"/>
                <w:bCs w:val="1"/>
                <w:color w:val="auto"/>
                <w:w w:val="99"/>
              </w:rPr>
              <w:t>Fixed</w:t>
            </w:r>
          </w:p>
        </w:tc>
        <w:tc>
          <w:tcPr>
            <w:tcW w:w="4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0"/>
                <w:szCs w:val="10"/>
                <w:b w:val="1"/>
                <w:bCs w:val="1"/>
                <w:color w:val="auto"/>
                <w:w w:val="92"/>
              </w:rPr>
              <w:t>Variable</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86"/>
              </w:rPr>
              <w:t>(Loss)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5"/>
              <w:spacing w:after="0"/>
              <w:rPr>
                <w:sz w:val="20"/>
                <w:szCs w:val="20"/>
                <w:color w:val="auto"/>
              </w:rPr>
            </w:pPr>
            <w:r>
              <w:rPr>
                <w:rFonts w:ascii="Arial" w:cs="Arial" w:eastAsia="Arial" w:hAnsi="Arial"/>
                <w:sz w:val="10"/>
                <w:szCs w:val="10"/>
                <w:b w:val="1"/>
                <w:bCs w:val="1"/>
                <w:color w:val="auto"/>
                <w:w w:val="92"/>
              </w:rPr>
              <w:t>(In thousands)</w:t>
            </w:r>
          </w:p>
        </w:tc>
        <w:tc>
          <w:tcPr>
            <w:tcW w:w="380" w:type="dxa"/>
            <w:vAlign w:val="bottom"/>
          </w:tcPr>
          <w:p>
            <w:pPr>
              <w:spacing w:after="0"/>
              <w:rPr>
                <w:sz w:val="10"/>
                <w:szCs w:val="1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4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2007</w:t>
            </w: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Fair value hedges: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time deposits(a)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4.80%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Fixed rate long-term borrowings(a)</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637,241</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400" w:type="dxa"/>
            <w:vAlign w:val="bottom"/>
          </w:tcPr>
          <w:p>
            <w:pPr>
              <w:spacing w:after="0"/>
              <w:rPr>
                <w:sz w:val="14"/>
                <w:szCs w:val="14"/>
                <w:color w:val="auto"/>
              </w:rPr>
            </w:pPr>
          </w:p>
        </w:tc>
        <w:tc>
          <w:tcPr>
            <w:tcW w:w="760" w:type="dxa"/>
            <w:vAlign w:val="bottom"/>
            <w:gridSpan w:val="2"/>
          </w:tcPr>
          <w:p>
            <w:pPr>
              <w:jc w:val="right"/>
              <w:ind w:right="249"/>
              <w:spacing w:after="0"/>
              <w:rPr>
                <w:sz w:val="20"/>
                <w:szCs w:val="20"/>
                <w:color w:val="auto"/>
              </w:rPr>
            </w:pPr>
            <w:r>
              <w:rPr>
                <w:rFonts w:ascii="Arial" w:cs="Arial" w:eastAsia="Arial" w:hAnsi="Arial"/>
                <w:sz w:val="14"/>
                <w:szCs w:val="14"/>
                <w:color w:val="auto"/>
              </w:rPr>
              <w:t>6.14%</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842,241</w:t>
            </w: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5.81%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3"/>
          </w:tcPr>
          <w:p>
            <w:pPr>
              <w:spacing w:after="0"/>
              <w:rPr>
                <w:sz w:val="20"/>
                <w:szCs w:val="20"/>
                <w:color w:val="auto"/>
              </w:rPr>
            </w:pPr>
            <w:r>
              <w:rPr>
                <w:rFonts w:ascii="Arial" w:cs="Arial" w:eastAsia="Arial" w:hAnsi="Arial"/>
                <w:sz w:val="14"/>
                <w:szCs w:val="14"/>
                <w:color w:val="auto"/>
              </w:rPr>
              <w:t>Cash flow hedge:</w:t>
            </w:r>
          </w:p>
        </w:tc>
        <w:tc>
          <w:tcPr>
            <w:tcW w:w="1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Variable rate long-term borrowings(b)</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4.80%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2,342,241</w:t>
            </w:r>
          </w:p>
        </w:tc>
        <w:tc>
          <w:tcPr>
            <w:tcW w:w="38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4"/>
                <w:szCs w:val="14"/>
                <w:color w:val="auto"/>
              </w:rPr>
            </w:pPr>
          </w:p>
        </w:tc>
        <w:tc>
          <w:tcPr>
            <w:tcW w:w="760" w:type="dxa"/>
            <w:vAlign w:val="bottom"/>
            <w:gridSpan w:val="2"/>
          </w:tcPr>
          <w:p>
            <w:pPr>
              <w:jc w:val="right"/>
              <w:ind w:right="249"/>
              <w:spacing w:after="0"/>
              <w:rPr>
                <w:sz w:val="20"/>
                <w:szCs w:val="20"/>
                <w:color w:val="auto"/>
              </w:rPr>
            </w:pPr>
            <w:r>
              <w:rPr>
                <w:rFonts w:ascii="Arial" w:cs="Arial" w:eastAsia="Arial" w:hAnsi="Arial"/>
                <w:sz w:val="14"/>
                <w:szCs w:val="14"/>
                <w:color w:val="auto"/>
              </w:rPr>
              <w:t>5.17%</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5.47%</w:t>
            </w:r>
          </w:p>
        </w:tc>
        <w:tc>
          <w:tcPr>
            <w:tcW w:w="16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(181)</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2006</w:t>
            </w:r>
          </w:p>
        </w:tc>
        <w:tc>
          <w:tcPr>
            <w:tcW w:w="14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Fair value hedges: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time deposits(a)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4.58%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Fixed rate long-term borrowings(a)</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637,241</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c>
          <w:tcPr>
            <w:tcW w:w="400" w:type="dxa"/>
            <w:vAlign w:val="bottom"/>
          </w:tcPr>
          <w:p>
            <w:pPr>
              <w:spacing w:after="0"/>
              <w:rPr>
                <w:sz w:val="14"/>
                <w:szCs w:val="14"/>
                <w:color w:val="auto"/>
              </w:rPr>
            </w:pPr>
          </w:p>
        </w:tc>
        <w:tc>
          <w:tcPr>
            <w:tcW w:w="760" w:type="dxa"/>
            <w:vAlign w:val="bottom"/>
            <w:gridSpan w:val="2"/>
          </w:tcPr>
          <w:p>
            <w:pPr>
              <w:jc w:val="right"/>
              <w:ind w:right="249"/>
              <w:spacing w:after="0"/>
              <w:rPr>
                <w:sz w:val="20"/>
                <w:szCs w:val="20"/>
                <w:color w:val="auto"/>
              </w:rPr>
            </w:pPr>
            <w:r>
              <w:rPr>
                <w:rFonts w:ascii="Arial" w:cs="Arial" w:eastAsia="Arial" w:hAnsi="Arial"/>
                <w:sz w:val="14"/>
                <w:szCs w:val="14"/>
                <w:color w:val="auto"/>
              </w:rPr>
              <w:t>6.14%</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1,027,241</w:t>
            </w: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5.55%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(15,005)</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80" w:hanging="239"/>
        <w:spacing w:after="0"/>
        <w:tabs>
          <w:tab w:leader="none" w:pos="118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Under the terms of these agreements, the Company receives settlement amounts at a fixed rate and pays at a variable rate.</w:t>
      </w:r>
    </w:p>
    <w:p>
      <w:pPr>
        <w:spacing w:after="0" w:line="13" w:lineRule="exact"/>
        <w:rPr>
          <w:rFonts w:ascii="Arial" w:cs="Arial" w:eastAsia="Arial" w:hAnsi="Arial"/>
          <w:sz w:val="13"/>
          <w:szCs w:val="13"/>
          <w:i w:val="1"/>
          <w:iCs w:val="1"/>
          <w:color w:val="auto"/>
        </w:rPr>
      </w:pPr>
    </w:p>
    <w:p>
      <w:pPr>
        <w:ind w:left="1180" w:hanging="239"/>
        <w:spacing w:after="0"/>
        <w:tabs>
          <w:tab w:leader="none" w:pos="118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Under the terms of these agreements, the Company receives settlement amounts at a variable rate and pays at a fixed rate.</w:t>
      </w:r>
    </w:p>
    <w:p>
      <w:pPr>
        <w:spacing w:after="0" w:line="80" w:lineRule="exact"/>
        <w:rPr>
          <w:sz w:val="20"/>
          <w:szCs w:val="20"/>
          <w:color w:val="auto"/>
        </w:rPr>
      </w:pPr>
    </w:p>
    <w:p>
      <w:pPr>
        <w:ind w:left="680" w:firstLine="599"/>
        <w:spacing w:after="0" w:line="247" w:lineRule="auto"/>
        <w:rPr>
          <w:sz w:val="20"/>
          <w:szCs w:val="20"/>
          <w:color w:val="auto"/>
        </w:rPr>
      </w:pPr>
      <w:r>
        <w:rPr>
          <w:rFonts w:ascii="Arial" w:cs="Arial" w:eastAsia="Arial" w:hAnsi="Arial"/>
          <w:sz w:val="14"/>
          <w:szCs w:val="14"/>
          <w:color w:val="auto"/>
        </w:rPr>
        <w:t>The estimated fair value of interest rate swap agreements represents the amount the Company would have expected to receive (pay) to terminate such contracts. The estimated fair value of such swap agreements at December 31, 2007 and 2006 included gross unrealized gains of $16,513,000 and $115,000, respectively, and gross unrealized losses of $16,694,000 and $15,120,000, respectively. At December 31, 2007 and 2006, the estimated fair values of interest rate swap agreements designated as fair value hedges were substantially offset by unrealized gains and losses resulting from changes in the fair values of the hedged items. The estimated fair value of interest rate swap agreements designated as cash flow hedges, net of applicable income taxes, is included in “Accumulated other comprehensive income (loss), net” in the Company’s consolidated balance sheet at December 31, 2007.</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notional amount of interest rate swap agreements entered into for risk management purposes that were outstanding at December 31, 2007 mature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2008</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197,241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2,342,241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The net effect of interest rate swap agreements was to decrease net interest income by $2,556,000 in 2007 and $4,281,000 in 2006 and to increase net interest income by $5,526,000 in 2005. The average notional amounts of interest rate swap agreements impacting net interest income that were entered into for interest rate risk management purposes were $1,410,542,000 in 2007, $774,268,000 in 2006 and $767,175,000 in 2005. The amount of hedge ineffectiveness recognized in 2007, 2006 and 2005 was not material to the Company’s results of operations.</w:t>
      </w:r>
    </w:p>
    <w:p>
      <w:pPr>
        <w:ind w:left="680" w:right="20" w:firstLine="599"/>
        <w:spacing w:after="0" w:line="263" w:lineRule="auto"/>
        <w:rPr>
          <w:sz w:val="20"/>
          <w:szCs w:val="20"/>
          <w:color w:val="auto"/>
        </w:rPr>
      </w:pPr>
      <w:r>
        <w:rPr>
          <w:rFonts w:ascii="Arial" w:cs="Arial" w:eastAsia="Arial" w:hAnsi="Arial"/>
          <w:sz w:val="13"/>
          <w:szCs w:val="13"/>
          <w:color w:val="auto"/>
        </w:rPr>
        <w:t>The Company utilizes commitments to sell residential and commercial real estate loans to hedge the exposure to changes in the fair value of real estate loans held for sale. Such commitments have been designated as fair value hedges. The Company also utilizes commitments to sell real estate loans to offset the exposure to changes in the fair value of certain commitments to originate real estate loans for sale. As a result of these activities, net unrealized pre-tax losses related to hedged loans held for sale, commitments to originate loans for sale, and commitments to sell loans were approximately $7 million at December 31, 2007, compared with unrealized pre-tax gains of</w:t>
      </w:r>
    </w:p>
    <w:p>
      <w:pPr>
        <w:spacing w:after="0" w:line="1" w:lineRule="exact"/>
        <w:rPr>
          <w:sz w:val="20"/>
          <w:szCs w:val="20"/>
          <w:color w:val="auto"/>
        </w:rPr>
      </w:pPr>
    </w:p>
    <w:p>
      <w:pPr>
        <w:ind w:left="680" w:right="220"/>
        <w:spacing w:after="0" w:line="244" w:lineRule="auto"/>
        <w:rPr>
          <w:sz w:val="20"/>
          <w:szCs w:val="20"/>
          <w:color w:val="auto"/>
        </w:rPr>
      </w:pPr>
      <w:r>
        <w:rPr>
          <w:rFonts w:ascii="Arial" w:cs="Arial" w:eastAsia="Arial" w:hAnsi="Arial"/>
          <w:sz w:val="14"/>
          <w:szCs w:val="14"/>
          <w:color w:val="auto"/>
        </w:rPr>
        <w:t>$4 million at December 31, 2006. Changes in unrealized gains or losses are included in mortgage banking revenues and, in general, are realized in subsequent periods as the related loans are sold and commitments satisfied.</w:t>
      </w:r>
    </w:p>
    <w:p>
      <w:pPr>
        <w:spacing w:after="0" w:line="1" w:lineRule="exact"/>
        <w:rPr>
          <w:sz w:val="20"/>
          <w:szCs w:val="20"/>
          <w:color w:val="auto"/>
        </w:rPr>
      </w:pPr>
    </w:p>
    <w:p>
      <w:pPr>
        <w:ind w:left="680" w:right="220" w:firstLine="599"/>
        <w:spacing w:after="0" w:line="295" w:lineRule="auto"/>
        <w:rPr>
          <w:sz w:val="20"/>
          <w:szCs w:val="20"/>
          <w:color w:val="auto"/>
        </w:rPr>
      </w:pPr>
      <w:r>
        <w:rPr>
          <w:rFonts w:ascii="Arial" w:cs="Arial" w:eastAsia="Arial" w:hAnsi="Arial"/>
          <w:sz w:val="12"/>
          <w:szCs w:val="12"/>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and estimated fair value gains of $11.7 billion and $24,606,000, respectively, at December 31, 2007 and notional values and estimated fair value gains of $7.6 billion and $17,122,000, respectively, at December 31, 2006. Foreign exchange and other option and futures contracts totaled approximately $801 million and $613 million at December 31, 2007 and 2006, respectively. Such contracts were valued at gains of $686,000 and $477,000 at December 31, 2007 and 2006, respectively. Trading account assets and liabilities are recorded in the consolidated balance sheet at estimated fair value. The following table includes information about the estimated fair value of derivative financial instruments used for trading purposes:</w:t>
      </w:r>
    </w:p>
    <w:p>
      <w:pPr>
        <w:spacing w:after="0" w:line="8"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9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spacing w:after="0" w:line="114" w:lineRule="exact"/>
              <w:rPr>
                <w:sz w:val="20"/>
                <w:szCs w:val="20"/>
                <w:color w:val="auto"/>
              </w:rPr>
            </w:pPr>
            <w:r>
              <w:rPr>
                <w:rFonts w:ascii="Arial" w:cs="Arial" w:eastAsia="Arial" w:hAnsi="Arial"/>
                <w:sz w:val="10"/>
                <w:szCs w:val="10"/>
                <w:b w:val="1"/>
                <w:bCs w:val="1"/>
                <w:color w:val="auto"/>
                <w:w w:val="70"/>
              </w:rPr>
              <w:t>thousands)</w:t>
            </w: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December 31:</w:t>
            </w:r>
          </w:p>
        </w:tc>
        <w:tc>
          <w:tcPr>
            <w:tcW w:w="3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120"/>
              <w:spacing w:after="0"/>
              <w:rPr>
                <w:sz w:val="20"/>
                <w:szCs w:val="20"/>
                <w:color w:val="auto"/>
              </w:rPr>
            </w:pPr>
            <w:r>
              <w:rPr>
                <w:rFonts w:ascii="Arial" w:cs="Arial" w:eastAsia="Arial" w:hAnsi="Arial"/>
                <w:sz w:val="14"/>
                <w:szCs w:val="14"/>
                <w:color w:val="auto"/>
              </w:rPr>
              <w:t>Gross unrealized gains</w:t>
            </w:r>
          </w:p>
        </w:tc>
        <w:tc>
          <w:tcPr>
            <w:tcW w:w="3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168,317</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$ 82,864</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Gross unrealized losses</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143,025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65,265</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Year ended December 31:</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gross unrealized gains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94,475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$ 96,041</w:t>
            </w:r>
          </w:p>
        </w:tc>
        <w:tc>
          <w:tcPr>
            <w:tcW w:w="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4"/>
                <w:szCs w:val="14"/>
                <w:color w:val="auto"/>
              </w:rPr>
              <w:t>Average gross unrealized losses</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75,108</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80,626</w:t>
            </w:r>
          </w:p>
        </w:tc>
        <w:tc>
          <w:tcPr>
            <w:tcW w:w="80" w:type="dxa"/>
            <w:vAlign w:val="bottom"/>
          </w:tcPr>
          <w:p>
            <w:pPr>
              <w:spacing w:after="0"/>
              <w:rPr>
                <w:sz w:val="15"/>
                <w:szCs w:val="15"/>
                <w:color w:val="auto"/>
              </w:rPr>
            </w:pPr>
          </w:p>
        </w:tc>
      </w:tr>
    </w:tbl>
    <w:p>
      <w:pPr>
        <w:spacing w:after="0" w:line="58" w:lineRule="exact"/>
        <w:rPr>
          <w:sz w:val="20"/>
          <w:szCs w:val="20"/>
          <w:color w:val="auto"/>
        </w:rPr>
      </w:pPr>
    </w:p>
    <w:p>
      <w:pPr>
        <w:ind w:left="680" w:right="520" w:firstLine="599"/>
        <w:spacing w:after="0" w:line="272" w:lineRule="auto"/>
        <w:rPr>
          <w:sz w:val="20"/>
          <w:szCs w:val="20"/>
          <w:color w:val="auto"/>
        </w:rPr>
      </w:pPr>
      <w:r>
        <w:rPr>
          <w:rFonts w:ascii="Arial" w:cs="Arial" w:eastAsia="Arial" w:hAnsi="Arial"/>
          <w:sz w:val="14"/>
          <w:szCs w:val="14"/>
          <w:color w:val="auto"/>
        </w:rPr>
        <w:t>Net gains realized from derivative financial instruments used for trading purposes were $12,152,000, $14,800,000 and $14,380,000 in 2007, 2006 and 2005, respectively.</w:t>
      </w:r>
    </w:p>
    <w:p>
      <w:pPr>
        <w:spacing w:after="0" w:line="123" w:lineRule="exact"/>
        <w:rPr>
          <w:sz w:val="20"/>
          <w:szCs w:val="20"/>
          <w:color w:val="auto"/>
        </w:rPr>
      </w:pPr>
    </w:p>
    <w:p>
      <w:pPr>
        <w:ind w:left="1180" w:hanging="495"/>
        <w:spacing w:after="0"/>
        <w:tabs>
          <w:tab w:leader="none" w:pos="11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entities and asset securitizations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Variable interest entities in which the Company holds a significant variable interest are described below.</w:t>
      </w:r>
    </w:p>
    <w:p>
      <w:pPr>
        <w:spacing w:after="0" w:line="3" w:lineRule="exact"/>
        <w:rPr>
          <w:sz w:val="20"/>
          <w:szCs w:val="20"/>
          <w:color w:val="auto"/>
        </w:rPr>
      </w:pPr>
    </w:p>
    <w:p>
      <w:pPr>
        <w:ind w:left="680" w:right="40" w:firstLine="599"/>
        <w:spacing w:after="0" w:line="246" w:lineRule="auto"/>
        <w:rPr>
          <w:sz w:val="20"/>
          <w:szCs w:val="20"/>
          <w:color w:val="auto"/>
        </w:rPr>
      </w:pPr>
      <w:r>
        <w:rPr>
          <w:rFonts w:ascii="Arial" w:cs="Arial" w:eastAsia="Arial" w:hAnsi="Arial"/>
          <w:sz w:val="14"/>
          <w:szCs w:val="14"/>
          <w:color w:val="auto"/>
        </w:rPr>
        <w:t>M&amp;T Auto Receivables I, LLC is a special purpose subsidiary of M&amp;T Bank formed in 2002 for the purpose of borrowing $500 million in a revolving asset-backed structured borrowing with an unaffiliated conduit lender. The revolving asset-backed structured borrowing is secured by automobile loans and other assets transferred to the special purpose subsidiary by M&amp;T Bank or other of its subsidiaries that totaled $557 million and $565 million at December 31, 2007 and 2006, respectively. The activities of M&amp;T Auto Receivables I, LLC are generally restricted to purchasing and owning automobile loans for the purpose of securing this revolving borrowing arrangement. Proceeds from payments on the automobile loans are required to be applied in priority order for fees, principal and interest on the borrowing, and funding the monthly replenishment of loans. Any remaining proceeds are available for distribution to M&amp;T Bank. The secured borrowing is prepayable, in whole or in part, at any time and is non-recourse to M&amp;T Bank and the Company. However, 80% of the borrowing can be put back to M&amp;T Bank upon demand. The Company’s maximum incremental exposure to loss resulting from the structure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20"/>
        <w:spacing w:after="0" w:line="250" w:lineRule="auto"/>
        <w:rPr>
          <w:sz w:val="20"/>
          <w:szCs w:val="20"/>
          <w:color w:val="auto"/>
        </w:rPr>
      </w:pPr>
      <w:r>
        <w:rPr>
          <w:rFonts w:ascii="Arial" w:cs="Arial" w:eastAsia="Arial" w:hAnsi="Arial"/>
          <w:sz w:val="14"/>
          <w:szCs w:val="14"/>
          <w:color w:val="auto"/>
        </w:rPr>
        <w:t>of this borrowing arrangement is generally restricted to the amount that such borrowing is overcollateralized. Management currently estimates no material losses as a result of the pledging of assets and the terms of the borrowing arrangement. The assets and liabilities of M&amp;T Auto Receivables I, LLC have been included in the Company’s consolidated financial statements.</w:t>
      </w:r>
    </w:p>
    <w:p>
      <w:pPr>
        <w:spacing w:after="0" w:line="1"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M&amp;T has a variable interest in a trust that holds AIB ADSs for the purpose of satisfying options to purchase such shares for certain employees. The trust purchased the AIB ADSs with the proceeds of a loan from an entity subsequently acquired by M&amp;T. Proceeds from option exercises and any dividends and other earnings on the trust assets are used to repay the loan plus interest. Option holders have no preferential right with respect to the trust assets and the trust assets are subject to the claims of M&amp;T’s creditors. The trust has been included in the Company’s consolidated financial statements. As a result, included in investment securities available for sale were 602,088 AIB ADSs with a carrying value of approximately $14 million at December 31, 2007, compared with 651,688 AIB ADSs with a carrying value of approximately $15 million at December 31, 2006. Outstanding options granted to employees who have continued service with M&amp;T totaled 329,810 and 381,460 at December 31, 2007 and 2006, respectively. All outstanding options were fully vested and exercisable at both December 31, 2007 and 2006. The options expire at various dates through June 2012. M&amp;T’s maximum exposure to loss is approximately $14 million at December 31, 2007.</w:t>
      </w:r>
    </w:p>
    <w:p>
      <w:pPr>
        <w:spacing w:after="0" w:line="2"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As described in note 9, M&amp;T has issued junior subordinated debentures payable to the Trusts and the Allfirst Asset Trust and owns the common securities of those entities. The Trusts and the Allfirst Asset Trust are not included in the Company’s consolidated financial statements because the Company is not considered to be the primary beneficiary of those entities. Accordingly, at December 31, 2007 and 2006, the Company included the Junior Subordinated Debentures payable to the Trusts and the Floating Rate Junior Subordinated Debentures payable to the Allfirst Asset Trust as long-term borrowings in its consolidated balance sheet. The Company has recognized $31 million in other assets for its “investment” in the common securities of the Trusts and Allfirst Asset Trust that will be concomitantly repaid to M&amp;T by the respective trust from the proceeds of M&amp;T’s repayment of the junior subordinated debentures associated with preferred capital securities described in note 9.</w:t>
      </w:r>
    </w:p>
    <w:p>
      <w:pPr>
        <w:spacing w:after="0" w:line="1" w:lineRule="exact"/>
        <w:rPr>
          <w:sz w:val="20"/>
          <w:szCs w:val="20"/>
          <w:color w:val="auto"/>
        </w:rPr>
      </w:pPr>
    </w:p>
    <w:p>
      <w:pPr>
        <w:ind w:left="680" w:right="40" w:firstLine="599"/>
        <w:spacing w:after="0" w:line="267" w:lineRule="auto"/>
        <w:rPr>
          <w:sz w:val="20"/>
          <w:szCs w:val="20"/>
          <w:color w:val="auto"/>
        </w:rPr>
      </w:pPr>
      <w:r>
        <w:rPr>
          <w:rFonts w:ascii="Arial" w:cs="Arial" w:eastAsia="Arial" w:hAnsi="Arial"/>
          <w:sz w:val="13"/>
          <w:szCs w:val="13"/>
          <w:color w:val="auto"/>
        </w:rPr>
        <w:t>The Company has invested as a limited partner in various real estate partnerships that collectively had total assets of approximately $342 million and $339 million at December 31, 2007 and 2006,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$146 million, including $34 million of unfunded commitments, at December 31, 2007 and $142 million, including $25 million of unfunded commitments, at December 31, 2006. Management currently estimates that no material losses are probable as a result of the Company’s involvement with such entities. In accordance with the accounting provisions for variable interest entities, the partnership entities are not included in the Company’s consolidated financial statements.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Securitizations</w:t>
      </w:r>
    </w:p>
    <w:p>
      <w:pPr>
        <w:spacing w:after="0" w:line="15" w:lineRule="exact"/>
        <w:rPr>
          <w:sz w:val="20"/>
          <w:szCs w:val="20"/>
          <w:color w:val="auto"/>
        </w:rPr>
      </w:pPr>
    </w:p>
    <w:p>
      <w:pPr>
        <w:ind w:left="680" w:right="80"/>
        <w:spacing w:after="0" w:line="285" w:lineRule="auto"/>
        <w:rPr>
          <w:sz w:val="20"/>
          <w:szCs w:val="20"/>
          <w:color w:val="auto"/>
        </w:rPr>
      </w:pPr>
      <w:r>
        <w:rPr>
          <w:rFonts w:ascii="Arial" w:cs="Arial" w:eastAsia="Arial" w:hAnsi="Arial"/>
          <w:sz w:val="12"/>
          <w:szCs w:val="12"/>
          <w:color w:val="auto"/>
        </w:rPr>
        <w:t>In December 2007 and 2005, the Company securitized approximately $948 million and $126 million, respectively, of one-to-four family residential mortgage loans in guaranteed mortgage securitizations with FNMA.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FNMA.</w:t>
      </w:r>
    </w:p>
    <w:p>
      <w:pPr>
        <w:spacing w:after="0" w:line="1" w:lineRule="exact"/>
        <w:rPr>
          <w:sz w:val="20"/>
          <w:szCs w:val="20"/>
          <w:color w:val="auto"/>
        </w:rPr>
      </w:pPr>
    </w:p>
    <w:p>
      <w:pPr>
        <w:ind w:left="680" w:right="160" w:firstLine="599"/>
        <w:spacing w:after="0" w:line="311" w:lineRule="auto"/>
        <w:rPr>
          <w:sz w:val="20"/>
          <w:szCs w:val="20"/>
          <w:color w:val="auto"/>
        </w:rPr>
      </w:pPr>
      <w:r>
        <w:rPr>
          <w:rFonts w:ascii="Arial" w:cs="Arial" w:eastAsia="Arial" w:hAnsi="Arial"/>
          <w:sz w:val="12"/>
          <w:szCs w:val="12"/>
          <w:color w:val="auto"/>
        </w:rPr>
        <w:t>In prior years, the Company transferred approximately $1.9 billion of one-to-four family residential mortgage loans to qualified special purpose trusts in non-recourse securitization transactions. In exchange for the loans, the Company received cash, no more than 88% of the resulting securities, and the servicing rights to the loans. All of the retained securities were classified as investment securities available for sale. The qualified special purpose trusts are not included in the Company’s consolidated</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5" w:lineRule="exact"/>
        <w:rPr>
          <w:sz w:val="20"/>
          <w:szCs w:val="20"/>
          <w:color w:val="auto"/>
        </w:rPr>
      </w:pPr>
    </w:p>
    <w:p>
      <w:pPr>
        <w:ind w:left="680" w:right="60"/>
        <w:spacing w:after="0" w:line="252" w:lineRule="auto"/>
        <w:rPr>
          <w:sz w:val="20"/>
          <w:szCs w:val="20"/>
          <w:color w:val="auto"/>
        </w:rPr>
      </w:pPr>
      <w:r>
        <w:rPr>
          <w:rFonts w:ascii="Arial" w:cs="Arial" w:eastAsia="Arial" w:hAnsi="Arial"/>
          <w:sz w:val="13"/>
          <w:szCs w:val="13"/>
          <w:color w:val="auto"/>
        </w:rPr>
        <w:t>financial statements. Because the transactions were non-recourse, the Company’s maximum exposure to loss as a result of its association with the trusts is limited to realizing the carrying value of the retained securities and servicing rights. The combined outstanding principal amount of mortgage-backed securities issued by the qualified special purpose trusts was $631 million at December 31, 2007 and $732 million at December 31, 2006. The principal amount of such securities held by the Company was $539 million and $627 million at December 31, 2007 and 2006, respectively. At December 31, 2007 and 2006, loans of the trusts that were 30 or more days delinquent totaled $15 million and $14 million, respectively. Credit losses, net of recoveries, for the trusts in 2007 and 2006 were insignificant. There were no significant repurchases of delinquent or foreclosed loans from the trusts by the Company in 2007 or 2006. Certain cash flows between the Company and the trusts were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5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Year Ended December 31</w:t>
            </w:r>
          </w:p>
        </w:tc>
      </w:tr>
      <w:tr>
        <w:trPr>
          <w:trHeight w:val="96"/>
        </w:trPr>
        <w:tc>
          <w:tcPr>
            <w:tcW w:w="56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00" w:type="dxa"/>
            <w:vAlign w:val="bottom"/>
          </w:tcPr>
          <w:p>
            <w:pPr>
              <w:jc w:val="right"/>
              <w:ind w:right="149"/>
              <w:spacing w:after="0" w:line="96" w:lineRule="exact"/>
              <w:rPr>
                <w:sz w:val="20"/>
                <w:szCs w:val="20"/>
                <w:color w:val="auto"/>
              </w:rPr>
            </w:pPr>
            <w:r>
              <w:rPr>
                <w:rFonts w:ascii="Arial" w:cs="Arial" w:eastAsia="Arial" w:hAnsi="Arial"/>
                <w:sz w:val="10"/>
                <w:szCs w:val="10"/>
                <w:b w:val="1"/>
                <w:bCs w:val="1"/>
                <w:color w:val="auto"/>
              </w:rPr>
              <w:t>2007</w:t>
            </w:r>
          </w:p>
        </w:tc>
        <w:tc>
          <w:tcPr>
            <w:tcW w:w="1000" w:type="dxa"/>
            <w:vAlign w:val="bottom"/>
            <w:gridSpan w:val="2"/>
          </w:tcPr>
          <w:p>
            <w:pPr>
              <w:jc w:val="right"/>
              <w:ind w:right="200"/>
              <w:spacing w:after="0" w:line="96" w:lineRule="exact"/>
              <w:rPr>
                <w:sz w:val="20"/>
                <w:szCs w:val="20"/>
                <w:color w:val="auto"/>
              </w:rPr>
            </w:pPr>
            <w:r>
              <w:rPr>
                <w:rFonts w:ascii="Arial" w:cs="Arial" w:eastAsia="Arial" w:hAnsi="Arial"/>
                <w:sz w:val="10"/>
                <w:szCs w:val="10"/>
                <w:b w:val="1"/>
                <w:bCs w:val="1"/>
                <w:color w:val="auto"/>
              </w:rPr>
              <w:t>2006</w:t>
            </w:r>
          </w:p>
        </w:tc>
      </w:tr>
      <w:tr>
        <w:trPr>
          <w:trHeight w:val="122"/>
        </w:trPr>
        <w:tc>
          <w:tcPr>
            <w:tcW w:w="5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w w:val="78"/>
              </w:rPr>
              <w:t>thousands)</w:t>
            </w:r>
          </w:p>
        </w:tc>
        <w:tc>
          <w:tcPr>
            <w:tcW w:w="600" w:type="dxa"/>
            <w:vAlign w:val="bottom"/>
            <w:tcBorders>
              <w:top w:val="single" w:sz="8" w:color="auto"/>
            </w:tcBorders>
          </w:tcPr>
          <w:p>
            <w:pPr>
              <w:spacing w:after="0"/>
              <w:rPr>
                <w:sz w:val="10"/>
                <w:szCs w:val="10"/>
                <w:color w:val="auto"/>
              </w:rPr>
            </w:pPr>
          </w:p>
        </w:tc>
      </w:tr>
      <w:tr>
        <w:trPr>
          <w:trHeight w:val="164"/>
        </w:trPr>
        <w:tc>
          <w:tcPr>
            <w:tcW w:w="5660" w:type="dxa"/>
            <w:vAlign w:val="bottom"/>
          </w:tcPr>
          <w:p>
            <w:pPr>
              <w:spacing w:after="0"/>
              <w:rPr>
                <w:sz w:val="20"/>
                <w:szCs w:val="20"/>
                <w:color w:val="auto"/>
              </w:rPr>
            </w:pPr>
            <w:r>
              <w:rPr>
                <w:rFonts w:ascii="Arial" w:cs="Arial" w:eastAsia="Arial" w:hAnsi="Arial"/>
                <w:sz w:val="14"/>
                <w:szCs w:val="14"/>
                <w:color w:val="auto"/>
              </w:rPr>
              <w:t>Principal and interest payments on retained securities</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$ 124,469</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$ 173,207</w:t>
            </w: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Servicing fees received</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1,864</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2,223</w:t>
            </w:r>
          </w:p>
        </w:tc>
      </w:tr>
    </w:tbl>
    <w:p>
      <w:pPr>
        <w:spacing w:after="0" w:line="71" w:lineRule="exact"/>
        <w:rPr>
          <w:sz w:val="20"/>
          <w:szCs w:val="20"/>
          <w:color w:val="auto"/>
        </w:rPr>
      </w:pPr>
    </w:p>
    <w:p>
      <w:pPr>
        <w:ind w:left="680" w:right="80" w:firstLine="599"/>
        <w:spacing w:after="0" w:line="273" w:lineRule="auto"/>
        <w:rPr>
          <w:sz w:val="20"/>
          <w:szCs w:val="20"/>
          <w:color w:val="auto"/>
        </w:rPr>
      </w:pPr>
      <w:r>
        <w:rPr>
          <w:rFonts w:ascii="Arial" w:cs="Arial" w:eastAsia="Arial" w:hAnsi="Arial"/>
          <w:sz w:val="13"/>
          <w:szCs w:val="13"/>
          <w:color w:val="auto"/>
        </w:rPr>
        <w:t>A summary of the fair values of retained subordinated interests resulting from the Company’s residential mortgage loan securitization activities follows. Although the estimated fair values of the retained subordinated interests were obtained from independent pricing sources, the Company has modeled the sensitivity of such fair values to changes in certain assumptions as summarized in the table below. These calculated sensitivities are hypothetical and actual changes in the fair value may differ significantly from the amounts presented herein. The effect of a variation in a particular assumption on the fair values is calculated without changing any other assumption. In reality, changes in one factor may result in changes in another which may magnify or counteract the sensitivities. The changes in assumptions are presumed to be instantaneous. The hypothetical effect of adverse changes on the Company’s retained capitalized servicing assets at December 31, 2007 is included in note 7.</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0"/>
              </w:rPr>
              <w:t>Weighted-</w:t>
            </w:r>
          </w:p>
        </w:tc>
        <w:tc>
          <w:tcPr>
            <w:tcW w:w="2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5"/>
              </w:rPr>
              <w:t>Weighted-</w:t>
            </w:r>
          </w:p>
        </w:tc>
        <w:tc>
          <w:tcPr>
            <w:tcW w:w="2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Annual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Fair</w:t>
            </w:r>
          </w:p>
        </w:tc>
        <w:tc>
          <w:tcPr>
            <w:tcW w:w="26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1"/>
              </w:rPr>
              <w:t>Average</w:t>
            </w:r>
          </w:p>
        </w:tc>
        <w:tc>
          <w:tcPr>
            <w:tcW w:w="28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1"/>
              </w:rPr>
              <w:t>Average</w:t>
            </w:r>
          </w:p>
        </w:tc>
        <w:tc>
          <w:tcPr>
            <w:tcW w:w="280" w:type="dxa"/>
            <w:vAlign w:val="bottom"/>
          </w:tcPr>
          <w:p>
            <w:pPr>
              <w:spacing w:after="0"/>
              <w:rPr>
                <w:sz w:val="9"/>
                <w:szCs w:val="9"/>
                <w:color w:val="auto"/>
              </w:rPr>
            </w:pPr>
          </w:p>
        </w:tc>
        <w:tc>
          <w:tcPr>
            <w:tcW w:w="6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9"/>
              </w:rPr>
              <w:t>Expected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4"/>
              </w:rPr>
              <w:t>Prepayment</w:t>
            </w:r>
          </w:p>
        </w:tc>
        <w:tc>
          <w:tcPr>
            <w:tcW w:w="280" w:type="dxa"/>
            <w:vAlign w:val="bottom"/>
          </w:tcPr>
          <w:p>
            <w:pPr>
              <w:spacing w:after="0"/>
              <w:rPr>
                <w:sz w:val="9"/>
                <w:szCs w:val="9"/>
                <w:color w:val="auto"/>
              </w:rPr>
            </w:pPr>
          </w:p>
        </w:tc>
        <w:tc>
          <w:tcPr>
            <w:tcW w:w="9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8"/>
              </w:rPr>
              <w:t>Discount</w:t>
            </w:r>
          </w:p>
        </w:tc>
        <w:tc>
          <w:tcPr>
            <w:tcW w:w="280" w:type="dxa"/>
            <w:vAlign w:val="bottom"/>
          </w:tcPr>
          <w:p>
            <w:pPr>
              <w:spacing w:after="0"/>
              <w:rPr>
                <w:sz w:val="9"/>
                <w:szCs w:val="9"/>
                <w:color w:val="auto"/>
              </w:rPr>
            </w:pPr>
          </w:p>
        </w:tc>
        <w:tc>
          <w:tcPr>
            <w:tcW w:w="6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6"/>
              </w:rPr>
              <w:t>Credit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26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Speed</w:t>
            </w:r>
          </w:p>
        </w:tc>
        <w:tc>
          <w:tcPr>
            <w:tcW w:w="28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Defaults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20" w:type="dxa"/>
            <w:vAlign w:val="bottom"/>
            <w:gridSpan w:val="3"/>
          </w:tcPr>
          <w:p>
            <w:pPr>
              <w:jc w:val="right"/>
              <w:ind w:right="589"/>
              <w:spacing w:after="0"/>
              <w:rPr>
                <w:sz w:val="20"/>
                <w:szCs w:val="20"/>
                <w:color w:val="auto"/>
              </w:rPr>
            </w:pPr>
            <w:r>
              <w:rPr>
                <w:rFonts w:ascii="Arial" w:cs="Arial" w:eastAsia="Arial" w:hAnsi="Arial"/>
                <w:sz w:val="10"/>
                <w:szCs w:val="10"/>
                <w:b w:val="1"/>
                <w:bCs w:val="1"/>
                <w:color w:val="auto"/>
              </w:rPr>
              <w:t>(Dollars in thousands)</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Retained subordinated interests:</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Arial" w:cs="Arial" w:eastAsia="Arial" w:hAnsi="Arial"/>
                <w:sz w:val="14"/>
                <w:szCs w:val="14"/>
                <w:color w:val="auto"/>
              </w:rPr>
              <w:t>As of securitization date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$ 91,705</w:t>
            </w:r>
          </w:p>
        </w:tc>
        <w:tc>
          <w:tcPr>
            <w:tcW w:w="18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Arial" w:cs="Arial" w:eastAsia="Arial" w:hAnsi="Arial"/>
                <w:sz w:val="14"/>
                <w:szCs w:val="14"/>
                <w:color w:val="auto"/>
              </w:rPr>
              <w:t>23.81%</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7.68%</w:t>
            </w:r>
          </w:p>
        </w:tc>
        <w:tc>
          <w:tcPr>
            <w:tcW w:w="900" w:type="dxa"/>
            <w:vAlign w:val="bottom"/>
            <w:gridSpan w:val="2"/>
          </w:tcPr>
          <w:p>
            <w:pPr>
              <w:jc w:val="right"/>
              <w:ind w:right="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 of December 31, 2007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53,160</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10.82%</w:t>
            </w: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7.36%</w:t>
            </w: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ind w:left="240"/>
              <w:spacing w:after="0"/>
              <w:rPr>
                <w:sz w:val="20"/>
                <w:szCs w:val="20"/>
                <w:color w:val="auto"/>
              </w:rPr>
            </w:pPr>
            <w:r>
              <w:rPr>
                <w:rFonts w:ascii="Arial" w:cs="Arial" w:eastAsia="Arial" w:hAnsi="Arial"/>
                <w:sz w:val="14"/>
                <w:szCs w:val="14"/>
                <w:color w:val="auto"/>
              </w:rPr>
              <w:t>Impact on fair value of 10% adverse change</w:t>
            </w:r>
          </w:p>
        </w:tc>
        <w:tc>
          <w:tcPr>
            <w:tcW w:w="1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  (90)</w:t>
            </w:r>
          </w:p>
        </w:tc>
        <w:tc>
          <w:tcPr>
            <w:tcW w:w="1200" w:type="dxa"/>
            <w:vAlign w:val="bottom"/>
            <w:gridSpan w:val="2"/>
          </w:tcPr>
          <w:p>
            <w:pPr>
              <w:jc w:val="right"/>
              <w:ind w:right="189"/>
              <w:spacing w:after="0"/>
              <w:rPr>
                <w:sz w:val="20"/>
                <w:szCs w:val="20"/>
                <w:color w:val="auto"/>
              </w:rPr>
            </w:pPr>
            <w:r>
              <w:rPr>
                <w:rFonts w:ascii="Arial" w:cs="Arial" w:eastAsia="Arial" w:hAnsi="Arial"/>
                <w:sz w:val="14"/>
                <w:szCs w:val="14"/>
                <w:color w:val="auto"/>
              </w:rPr>
              <w:t>$ (1,678)</w:t>
            </w:r>
          </w:p>
        </w:tc>
        <w:tc>
          <w:tcPr>
            <w:tcW w:w="900" w:type="dxa"/>
            <w:vAlign w:val="bottom"/>
            <w:gridSpan w:val="2"/>
          </w:tcPr>
          <w:p>
            <w:pPr>
              <w:jc w:val="right"/>
              <w:ind w:right="89"/>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Impact on fair value of 20% adverse change</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(189)</w:t>
            </w:r>
          </w:p>
        </w:tc>
        <w:tc>
          <w:tcPr>
            <w:tcW w:w="120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(3,261)</w:t>
            </w: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280" w:firstLine="599"/>
        <w:spacing w:after="0" w:line="312" w:lineRule="auto"/>
        <w:rPr>
          <w:sz w:val="20"/>
          <w:szCs w:val="20"/>
          <w:color w:val="auto"/>
        </w:rPr>
      </w:pPr>
      <w:r>
        <w:rPr>
          <w:rFonts w:ascii="Arial" w:cs="Arial" w:eastAsia="Arial" w:hAnsi="Arial"/>
          <w:sz w:val="13"/>
          <w:szCs w:val="13"/>
          <w:color w:val="auto"/>
        </w:rPr>
        <w:t>The subordinated retained securities do not have pro rata participation in loan principal prepayments for the first seven years of each securitization. The assumed weighted-average discount rate is 126 basis points higher than the weighted-average coupon of the underlying mortgage loans at December 31, 2007.</w:t>
      </w:r>
    </w:p>
    <w:p>
      <w:pPr>
        <w:spacing w:after="0" w:line="99" w:lineRule="exact"/>
        <w:rPr>
          <w:sz w:val="20"/>
          <w:szCs w:val="20"/>
          <w:color w:val="auto"/>
        </w:rPr>
      </w:pPr>
    </w:p>
    <w:p>
      <w:pPr>
        <w:ind w:left="1180" w:hanging="495"/>
        <w:spacing w:after="0"/>
        <w:tabs>
          <w:tab w:leader="none" w:pos="11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9" w:lineRule="exact"/>
        <w:rPr>
          <w:sz w:val="20"/>
          <w:szCs w:val="20"/>
          <w:color w:val="auto"/>
        </w:rPr>
      </w:pPr>
    </w:p>
    <w:p>
      <w:pPr>
        <w:ind w:left="680" w:right="100"/>
        <w:spacing w:after="0" w:line="244" w:lineRule="auto"/>
        <w:rPr>
          <w:sz w:val="20"/>
          <w:szCs w:val="20"/>
          <w:color w:val="auto"/>
        </w:rPr>
      </w:pPr>
      <w:r>
        <w:rPr>
          <w:rFonts w:ascii="Arial" w:cs="Arial" w:eastAsia="Arial" w:hAnsi="Arial"/>
          <w:sz w:val="14"/>
          <w:szCs w:val="14"/>
          <w:color w:val="auto"/>
        </w:rPr>
        <w:t>SFAS No. 107, “Disclosures about Fair Value of Financial Instruments,” requires disclosure of the estimated fair value of financial instruments. Fair value is generally defined as the price a willing buyer and a willing seller would exchange for a financial instrument in other than a distressed sale situation.</w:t>
      </w:r>
    </w:p>
    <w:p>
      <w:pPr>
        <w:spacing w:after="0" w:line="1" w:lineRule="exact"/>
        <w:rPr>
          <w:sz w:val="20"/>
          <w:szCs w:val="20"/>
          <w:color w:val="auto"/>
        </w:rPr>
      </w:pPr>
    </w:p>
    <w:p>
      <w:pPr>
        <w:ind w:left="680" w:right="20" w:firstLine="599"/>
        <w:spacing w:after="0" w:line="248" w:lineRule="auto"/>
        <w:rPr>
          <w:sz w:val="20"/>
          <w:szCs w:val="20"/>
          <w:color w:val="auto"/>
        </w:rPr>
      </w:pPr>
      <w:r>
        <w:rPr>
          <w:rFonts w:ascii="Arial" w:cs="Arial" w:eastAsia="Arial" w:hAnsi="Arial"/>
          <w:sz w:val="14"/>
          <w:szCs w:val="14"/>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SFAS No. 107, has not attempted to market its financial instruments to potential buyers, if any exist. Since negotiated prices in illiquid markets depend greatly upon the then present motivations of the buyer and seller, it is reasonable to assume that actual sales prices could vary widely</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640"/>
        <w:spacing w:after="0" w:line="253" w:lineRule="auto"/>
        <w:rPr>
          <w:sz w:val="20"/>
          <w:szCs w:val="20"/>
          <w:color w:val="auto"/>
        </w:rPr>
      </w:pPr>
      <w:r>
        <w:rPr>
          <w:rFonts w:ascii="Arial" w:cs="Arial" w:eastAsia="Arial" w:hAnsi="Arial"/>
          <w:sz w:val="14"/>
          <w:szCs w:val="14"/>
          <w:color w:val="auto"/>
        </w:rPr>
        <w:t>from any estimate of fair value made without the benefit of negotiations. Additionally, changes in market interest rates can dramatically impact the value of financial instruments in a short period of time.</w:t>
      </w:r>
    </w:p>
    <w:p>
      <w:pPr>
        <w:spacing w:after="0" w:line="1" w:lineRule="exact"/>
        <w:rPr>
          <w:sz w:val="20"/>
          <w:szCs w:val="20"/>
          <w:color w:val="auto"/>
        </w:rPr>
      </w:pPr>
    </w:p>
    <w:p>
      <w:pPr>
        <w:jc w:val="both"/>
        <w:ind w:left="680" w:right="20" w:firstLine="599"/>
        <w:spacing w:after="0" w:line="263" w:lineRule="auto"/>
        <w:rPr>
          <w:sz w:val="20"/>
          <w:szCs w:val="20"/>
          <w:color w:val="auto"/>
        </w:rPr>
      </w:pPr>
      <w:r>
        <w:rPr>
          <w:rFonts w:ascii="Arial" w:cs="Arial" w:eastAsia="Arial" w:hAnsi="Arial"/>
          <w:sz w:val="13"/>
          <w:szCs w:val="13"/>
          <w:color w:val="auto"/>
        </w:rPr>
        <w:t>The estimated fair values of investments in readily marketable debt and equity securities were calculated based on quoted market prices at the respective year-end. In determining amounts to present for other financial instruments, the Company generally used calculations based upon discounted cash flows of the related financial instruments or assigned some other amount as required by SFAS No. 107. Additional information about the assumptions and calculations utilized is presented below.</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carrying amounts and calculated estimates for financial instrument assets (liabilities) are presented in the following table:</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4"/>
          </w:tcPr>
          <w:p>
            <w:pPr>
              <w:jc w:val="center"/>
              <w:ind w:left="532"/>
              <w:spacing w:after="0"/>
              <w:rPr>
                <w:sz w:val="20"/>
                <w:szCs w:val="20"/>
                <w:color w:val="auto"/>
              </w:rPr>
            </w:pPr>
            <w:r>
              <w:rPr>
                <w:rFonts w:ascii="Arial" w:cs="Arial" w:eastAsia="Arial" w:hAnsi="Arial"/>
                <w:sz w:val="10"/>
                <w:szCs w:val="10"/>
                <w:b w:val="1"/>
                <w:bCs w:val="1"/>
                <w:color w:val="auto"/>
                <w:w w:val="92"/>
              </w:rPr>
              <w:t>December 31,</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left="552"/>
              <w:spacing w:after="0"/>
              <w:rPr>
                <w:sz w:val="20"/>
                <w:szCs w:val="20"/>
                <w:color w:val="auto"/>
              </w:rPr>
            </w:pPr>
            <w:r>
              <w:rPr>
                <w:rFonts w:ascii="Arial" w:cs="Arial" w:eastAsia="Arial" w:hAnsi="Arial"/>
                <w:sz w:val="10"/>
                <w:szCs w:val="10"/>
                <w:b w:val="1"/>
                <w:bCs w:val="1"/>
                <w:color w:val="auto"/>
                <w:w w:val="92"/>
              </w:rPr>
              <w:t>December 31,</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b w:val="1"/>
                <w:bCs w:val="1"/>
                <w:color w:val="auto"/>
                <w:w w:val="98"/>
              </w:rPr>
              <w:t>2007</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b w:val="1"/>
                <w:bCs w:val="1"/>
                <w:color w:val="auto"/>
                <w:w w:val="89"/>
              </w:rPr>
              <w:t>2006</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9"/>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tcPr>
          <w:p>
            <w:pPr>
              <w:jc w:val="right"/>
              <w:ind w:right="360"/>
              <w:spacing w:after="0" w:line="79" w:lineRule="exact"/>
              <w:rPr>
                <w:sz w:val="20"/>
                <w:szCs w:val="20"/>
                <w:color w:val="auto"/>
              </w:rPr>
            </w:pPr>
            <w:r>
              <w:rPr>
                <w:rFonts w:ascii="Arial" w:cs="Arial" w:eastAsia="Arial" w:hAnsi="Arial"/>
                <w:sz w:val="9"/>
                <w:szCs w:val="9"/>
                <w:b w:val="1"/>
                <w:bCs w:val="1"/>
                <w:color w:val="auto"/>
              </w:rPr>
              <w:t>Carrying</w:t>
            </w: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jc w:val="right"/>
              <w:ind w:right="212"/>
              <w:spacing w:after="0" w:line="79" w:lineRule="exact"/>
              <w:rPr>
                <w:sz w:val="20"/>
                <w:szCs w:val="20"/>
                <w:color w:val="auto"/>
              </w:rPr>
            </w:pPr>
            <w:r>
              <w:rPr>
                <w:rFonts w:ascii="Arial" w:cs="Arial" w:eastAsia="Arial" w:hAnsi="Arial"/>
                <w:sz w:val="9"/>
                <w:szCs w:val="9"/>
                <w:b w:val="1"/>
                <w:bCs w:val="1"/>
                <w:color w:val="auto"/>
              </w:rPr>
              <w:t>Calculated</w:t>
            </w: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tcPr>
          <w:p>
            <w:pPr>
              <w:jc w:val="right"/>
              <w:ind w:right="380"/>
              <w:spacing w:after="0" w:line="79" w:lineRule="exact"/>
              <w:rPr>
                <w:sz w:val="20"/>
                <w:szCs w:val="20"/>
                <w:color w:val="auto"/>
              </w:rPr>
            </w:pPr>
            <w:r>
              <w:rPr>
                <w:rFonts w:ascii="Arial" w:cs="Arial" w:eastAsia="Arial" w:hAnsi="Arial"/>
                <w:sz w:val="9"/>
                <w:szCs w:val="9"/>
                <w:b w:val="1"/>
                <w:bCs w:val="1"/>
                <w:color w:val="auto"/>
              </w:rPr>
              <w:t>Carrying</w:t>
            </w: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jc w:val="right"/>
              <w:ind w:right="211"/>
              <w:spacing w:after="0" w:line="79" w:lineRule="exact"/>
              <w:rPr>
                <w:sz w:val="20"/>
                <w:szCs w:val="20"/>
                <w:color w:val="auto"/>
              </w:rPr>
            </w:pPr>
            <w:r>
              <w:rPr>
                <w:rFonts w:ascii="Arial" w:cs="Arial" w:eastAsia="Arial" w:hAnsi="Arial"/>
                <w:sz w:val="9"/>
                <w:szCs w:val="9"/>
                <w:b w:val="1"/>
                <w:bCs w:val="1"/>
                <w:color w:val="auto"/>
              </w:rPr>
              <w:t>Calculated</w:t>
            </w:r>
          </w:p>
        </w:tc>
        <w:tc>
          <w:tcPr>
            <w:tcW w:w="80" w:type="dxa"/>
            <w:vAlign w:val="bottom"/>
          </w:tcPr>
          <w:p>
            <w:pPr>
              <w:spacing w:after="0"/>
              <w:rPr>
                <w:sz w:val="6"/>
                <w:szCs w:val="6"/>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499"/>
              <w:spacing w:after="0"/>
              <w:rPr>
                <w:sz w:val="20"/>
                <w:szCs w:val="20"/>
                <w:color w:val="auto"/>
              </w:rPr>
            </w:pPr>
            <w:r>
              <w:rPr>
                <w:rFonts w:ascii="Arial" w:cs="Arial" w:eastAsia="Arial" w:hAnsi="Arial"/>
                <w:sz w:val="10"/>
                <w:szCs w:val="10"/>
                <w:b w:val="1"/>
                <w:bCs w:val="1"/>
                <w:color w:val="auto"/>
              </w:rPr>
              <w:t>Estimate</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Estimate</w:t>
            </w: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ind w:left="20"/>
              <w:spacing w:after="0"/>
              <w:rPr>
                <w:sz w:val="20"/>
                <w:szCs w:val="20"/>
                <w:color w:val="auto"/>
              </w:rPr>
            </w:pPr>
            <w:r>
              <w:rPr>
                <w:rFonts w:ascii="Arial" w:cs="Arial" w:eastAsia="Arial" w:hAnsi="Arial"/>
                <w:sz w:val="8"/>
                <w:szCs w:val="8"/>
                <w:b w:val="1"/>
                <w:bCs w:val="1"/>
                <w:color w:val="auto"/>
                <w:w w:val="78"/>
              </w:rPr>
              <w:t>thousands)</w:t>
            </w: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4"/>
                <w:szCs w:val="14"/>
                <w:color w:val="auto"/>
              </w:rPr>
              <w:t>Financial assets:</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1,767,547</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1,767,547</w:t>
            </w:r>
          </w:p>
        </w:tc>
        <w:tc>
          <w:tcPr>
            <w:tcW w:w="22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1,624,964</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1,624,964</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Interest-bearing deposits at banks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6,639</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Trading account assets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281,244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281,244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136,752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136,752</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Agreements to resell securities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100,076</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Investment securities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8,961,998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8,963,807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7,251,598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7,253,428</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loans and leases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13,105,721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13,100,330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11,666,299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11,634,244</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Commercial real estate loans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17,428,415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17,508,431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15,416,791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15,404,747</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 real estate loans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6,190,138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6,135,250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5,956,043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5,903,091</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Consumer loans and leases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11,297,288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11,261,635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9,908,164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9,835,625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Allowance for credit losses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(759,439)</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(759,439)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(649,948)</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(649,948)</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Accrued interest receivable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285,601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285,601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282,056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282,056</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Noninterest-bearing deposits</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(8,131,662)</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(8,131,662)</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(7,879,977)</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(7,879,977)</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Savings deposits and NOW accounts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(16,609,518)</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(16,609,518)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(15,110,229)</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(15,110,229)</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Time deposits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(10,668,581)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(10,710,920)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(11,490,629)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(11,512,421)</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foreign office</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(5,856,427)</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(5,856,427)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(5,429,668)</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(5,429,668)</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(5,821,897)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(5,821,897)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(3,094,214)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(3,094,214)</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(10,317,945)</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(10,278,365)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(6,890,741)</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(6,939,549)</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Accrued interest payable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(190,913)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(190,913)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(193,009)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(193,009)</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Trading account liabilities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(143,025)</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(143,025)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(65,265)</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(65,265)</w:t>
            </w:r>
          </w:p>
        </w:tc>
      </w:tr>
      <w:tr>
        <w:trPr>
          <w:trHeight w:val="164"/>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Other financial instruments: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to originate real estate loans for sale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Commitments to sell real estate loans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(9,776)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(9,776)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(16,293)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(16,293)</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credit-related commitments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(45,515)</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(45,515)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(44,189)</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(44,189)</w:t>
            </w:r>
          </w:p>
        </w:tc>
      </w:tr>
      <w:tr>
        <w:trPr>
          <w:trHeight w:val="180"/>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w w:val="97"/>
              </w:rPr>
              <w:t>Interest rate swap agreements used for interest rate risk management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(181)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(181)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(15,005)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(15,005)</w:t>
            </w:r>
          </w:p>
        </w:tc>
      </w:tr>
    </w:tbl>
    <w:p>
      <w:pPr>
        <w:spacing w:after="0" w:line="5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following assumptions and methods or calculations were used in determining the disclosed value of financial instruments.</w:t>
      </w:r>
    </w:p>
    <w:p>
      <w:pPr>
        <w:spacing w:after="0" w:line="163"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Cash and cash equivalents, interest-bearing deposits at banks, short-term borrowings, accrued interest receivable and accrued interest payable</w:t>
      </w:r>
    </w:p>
    <w:p>
      <w:pPr>
        <w:spacing w:after="0" w:line="15" w:lineRule="exact"/>
        <w:rPr>
          <w:sz w:val="20"/>
          <w:szCs w:val="20"/>
          <w:color w:val="auto"/>
        </w:rPr>
      </w:pPr>
    </w:p>
    <w:p>
      <w:pPr>
        <w:ind w:left="680" w:right="400"/>
        <w:spacing w:after="0" w:line="255" w:lineRule="auto"/>
        <w:rPr>
          <w:sz w:val="20"/>
          <w:szCs w:val="20"/>
          <w:color w:val="auto"/>
        </w:rPr>
      </w:pPr>
      <w:r>
        <w:rPr>
          <w:rFonts w:ascii="Arial" w:cs="Arial" w:eastAsia="Arial" w:hAnsi="Arial"/>
          <w:sz w:val="14"/>
          <w:szCs w:val="14"/>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 assets and liabilities</w:t>
      </w:r>
    </w:p>
    <w:p>
      <w:pPr>
        <w:spacing w:after="0" w:line="15" w:lineRule="exact"/>
        <w:rPr>
          <w:sz w:val="20"/>
          <w:szCs w:val="20"/>
          <w:color w:val="auto"/>
        </w:rPr>
      </w:pPr>
    </w:p>
    <w:p>
      <w:pPr>
        <w:ind w:left="680" w:right="140"/>
        <w:spacing w:after="0" w:line="255" w:lineRule="auto"/>
        <w:rPr>
          <w:sz w:val="20"/>
          <w:szCs w:val="20"/>
          <w:color w:val="auto"/>
        </w:rPr>
      </w:pPr>
      <w:r>
        <w:rPr>
          <w:rFonts w:ascii="Arial" w:cs="Arial" w:eastAsia="Arial" w:hAnsi="Arial"/>
          <w:sz w:val="14"/>
          <w:szCs w:val="14"/>
          <w:color w:val="auto"/>
        </w:rPr>
        <w:t>Trading account assets and liabilities are carried in the consolidated balance sheet at estimated fair value which, in general, is based on quoted market prices. Trading account liabilities are included in other liabilities in the consolidated balance sheet.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Agreements to resell securities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assigned to agreements to resell securities were based on discounted calculations of projected cash flows.</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 w:lineRule="exact"/>
        <w:rPr>
          <w:sz w:val="20"/>
          <w:szCs w:val="20"/>
          <w:color w:val="auto"/>
        </w:rPr>
      </w:pPr>
    </w:p>
    <w:p>
      <w:pPr>
        <w:ind w:left="680"/>
        <w:spacing w:after="0" w:line="278" w:lineRule="auto"/>
        <w:rPr>
          <w:sz w:val="20"/>
          <w:szCs w:val="20"/>
          <w:color w:val="auto"/>
        </w:rPr>
      </w:pPr>
      <w:r>
        <w:rPr>
          <w:rFonts w:ascii="Arial" w:cs="Arial" w:eastAsia="Arial" w:hAnsi="Arial"/>
          <w:sz w:val="13"/>
          <w:szCs w:val="13"/>
          <w:color w:val="auto"/>
        </w:rPr>
        <w:t>Estimated fair values of investments in readily marketable debt and equity securities were based on quoted market prices. Investment securities that were not readily marketable were assigned amounts based on estimates provided by brokers,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5" w:lineRule="exact"/>
        <w:rPr>
          <w:sz w:val="20"/>
          <w:szCs w:val="20"/>
          <w:color w:val="auto"/>
        </w:rPr>
      </w:pPr>
    </w:p>
    <w:p>
      <w:pPr>
        <w:ind w:left="680" w:right="140"/>
        <w:spacing w:after="0" w:line="311" w:lineRule="auto"/>
        <w:rPr>
          <w:sz w:val="20"/>
          <w:szCs w:val="20"/>
          <w:color w:val="auto"/>
        </w:rPr>
      </w:pPr>
      <w:r>
        <w:rPr>
          <w:rFonts w:ascii="Arial" w:cs="Arial" w:eastAsia="Arial" w:hAnsi="Arial"/>
          <w:sz w:val="12"/>
          <w:szCs w:val="12"/>
          <w:color w:val="auto"/>
        </w:rPr>
        <w:t>In general, discount rates used to calculate values for loan products were based on the Company’s pricing at the respective year end. A higher discount rate was assumed with respect to estimated cash flows associated with nonaccrual loans. The allowance for credit losses represents the Company’s assessment of the overall level of credit losses inherent in the portfolio as of the respective year end and may not be indicative of the credit-related discount that a purchaser of the Company’s loans and leases would seek.</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Deposits</w:t>
      </w:r>
    </w:p>
    <w:p>
      <w:pPr>
        <w:spacing w:after="0" w:line="15" w:lineRule="exact"/>
        <w:rPr>
          <w:sz w:val="20"/>
          <w:szCs w:val="20"/>
          <w:color w:val="auto"/>
        </w:rPr>
      </w:pPr>
    </w:p>
    <w:p>
      <w:pPr>
        <w:ind w:left="680" w:right="180"/>
        <w:spacing w:after="0" w:line="244" w:lineRule="auto"/>
        <w:rPr>
          <w:sz w:val="20"/>
          <w:szCs w:val="20"/>
          <w:color w:val="auto"/>
        </w:rPr>
      </w:pPr>
      <w:r>
        <w:rPr>
          <w:rFonts w:ascii="Arial" w:cs="Arial" w:eastAsia="Arial" w:hAnsi="Arial"/>
          <w:sz w:val="14"/>
          <w:szCs w:val="14"/>
          <w:color w:val="auto"/>
        </w:rPr>
        <w:t>SFAS No. 107 requires that the estimated fair value ascribed to noninterest-bearing deposits, savings deposits and NOW accounts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year end for deposits with comparable remaining terms to maturity.</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Company believes that deposit accounts have a value greater than that prescribed by SFAS No. 107. The Company feels, however, that the value associated with these deposits is greatly influenced by characteristics of the buyer, such as the ability to reduce the costs of servicing the deposits and deposit attrition which often occurs following an acquisition. Accordingly, estimating the fair value of deposits with any degree of certainty is not practical.</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Long-term borrowings</w:t>
      </w:r>
    </w:p>
    <w:p>
      <w:pPr>
        <w:spacing w:after="0" w:line="15" w:lineRule="exact"/>
        <w:rPr>
          <w:sz w:val="20"/>
          <w:szCs w:val="20"/>
          <w:color w:val="auto"/>
        </w:rPr>
      </w:pPr>
    </w:p>
    <w:p>
      <w:pPr>
        <w:ind w:left="680" w:right="380"/>
        <w:spacing w:after="0" w:line="255" w:lineRule="auto"/>
        <w:rPr>
          <w:sz w:val="20"/>
          <w:szCs w:val="20"/>
          <w:color w:val="auto"/>
        </w:rPr>
      </w:pPr>
      <w:r>
        <w:rPr>
          <w:rFonts w:ascii="Arial" w:cs="Arial" w:eastAsia="Arial" w:hAnsi="Arial"/>
          <w:sz w:val="14"/>
          <w:szCs w:val="14"/>
          <w:color w:val="auto"/>
        </w:rPr>
        <w:t>The amounts assigned to long-term borrowings were based on quoted market prices, when available, or were based on discounted cash flow calculations using prevailing market interest rates for borrowings of similar terms.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As described in note 20, 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prices for commitments to sell real estate loans to certain government-sponsored entities and other parties.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5" w:lineRule="exact"/>
        <w:rPr>
          <w:sz w:val="20"/>
          <w:szCs w:val="20"/>
          <w:color w:val="auto"/>
        </w:rPr>
      </w:pPr>
    </w:p>
    <w:p>
      <w:pPr>
        <w:ind w:left="680" w:right="120"/>
        <w:spacing w:after="0" w:line="255" w:lineRule="auto"/>
        <w:rPr>
          <w:sz w:val="20"/>
          <w:szCs w:val="20"/>
          <w:color w:val="auto"/>
        </w:rPr>
      </w:pPr>
      <w:r>
        <w:rPr>
          <w:rFonts w:ascii="Arial" w:cs="Arial" w:eastAsia="Arial" w:hAnsi="Arial"/>
          <w:sz w:val="14"/>
          <w:szCs w:val="14"/>
          <w:color w:val="auto"/>
        </w:rPr>
        <w:t>The estimated fair value of interest rate swap agreements used for interest rate risk management represents the amount the Company would have expected to receive or pay to terminate such agreements.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Other commitments and contingencies</w:t>
      </w:r>
    </w:p>
    <w:p>
      <w:pPr>
        <w:spacing w:after="0" w:line="15" w:lineRule="exact"/>
        <w:rPr>
          <w:sz w:val="20"/>
          <w:szCs w:val="20"/>
          <w:color w:val="auto"/>
        </w:rPr>
      </w:pPr>
    </w:p>
    <w:p>
      <w:pPr>
        <w:ind w:left="680" w:right="40"/>
        <w:spacing w:after="0" w:line="246" w:lineRule="auto"/>
        <w:rPr>
          <w:sz w:val="20"/>
          <w:szCs w:val="20"/>
          <w:color w:val="auto"/>
        </w:rPr>
      </w:pPr>
      <w:r>
        <w:rPr>
          <w:rFonts w:ascii="Arial" w:cs="Arial" w:eastAsia="Arial" w:hAnsi="Arial"/>
          <w:sz w:val="14"/>
          <w:szCs w:val="14"/>
          <w:color w:val="auto"/>
        </w:rPr>
        <w:t>As described in note 20,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69" w:lineRule="exact"/>
        <w:rPr>
          <w:sz w:val="20"/>
          <w:szCs w:val="20"/>
          <w:color w:val="auto"/>
        </w:rPr>
      </w:pPr>
    </w:p>
    <w:p>
      <w:pPr>
        <w:ind w:left="680" w:right="120" w:firstLine="599"/>
        <w:spacing w:after="0" w:line="250" w:lineRule="auto"/>
        <w:rPr>
          <w:sz w:val="20"/>
          <w:szCs w:val="20"/>
          <w:color w:val="auto"/>
        </w:rPr>
      </w:pPr>
      <w:r>
        <w:rPr>
          <w:rFonts w:ascii="Arial" w:cs="Arial" w:eastAsia="Arial" w:hAnsi="Arial"/>
          <w:sz w:val="14"/>
          <w:szCs w:val="14"/>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 w:lineRule="exact"/>
        <w:rPr>
          <w:sz w:val="20"/>
          <w:szCs w:val="20"/>
          <w:color w:val="auto"/>
        </w:rPr>
      </w:pPr>
    </w:p>
    <w:p>
      <w:pPr>
        <w:ind w:left="680" w:right="160" w:firstLine="599"/>
        <w:spacing w:after="0" w:line="248" w:lineRule="auto"/>
        <w:rPr>
          <w:sz w:val="20"/>
          <w:szCs w:val="20"/>
          <w:color w:val="auto"/>
        </w:rPr>
      </w:pPr>
      <w:r>
        <w:rPr>
          <w:rFonts w:ascii="Arial" w:cs="Arial" w:eastAsia="Arial" w:hAnsi="Arial"/>
          <w:sz w:val="14"/>
          <w:szCs w:val="14"/>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39" w:lineRule="exact"/>
        <w:rPr>
          <w:sz w:val="20"/>
          <w:szCs w:val="20"/>
          <w:color w:val="auto"/>
        </w:rPr>
      </w:pPr>
    </w:p>
    <w:p>
      <w:pPr>
        <w:ind w:left="1180" w:hanging="495"/>
        <w:spacing w:after="0"/>
        <w:tabs>
          <w:tab w:leader="none" w:pos="11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9" w:lineRule="exact"/>
        <w:rPr>
          <w:sz w:val="20"/>
          <w:szCs w:val="20"/>
          <w:color w:val="auto"/>
        </w:rPr>
      </w:pPr>
    </w:p>
    <w:p>
      <w:pPr>
        <w:ind w:left="680" w:right="20"/>
        <w:spacing w:after="0" w:line="255" w:lineRule="auto"/>
        <w:rPr>
          <w:sz w:val="20"/>
          <w:szCs w:val="20"/>
          <w:color w:val="auto"/>
        </w:rPr>
      </w:pPr>
      <w:r>
        <w:rPr>
          <w:rFonts w:ascii="Arial" w:cs="Arial" w:eastAsia="Arial" w:hAnsi="Arial"/>
          <w:sz w:val="14"/>
          <w:szCs w:val="14"/>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0" w:type="dxa"/>
            <w:vAlign w:val="bottom"/>
            <w:tcBorders>
              <w:bottom w:val="single" w:sz="8" w:color="auto"/>
            </w:tcBorders>
          </w:tcPr>
          <w:p>
            <w:pPr>
              <w:jc w:val="right"/>
              <w:ind w:right="249"/>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1"/>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extend credit</w:t>
            </w:r>
          </w:p>
        </w:tc>
        <w:tc>
          <w:tcPr>
            <w:tcW w:w="2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4"/>
                <w:szCs w:val="14"/>
                <w:color w:val="auto"/>
              </w:rPr>
              <w:t>Home equity lines of credit</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  5,937,903</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5,450,382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real estate loans to be sold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96,995</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4"/>
                <w:szCs w:val="14"/>
                <w:color w:val="auto"/>
              </w:rPr>
              <w:t>Other commercial real estate and construction</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2,869,961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3,008,353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 real estate loans to be sold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492,375</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679,591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4"/>
                <w:szCs w:val="14"/>
                <w:color w:val="auto"/>
              </w:rPr>
              <w:t>Other residential real estate</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425,579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493,122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and other</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7,346,790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7,344,263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Standby letters of credit</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3,691,971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3,622,860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Commercial letters of credit</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34,105</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Financial guarantees and indemnification contracts</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1,318,733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1,036,117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sell real estate loans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946,457</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1,932,306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60" w:firstLine="599"/>
        <w:spacing w:after="0" w:line="272" w:lineRule="auto"/>
        <w:rPr>
          <w:sz w:val="20"/>
          <w:szCs w:val="20"/>
          <w:color w:val="auto"/>
        </w:rPr>
      </w:pPr>
      <w:r>
        <w:rPr>
          <w:rFonts w:ascii="Arial" w:cs="Arial" w:eastAsia="Arial" w:hAnsi="Arial"/>
          <w:sz w:val="14"/>
          <w:szCs w:val="14"/>
          <w:color w:val="auto"/>
        </w:rPr>
        <w:t>Commitments to extend credit are agreements to lend to customers, generally having fixed expiration dates or other termination clauses that may require payment of a fee. Standby and commercial</w:t>
      </w:r>
    </w:p>
    <w:p>
      <w:pPr>
        <w:spacing w:after="0" w:line="123"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20"/>
        <w:spacing w:after="0" w:line="267" w:lineRule="auto"/>
        <w:rPr>
          <w:sz w:val="20"/>
          <w:szCs w:val="20"/>
          <w:color w:val="auto"/>
        </w:rPr>
      </w:pPr>
      <w:r>
        <w:rPr>
          <w:rFonts w:ascii="Arial" w:cs="Arial" w:eastAsia="Arial" w:hAnsi="Arial"/>
          <w:sz w:val="13"/>
          <w:szCs w:val="13"/>
          <w:color w:val="auto"/>
        </w:rPr>
        <w:t>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FNMA DUS program. Under this program, the Company’s maximum credit risk associated with loans sold with recourse at December 31, 2007 and 2006 totaled $1.0 billion and $939 million, respectively. Those recourse amounts were approximately equal to one-third of each sold loan’s outstanding principal balance.</w:t>
      </w:r>
    </w:p>
    <w:p>
      <w:pPr>
        <w:spacing w:after="0" w:line="1"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Company utilizes commitments to sell real estate loans to hedge exposure to changes in the fair value of real estate loans held for sale. Such commitments are considered derivatives in accordance with SFAS No. 133 and along with commitments to originate real estate loans to be held for sale are generally recorded in the consolidated balance sheet at estimated fair market value. However, through December 31, 2007 when estimating that fair value for commitments to originate loans for sale, value ascribable to cash flows that will be realized in connection with loan servicing activities has not been included. Value ascribable to that portion of cash flows is recognized at the time the underlying mortgage loans are sold. Additional information about such derivative financial instruments is included in note 17.</w:t>
      </w:r>
    </w:p>
    <w:p>
      <w:pPr>
        <w:spacing w:after="0" w:line="1" w:lineRule="exact"/>
        <w:rPr>
          <w:sz w:val="20"/>
          <w:szCs w:val="20"/>
          <w:color w:val="auto"/>
        </w:rPr>
      </w:pPr>
    </w:p>
    <w:p>
      <w:pPr>
        <w:ind w:left="680" w:right="140" w:firstLine="599"/>
        <w:spacing w:after="0" w:line="255" w:lineRule="auto"/>
        <w:rPr>
          <w:sz w:val="20"/>
          <w:szCs w:val="20"/>
          <w:color w:val="auto"/>
        </w:rPr>
      </w:pPr>
      <w:r>
        <w:rPr>
          <w:rFonts w:ascii="Arial" w:cs="Arial" w:eastAsia="Arial" w:hAnsi="Arial"/>
          <w:sz w:val="14"/>
          <w:szCs w:val="14"/>
          <w:color w:val="auto"/>
        </w:rPr>
        <w:t>The Company occupies certain banking offices and uses certain equipment under noncancellable operating lease agreements expiring at various dates over the next 31 years. Minimum lease payments under noncancellable operating leases are summarized in the following table:</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2008</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59,070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34,574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100" w:firstLine="599"/>
        <w:spacing w:after="0" w:line="250" w:lineRule="auto"/>
        <w:rPr>
          <w:sz w:val="20"/>
          <w:szCs w:val="20"/>
          <w:color w:val="auto"/>
        </w:rPr>
      </w:pPr>
      <w:r>
        <w:rPr>
          <w:rFonts w:ascii="Arial" w:cs="Arial" w:eastAsia="Arial" w:hAnsi="Arial"/>
          <w:sz w:val="14"/>
          <w:szCs w:val="14"/>
          <w:color w:val="auto"/>
        </w:rPr>
        <w:t>The Company has an agreement with the Baltimore Ravens of the National Football League whereby the Company obtained the naming rights to a football stadium in Baltimore, Maryland through 2017. Under the agreement, the Company is obligated to pay $5 million per year through 2013 and $6 million per year from 2014 through 2017.</w:t>
      </w:r>
    </w:p>
    <w:p>
      <w:pPr>
        <w:spacing w:after="0" w:line="1" w:lineRule="exact"/>
        <w:rPr>
          <w:sz w:val="20"/>
          <w:szCs w:val="20"/>
          <w:color w:val="auto"/>
        </w:rPr>
      </w:pPr>
    </w:p>
    <w:p>
      <w:pPr>
        <w:ind w:left="680" w:right="180" w:firstLine="599"/>
        <w:spacing w:after="0" w:line="248" w:lineRule="auto"/>
        <w:rPr>
          <w:sz w:val="20"/>
          <w:szCs w:val="20"/>
          <w:color w:val="auto"/>
        </w:rPr>
      </w:pPr>
      <w:r>
        <w:rPr>
          <w:rFonts w:ascii="Arial" w:cs="Arial" w:eastAsia="Arial" w:hAnsi="Arial"/>
          <w:sz w:val="14"/>
          <w:szCs w:val="14"/>
          <w:color w:val="auto"/>
        </w:rPr>
        <w:t>The Company reinsures credit life and accident and health insurance purchased by consumer loan customers. The maximum loss associated with providing that reinsurance amounted to $47 million and $58 million at December 31, 2007 and December 31, 2006, respectively. The Company also enters into reinsurance contracts with third party insurance companies who insure against the risk of a mortgage borrower’s payment default in connection with certain mortgage loans originated by the Company. The maximum loss associated with providing such reinsurance amounted to $22 million and $19 million at</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68" w:lineRule="auto"/>
        <w:rPr>
          <w:sz w:val="20"/>
          <w:szCs w:val="20"/>
          <w:color w:val="auto"/>
        </w:rPr>
      </w:pPr>
      <w:r>
        <w:rPr>
          <w:rFonts w:ascii="Arial" w:cs="Arial" w:eastAsia="Arial" w:hAnsi="Arial"/>
          <w:sz w:val="13"/>
          <w:szCs w:val="13"/>
          <w:color w:val="auto"/>
        </w:rPr>
        <w:t>December 31, 2007 and December 31, 2006, respectively. When providing reinsurance coverage, the Company receives a premium in exchange for accepting a portion of the insurer’s risk of borrower default. The maximum loss exposures noted above are not necessarily indicative of losses which may ultimately be incurred. Such losses are expected to be substantially less because most loans are repaid by borrowers in accordance with the original loan terms. The amount of the Company’s recorded liability for reported reinsurance losses as well as estimated losses incurred but not yet reported was not significant at either December 31, 2007 or December 31, 2006.</w:t>
      </w:r>
    </w:p>
    <w:p>
      <w:pPr>
        <w:ind w:left="680" w:right="140" w:firstLine="599"/>
        <w:spacing w:after="0" w:line="244" w:lineRule="auto"/>
        <w:rPr>
          <w:sz w:val="20"/>
          <w:szCs w:val="20"/>
          <w:color w:val="auto"/>
        </w:rPr>
      </w:pPr>
      <w:r>
        <w:rPr>
          <w:rFonts w:ascii="Arial" w:cs="Arial" w:eastAsia="Arial" w:hAnsi="Arial"/>
          <w:sz w:val="14"/>
          <w:szCs w:val="14"/>
          <w:color w:val="auto"/>
        </w:rPr>
        <w:t>In October 2007, Visa completed a reorganization in contemplation of its initial public offering (“IPO”) expected to occur in 2008. As part of that reorganization, M&amp;T Bank and other member banks of Visa received shares of common stock of Visa, Inc. Those banks are also obligated under various agreements with Visa to share in losses stemming from certain litigation involving Visa (“Covered Litigation”). Although Visa is expected to set aside a portion of the proceeds from its IPO in an escrow account to fund any judgments or settlements that may arise out of the Covered Litigation, recent guidance from the SEC indicates that Visa member banks should record a liability for the fair value of the contingent obligation to Visa. The estimation of M&amp;T’s proportionate share of any potential losses related to the Covered Litigation is extremely difficult and involves a great deal of judgment. Nevertheless, in the fourth quarter of 2007 M&amp;T recorded a pre-tax charge of $23 million ($14 million after tax effect) related to the Covered Litigation. In accordance with GAAP and consistent with the SEC guidance, M&amp;T did not recognize any value for its common stock ownership interest in Visa, Inc.</w:t>
      </w:r>
    </w:p>
    <w:p>
      <w:pPr>
        <w:spacing w:after="0" w:line="3" w:lineRule="exact"/>
        <w:rPr>
          <w:sz w:val="20"/>
          <w:szCs w:val="20"/>
          <w:color w:val="auto"/>
        </w:rPr>
      </w:pPr>
    </w:p>
    <w:p>
      <w:pPr>
        <w:ind w:left="680" w:right="20" w:firstLine="599"/>
        <w:spacing w:after="0" w:line="248"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39" w:lineRule="exact"/>
        <w:rPr>
          <w:sz w:val="20"/>
          <w:szCs w:val="20"/>
          <w:color w:val="auto"/>
        </w:rPr>
      </w:pPr>
    </w:p>
    <w:p>
      <w:pPr>
        <w:ind w:left="1180" w:hanging="495"/>
        <w:spacing w:after="0"/>
        <w:tabs>
          <w:tab w:leader="none" w:pos="11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94" w:lineRule="exact"/>
        <w:rPr>
          <w:sz w:val="20"/>
          <w:szCs w:val="20"/>
          <w:color w:val="auto"/>
        </w:rPr>
      </w:pPr>
    </w:p>
    <w:p>
      <w:pPr>
        <w:ind w:left="680" w:right="40"/>
        <w:spacing w:after="0" w:line="266" w:lineRule="auto"/>
        <w:rPr>
          <w:sz w:val="20"/>
          <w:szCs w:val="20"/>
          <w:color w:val="auto"/>
        </w:rPr>
      </w:pPr>
      <w:r>
        <w:rPr>
          <w:rFonts w:ascii="Arial" w:cs="Arial" w:eastAsia="Arial" w:hAnsi="Arial"/>
          <w:sz w:val="13"/>
          <w:szCs w:val="13"/>
          <w:color w:val="auto"/>
        </w:rPr>
        <w:t>In accordance with the provisions of SFAS No. 131, “Disclosures About Segments of an Enterprise and Related Information,” 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During the fourth quarter of 2007, the Company began reporting its Business Banking strategic business unit as a separate reportable segment. Prior to that date, that unit was included in the Retail Banking reportable segment. Prior year information has been restated to reflect the change in reportable segments.</w:t>
      </w:r>
    </w:p>
    <w:p>
      <w:pPr>
        <w:spacing w:after="0" w:line="2" w:lineRule="exact"/>
        <w:rPr>
          <w:sz w:val="20"/>
          <w:szCs w:val="20"/>
          <w:color w:val="auto"/>
        </w:rPr>
      </w:pPr>
    </w:p>
    <w:p>
      <w:pPr>
        <w:ind w:left="680" w:firstLine="599"/>
        <w:spacing w:after="0" w:line="267" w:lineRule="auto"/>
        <w:rPr>
          <w:sz w:val="20"/>
          <w:szCs w:val="20"/>
          <w:color w:val="auto"/>
        </w:rPr>
      </w:pPr>
      <w:r>
        <w:rPr>
          <w:rFonts w:ascii="Arial" w:cs="Arial" w:eastAsia="Arial" w:hAnsi="Arial"/>
          <w:sz w:val="13"/>
          <w:szCs w:val="13"/>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 1 to assess the overall adequacy of the allowance for credit losses.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5" w:lineRule="exact"/>
        <w:rPr>
          <w:sz w:val="20"/>
          <w:szCs w:val="20"/>
          <w:color w:val="auto"/>
        </w:rPr>
      </w:pPr>
    </w:p>
    <w:p>
      <w:pPr>
        <w:ind w:left="680" w:right="80"/>
        <w:spacing w:after="0" w:line="252" w:lineRule="auto"/>
        <w:rPr>
          <w:sz w:val="20"/>
          <w:szCs w:val="20"/>
          <w:color w:val="auto"/>
        </w:rPr>
      </w:pPr>
      <w:r>
        <w:rPr>
          <w:rFonts w:ascii="Arial" w:cs="Arial" w:eastAsia="Arial" w:hAnsi="Arial"/>
          <w:sz w:val="13"/>
          <w:szCs w:val="13"/>
          <w:color w:val="auto"/>
        </w:rPr>
        <w:t>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ind w:left="680" w:right="180" w:firstLine="399"/>
        <w:spacing w:after="0" w:line="273" w:lineRule="auto"/>
        <w:rPr>
          <w:sz w:val="20"/>
          <w:szCs w:val="20"/>
          <w:color w:val="auto"/>
        </w:rPr>
      </w:pPr>
      <w:r>
        <w:rPr>
          <w:rFonts w:ascii="Arial" w:cs="Arial" w:eastAsia="Arial" w:hAnsi="Arial"/>
          <w:sz w:val="13"/>
          <w:szCs w:val="13"/>
          <w:color w:val="auto"/>
        </w:rPr>
        <w:t>The management accounting policies and processes utilized in compiling segment financial information are highly subjective and, unlike financial accounting, are not based on authoritative guidance similar to generally accepted accounting principles.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60" w:type="dxa"/>
            <w:vAlign w:val="bottom"/>
            <w:gridSpan w:val="11"/>
          </w:tcPr>
          <w:p>
            <w:pPr>
              <w:jc w:val="right"/>
              <w:ind w:right="75"/>
              <w:spacing w:after="0"/>
              <w:rPr>
                <w:sz w:val="20"/>
                <w:szCs w:val="20"/>
                <w:color w:val="auto"/>
              </w:rPr>
            </w:pPr>
            <w:r>
              <w:rPr>
                <w:rFonts w:ascii="Arial" w:cs="Arial" w:eastAsia="Arial" w:hAnsi="Arial"/>
                <w:sz w:val="8"/>
                <w:szCs w:val="8"/>
                <w:b w:val="1"/>
                <w:bCs w:val="1"/>
                <w:color w:val="auto"/>
                <w:w w:val="91"/>
              </w:rPr>
              <w:t>For the Years Ended December 31, 2007, 2006 and 2005</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4"/>
          </w:tcPr>
          <w:p>
            <w:pPr>
              <w:ind w:left="80"/>
              <w:spacing w:after="0"/>
              <w:rPr>
                <w:sz w:val="20"/>
                <w:szCs w:val="20"/>
                <w:color w:val="auto"/>
              </w:rPr>
            </w:pPr>
            <w:r>
              <w:rPr>
                <w:rFonts w:ascii="Arial" w:cs="Arial" w:eastAsia="Arial" w:hAnsi="Arial"/>
                <w:sz w:val="8"/>
                <w:szCs w:val="8"/>
                <w:b w:val="1"/>
                <w:bCs w:val="1"/>
                <w:color w:val="auto"/>
                <w:w w:val="89"/>
              </w:rPr>
              <w:t>Business Banking</w:t>
            </w: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4"/>
          </w:tcPr>
          <w:p>
            <w:pPr>
              <w:ind w:left="80"/>
              <w:spacing w:after="0"/>
              <w:rPr>
                <w:sz w:val="20"/>
                <w:szCs w:val="20"/>
                <w:color w:val="auto"/>
              </w:rPr>
            </w:pPr>
            <w:r>
              <w:rPr>
                <w:rFonts w:ascii="Arial" w:cs="Arial" w:eastAsia="Arial" w:hAnsi="Arial"/>
                <w:sz w:val="8"/>
                <w:szCs w:val="8"/>
                <w:b w:val="1"/>
                <w:bCs w:val="1"/>
                <w:color w:val="auto"/>
                <w:w w:val="90"/>
              </w:rPr>
              <w:t>Commercial Banking</w:t>
            </w: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5"/>
          </w:tcPr>
          <w:p>
            <w:pPr>
              <w:spacing w:after="0"/>
              <w:rPr>
                <w:sz w:val="20"/>
                <w:szCs w:val="20"/>
                <w:color w:val="auto"/>
              </w:rPr>
            </w:pPr>
            <w:r>
              <w:rPr>
                <w:rFonts w:ascii="Arial" w:cs="Arial" w:eastAsia="Arial" w:hAnsi="Arial"/>
                <w:sz w:val="8"/>
                <w:szCs w:val="8"/>
                <w:b w:val="1"/>
                <w:bCs w:val="1"/>
                <w:color w:val="auto"/>
                <w:w w:val="85"/>
              </w:rPr>
              <w:t>Commercial Real Estate</w:t>
            </w: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8"/>
                <w:szCs w:val="8"/>
                <w:b w:val="1"/>
                <w:bCs w:val="1"/>
                <w:color w:val="auto"/>
                <w:w w:val="88"/>
              </w:rPr>
              <w:t>Discretionary Portfolio</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76"/>
        </w:trPr>
        <w:tc>
          <w:tcPr>
            <w:tcW w:w="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96"/>
              <w:spacing w:after="0" w:line="77" w:lineRule="exact"/>
              <w:rPr>
                <w:sz w:val="20"/>
                <w:szCs w:val="20"/>
                <w:color w:val="auto"/>
              </w:rPr>
            </w:pPr>
            <w:r>
              <w:rPr>
                <w:rFonts w:ascii="Arial" w:cs="Arial" w:eastAsia="Arial" w:hAnsi="Arial"/>
                <w:sz w:val="8"/>
                <w:szCs w:val="8"/>
                <w:b w:val="1"/>
                <w:bCs w:val="1"/>
                <w:color w:val="auto"/>
              </w:rPr>
              <w:t>2007</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75"/>
              <w:spacing w:after="0" w:line="77" w:lineRule="exact"/>
              <w:rPr>
                <w:sz w:val="20"/>
                <w:szCs w:val="20"/>
                <w:color w:val="auto"/>
              </w:rPr>
            </w:pPr>
            <w:r>
              <w:rPr>
                <w:rFonts w:ascii="Arial" w:cs="Arial" w:eastAsia="Arial" w:hAnsi="Arial"/>
                <w:sz w:val="8"/>
                <w:szCs w:val="8"/>
                <w:b w:val="1"/>
                <w:bCs w:val="1"/>
                <w:color w:val="auto"/>
              </w:rPr>
              <w:t>2006</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75"/>
              <w:spacing w:after="0" w:line="77" w:lineRule="exact"/>
              <w:rPr>
                <w:sz w:val="20"/>
                <w:szCs w:val="20"/>
                <w:color w:val="auto"/>
              </w:rPr>
            </w:pPr>
            <w:r>
              <w:rPr>
                <w:rFonts w:ascii="Arial" w:cs="Arial" w:eastAsia="Arial" w:hAnsi="Arial"/>
                <w:sz w:val="8"/>
                <w:szCs w:val="8"/>
                <w:b w:val="1"/>
                <w:bCs w:val="1"/>
                <w:color w:val="auto"/>
              </w:rPr>
              <w:t>2005</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ind w:right="135"/>
              <w:spacing w:after="0" w:line="77" w:lineRule="exact"/>
              <w:rPr>
                <w:sz w:val="20"/>
                <w:szCs w:val="20"/>
                <w:color w:val="auto"/>
              </w:rPr>
            </w:pPr>
            <w:r>
              <w:rPr>
                <w:rFonts w:ascii="Arial" w:cs="Arial" w:eastAsia="Arial" w:hAnsi="Arial"/>
                <w:sz w:val="8"/>
                <w:szCs w:val="8"/>
                <w:b w:val="1"/>
                <w:bCs w:val="1"/>
                <w:color w:val="auto"/>
              </w:rPr>
              <w:t>2007</w:t>
            </w:r>
          </w:p>
        </w:tc>
        <w:tc>
          <w:tcPr>
            <w:tcW w:w="1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jc w:val="right"/>
              <w:ind w:right="136"/>
              <w:spacing w:after="0" w:line="77" w:lineRule="exact"/>
              <w:rPr>
                <w:sz w:val="20"/>
                <w:szCs w:val="20"/>
                <w:color w:val="auto"/>
              </w:rPr>
            </w:pPr>
            <w:r>
              <w:rPr>
                <w:rFonts w:ascii="Arial" w:cs="Arial" w:eastAsia="Arial" w:hAnsi="Arial"/>
                <w:sz w:val="8"/>
                <w:szCs w:val="8"/>
                <w:b w:val="1"/>
                <w:bCs w:val="1"/>
                <w:color w:val="auto"/>
              </w:rPr>
              <w:t>2006</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jc w:val="right"/>
              <w:ind w:right="115"/>
              <w:spacing w:after="0" w:line="77" w:lineRule="exact"/>
              <w:rPr>
                <w:sz w:val="20"/>
                <w:szCs w:val="20"/>
                <w:color w:val="auto"/>
              </w:rPr>
            </w:pPr>
            <w:r>
              <w:rPr>
                <w:rFonts w:ascii="Arial" w:cs="Arial" w:eastAsia="Arial" w:hAnsi="Arial"/>
                <w:sz w:val="8"/>
                <w:szCs w:val="8"/>
                <w:b w:val="1"/>
                <w:bCs w:val="1"/>
                <w:color w:val="auto"/>
              </w:rPr>
              <w:t>2005</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ind w:right="95"/>
              <w:spacing w:after="0" w:line="77" w:lineRule="exact"/>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ind w:right="96"/>
              <w:spacing w:after="0" w:line="77" w:lineRule="exact"/>
              <w:rPr>
                <w:sz w:val="20"/>
                <w:szCs w:val="20"/>
                <w:color w:val="auto"/>
              </w:rPr>
            </w:pPr>
            <w:r>
              <w:rPr>
                <w:rFonts w:ascii="Arial" w:cs="Arial" w:eastAsia="Arial" w:hAnsi="Arial"/>
                <w:sz w:val="8"/>
                <w:szCs w:val="8"/>
                <w:b w:val="1"/>
                <w:bCs w:val="1"/>
                <w:color w:val="auto"/>
              </w:rPr>
              <w:t>2006</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right"/>
              <w:ind w:right="95"/>
              <w:spacing w:after="0" w:line="77" w:lineRule="exact"/>
              <w:rPr>
                <w:sz w:val="20"/>
                <w:szCs w:val="20"/>
                <w:color w:val="auto"/>
              </w:rPr>
            </w:pPr>
            <w:r>
              <w:rPr>
                <w:rFonts w:ascii="Arial" w:cs="Arial" w:eastAsia="Arial" w:hAnsi="Arial"/>
                <w:sz w:val="8"/>
                <w:szCs w:val="8"/>
                <w:b w:val="1"/>
                <w:bCs w:val="1"/>
                <w:color w:val="auto"/>
              </w:rPr>
              <w:t>2005</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jc w:val="right"/>
              <w:ind w:right="135"/>
              <w:spacing w:after="0" w:line="77" w:lineRule="exact"/>
              <w:rPr>
                <w:sz w:val="20"/>
                <w:szCs w:val="20"/>
                <w:color w:val="auto"/>
              </w:rPr>
            </w:pPr>
            <w:r>
              <w:rPr>
                <w:rFonts w:ascii="Arial" w:cs="Arial" w:eastAsia="Arial" w:hAnsi="Arial"/>
                <w:sz w:val="8"/>
                <w:szCs w:val="8"/>
                <w:b w:val="1"/>
                <w:bCs w:val="1"/>
                <w:color w:val="auto"/>
              </w:rPr>
              <w:t>2007</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jc w:val="right"/>
              <w:ind w:right="116"/>
              <w:spacing w:after="0" w:line="77" w:lineRule="exact"/>
              <w:rPr>
                <w:sz w:val="20"/>
                <w:szCs w:val="20"/>
                <w:color w:val="auto"/>
              </w:rPr>
            </w:pPr>
            <w:r>
              <w:rPr>
                <w:rFonts w:ascii="Arial" w:cs="Arial" w:eastAsia="Arial" w:hAnsi="Arial"/>
                <w:sz w:val="8"/>
                <w:szCs w:val="8"/>
                <w:b w:val="1"/>
                <w:bCs w:val="1"/>
                <w:color w:val="auto"/>
              </w:rPr>
              <w:t>2006</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ind w:right="135"/>
              <w:spacing w:after="0" w:line="77" w:lineRule="exact"/>
              <w:rPr>
                <w:sz w:val="20"/>
                <w:szCs w:val="20"/>
                <w:color w:val="auto"/>
              </w:rPr>
            </w:pPr>
            <w:r>
              <w:rPr>
                <w:rFonts w:ascii="Arial" w:cs="Arial" w:eastAsia="Arial" w:hAnsi="Arial"/>
                <w:sz w:val="8"/>
                <w:szCs w:val="8"/>
                <w:b w:val="1"/>
                <w:bCs w:val="1"/>
                <w:color w:val="auto"/>
              </w:rPr>
              <w:t>2005</w:t>
            </w:r>
          </w:p>
        </w:tc>
        <w:tc>
          <w:tcPr>
            <w:tcW w:w="80" w:type="dxa"/>
            <w:vAlign w:val="bottom"/>
          </w:tcPr>
          <w:p>
            <w:pPr>
              <w:spacing w:after="0"/>
              <w:rPr>
                <w:sz w:val="6"/>
                <w:szCs w:val="6"/>
                <w:color w:val="auto"/>
              </w:rPr>
            </w:pPr>
          </w:p>
        </w:tc>
      </w:tr>
      <w:tr>
        <w:trPr>
          <w:trHeight w:val="28"/>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96"/>
        </w:trPr>
        <w:tc>
          <w:tcPr>
            <w:tcW w:w="232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Net interest income(a)</w:t>
            </w:r>
          </w:p>
        </w:tc>
        <w:tc>
          <w:tcPr>
            <w:tcW w:w="80" w:type="dxa"/>
            <w:vAlign w:val="bottom"/>
            <w:gridSpan w:val="2"/>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289,992</w:t>
            </w:r>
          </w:p>
        </w:tc>
        <w:tc>
          <w:tcPr>
            <w:tcW w:w="28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274,641</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239,981</w:t>
            </w:r>
          </w:p>
        </w:tc>
        <w:tc>
          <w:tcPr>
            <w:tcW w:w="280" w:type="dxa"/>
            <w:vAlign w:val="bottom"/>
            <w:gridSpan w:val="3"/>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403,839</w:t>
            </w:r>
          </w:p>
        </w:tc>
        <w:tc>
          <w:tcPr>
            <w:tcW w:w="2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392,378</w:t>
            </w:r>
          </w:p>
        </w:tc>
        <w:tc>
          <w:tcPr>
            <w:tcW w:w="14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366,894</w:t>
            </w:r>
          </w:p>
        </w:tc>
        <w:tc>
          <w:tcPr>
            <w:tcW w:w="260" w:type="dxa"/>
            <w:vAlign w:val="bottom"/>
            <w:gridSpan w:val="3"/>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234,522</w:t>
            </w:r>
          </w:p>
        </w:tc>
        <w:tc>
          <w:tcPr>
            <w:tcW w:w="10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228,975</w:t>
            </w:r>
          </w:p>
        </w:tc>
        <w:tc>
          <w:tcPr>
            <w:tcW w:w="180" w:type="dxa"/>
            <w:vAlign w:val="bottom"/>
            <w:shd w:val="clear" w:color="auto" w:fill="CCEEFF"/>
          </w:tcPr>
          <w:p>
            <w:pPr>
              <w:spacing w:after="0"/>
              <w:rPr>
                <w:sz w:val="8"/>
                <w:szCs w:val="8"/>
                <w:color w:val="auto"/>
              </w:rPr>
            </w:pPr>
          </w:p>
        </w:tc>
        <w:tc>
          <w:tcPr>
            <w:tcW w:w="8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236,937</w:t>
            </w:r>
          </w:p>
        </w:tc>
        <w:tc>
          <w:tcPr>
            <w:tcW w:w="1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89,837</w:t>
            </w:r>
          </w:p>
        </w:tc>
        <w:tc>
          <w:tcPr>
            <w:tcW w:w="4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90,204</w:t>
            </w:r>
          </w:p>
        </w:tc>
        <w:tc>
          <w:tcPr>
            <w:tcW w:w="16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128,794</w:t>
            </w:r>
          </w:p>
        </w:tc>
        <w:tc>
          <w:tcPr>
            <w:tcW w:w="80" w:type="dxa"/>
            <w:vAlign w:val="bottom"/>
            <w:shd w:val="clear" w:color="auto" w:fill="CCEEFF"/>
          </w:tcPr>
          <w:p>
            <w:pPr>
              <w:spacing w:after="0"/>
              <w:rPr>
                <w:sz w:val="8"/>
                <w:szCs w:val="8"/>
                <w:color w:val="auto"/>
              </w:rPr>
            </w:pPr>
          </w:p>
        </w:tc>
      </w:tr>
      <w:tr>
        <w:trPr>
          <w:trHeight w:val="96"/>
        </w:trPr>
        <w:tc>
          <w:tcPr>
            <w:tcW w:w="2320" w:type="dxa"/>
            <w:vAlign w:val="bottom"/>
            <w:gridSpan w:val="2"/>
          </w:tcPr>
          <w:p>
            <w:pPr>
              <w:spacing w:after="0" w:line="97" w:lineRule="exact"/>
              <w:rPr>
                <w:sz w:val="20"/>
                <w:szCs w:val="20"/>
                <w:color w:val="auto"/>
              </w:rPr>
            </w:pPr>
            <w:r>
              <w:rPr>
                <w:rFonts w:ascii="Arial" w:cs="Arial" w:eastAsia="Arial" w:hAnsi="Arial"/>
                <w:sz w:val="9"/>
                <w:szCs w:val="9"/>
                <w:color w:val="auto"/>
              </w:rPr>
              <w:t>Noninterest income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79,454</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76,634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76,231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174,781</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157,293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161,170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43,872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42,716</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46,514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(88,531)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63,922</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16,076</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369,446</w:t>
            </w: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351,275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316,212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578,620</w:t>
            </w:r>
          </w:p>
        </w:tc>
        <w:tc>
          <w:tcPr>
            <w:tcW w:w="18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549,671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528,064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278,394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271,691</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283,451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1,306</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154,126</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144,870</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line="97" w:lineRule="exact"/>
              <w:rPr>
                <w:sz w:val="20"/>
                <w:szCs w:val="20"/>
                <w:color w:val="auto"/>
              </w:rPr>
            </w:pPr>
            <w:r>
              <w:rPr>
                <w:rFonts w:ascii="Arial" w:cs="Arial" w:eastAsia="Arial" w:hAnsi="Arial"/>
                <w:sz w:val="9"/>
                <w:szCs w:val="9"/>
                <w:color w:val="auto"/>
              </w:rPr>
              <w:t>Provision for credit losses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18,580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15,072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8,576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12,778</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5,649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8,081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3,562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54"/>
              <w:spacing w:after="0" w:line="97" w:lineRule="exact"/>
              <w:rPr>
                <w:sz w:val="20"/>
                <w:szCs w:val="20"/>
                <w:color w:val="auto"/>
              </w:rPr>
            </w:pPr>
            <w:r>
              <w:rPr>
                <w:rFonts w:ascii="Arial" w:cs="Arial" w:eastAsia="Arial" w:hAnsi="Arial"/>
                <w:sz w:val="9"/>
                <w:szCs w:val="9"/>
                <w:color w:val="auto"/>
              </w:rPr>
              <w:t>(172)</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74"/>
              <w:spacing w:after="0" w:line="97" w:lineRule="exact"/>
              <w:rPr>
                <w:sz w:val="20"/>
                <w:szCs w:val="20"/>
                <w:color w:val="auto"/>
              </w:rPr>
            </w:pPr>
            <w:r>
              <w:rPr>
                <w:rFonts w:ascii="Arial" w:cs="Arial" w:eastAsia="Arial" w:hAnsi="Arial"/>
                <w:sz w:val="9"/>
                <w:szCs w:val="9"/>
                <w:color w:val="auto"/>
              </w:rPr>
              <w:t>(1,651)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27,507</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1,608</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1,392</w:t>
            </w:r>
          </w:p>
        </w:tc>
        <w:tc>
          <w:tcPr>
            <w:tcW w:w="80" w:type="dxa"/>
            <w:vAlign w:val="bottom"/>
          </w:tcPr>
          <w:p>
            <w:pPr>
              <w:spacing w:after="0"/>
              <w:rPr>
                <w:sz w:val="8"/>
                <w:szCs w:val="8"/>
                <w:color w:val="auto"/>
              </w:rPr>
            </w:pPr>
          </w:p>
        </w:tc>
      </w:tr>
      <w:tr>
        <w:trPr>
          <w:trHeight w:val="96"/>
        </w:trPr>
        <w:tc>
          <w:tcPr>
            <w:tcW w:w="232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40"/>
              <w:spacing w:after="0" w:line="97"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58"/>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74"/>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94"/>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7"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2320" w:type="dxa"/>
            <w:vAlign w:val="bottom"/>
            <w:gridSpan w:val="2"/>
          </w:tcPr>
          <w:p>
            <w:pPr>
              <w:spacing w:after="0" w:line="97" w:lineRule="exact"/>
              <w:rPr>
                <w:sz w:val="20"/>
                <w:szCs w:val="20"/>
                <w:color w:val="auto"/>
              </w:rPr>
            </w:pPr>
            <w:r>
              <w:rPr>
                <w:rFonts w:ascii="Arial" w:cs="Arial" w:eastAsia="Arial" w:hAnsi="Arial"/>
                <w:sz w:val="9"/>
                <w:szCs w:val="9"/>
                <w:color w:val="auto"/>
              </w:rPr>
              <w:t>Depreciation and other</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amortization</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569</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454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415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496</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415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5,150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5,804</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6,024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2,940</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4,073</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5,385</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line="97" w:lineRule="exact"/>
              <w:rPr>
                <w:sz w:val="20"/>
                <w:szCs w:val="20"/>
                <w:color w:val="auto"/>
              </w:rPr>
            </w:pPr>
            <w:r>
              <w:rPr>
                <w:rFonts w:ascii="Arial" w:cs="Arial" w:eastAsia="Arial" w:hAnsi="Arial"/>
                <w:sz w:val="9"/>
                <w:szCs w:val="9"/>
                <w:color w:val="auto"/>
              </w:rPr>
              <w:t>Other noninterest expense</w:t>
            </w: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126,130</w:t>
            </w: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119,148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w w:val="92"/>
              </w:rPr>
              <w:t>112,642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172,857</w:t>
            </w: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159,998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148,454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71,735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65,316</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59,261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14,545</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19,837</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13,073</w:t>
            </w:r>
          </w:p>
        </w:tc>
        <w:tc>
          <w:tcPr>
            <w:tcW w:w="80" w:type="dxa"/>
            <w:vAlign w:val="bottom"/>
          </w:tcPr>
          <w:p>
            <w:pPr>
              <w:spacing w:after="0"/>
              <w:rPr>
                <w:sz w:val="8"/>
                <w:szCs w:val="8"/>
                <w:color w:val="auto"/>
              </w:rPr>
            </w:pPr>
          </w:p>
        </w:tc>
      </w:tr>
      <w:tr>
        <w:trPr>
          <w:trHeight w:val="96"/>
        </w:trPr>
        <w:tc>
          <w:tcPr>
            <w:tcW w:w="232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Income (loss) before taxes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224,167</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216,601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194,579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392,489</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383,511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371,114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197,947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200,743</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219,817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
              <w:spacing w:after="0" w:line="96" w:lineRule="exact"/>
              <w:rPr>
                <w:sz w:val="20"/>
                <w:szCs w:val="20"/>
                <w:color w:val="auto"/>
              </w:rPr>
            </w:pPr>
            <w:r>
              <w:rPr>
                <w:rFonts w:ascii="Arial" w:cs="Arial" w:eastAsia="Arial" w:hAnsi="Arial"/>
                <w:sz w:val="9"/>
                <w:szCs w:val="9"/>
                <w:color w:val="auto"/>
              </w:rPr>
              <w:t>(43,686)</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128,608</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125,020</w:t>
            </w:r>
          </w:p>
        </w:tc>
        <w:tc>
          <w:tcPr>
            <w:tcW w:w="80" w:type="dxa"/>
            <w:vAlign w:val="bottom"/>
            <w:shd w:val="clear" w:color="auto" w:fill="CCEEFF"/>
          </w:tcPr>
          <w:p>
            <w:pPr>
              <w:spacing w:after="0"/>
              <w:rPr>
                <w:sz w:val="8"/>
                <w:szCs w:val="8"/>
                <w:color w:val="auto"/>
              </w:rPr>
            </w:pPr>
          </w:p>
        </w:tc>
      </w:tr>
      <w:tr>
        <w:trPr>
          <w:trHeight w:val="96"/>
        </w:trPr>
        <w:tc>
          <w:tcPr>
            <w:tcW w:w="2320" w:type="dxa"/>
            <w:vAlign w:val="bottom"/>
            <w:gridSpan w:val="2"/>
          </w:tcPr>
          <w:p>
            <w:pPr>
              <w:spacing w:after="0" w:line="97" w:lineRule="exact"/>
              <w:rPr>
                <w:sz w:val="20"/>
                <w:szCs w:val="20"/>
                <w:color w:val="auto"/>
              </w:rPr>
            </w:pPr>
            <w:r>
              <w:rPr>
                <w:rFonts w:ascii="Arial" w:cs="Arial" w:eastAsia="Arial" w:hAnsi="Arial"/>
                <w:sz w:val="9"/>
                <w:szCs w:val="9"/>
                <w:color w:val="auto"/>
              </w:rPr>
              <w:t>Income tax expense (benefit)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91,437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88,270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79,333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161,491</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157,742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152,449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63,254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65,892</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76,880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(36,890)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32,795</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32,394</w:t>
            </w:r>
          </w:p>
        </w:tc>
        <w:tc>
          <w:tcPr>
            <w:tcW w:w="80" w:type="dxa"/>
            <w:vAlign w:val="bottom"/>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5"/>
        </w:trPr>
        <w:tc>
          <w:tcPr>
            <w:tcW w:w="232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Net income (loss)</w:t>
            </w:r>
          </w:p>
        </w:tc>
        <w:tc>
          <w:tcPr>
            <w:tcW w:w="80" w:type="dxa"/>
            <w:vAlign w:val="bottom"/>
            <w:gridSpan w:val="2"/>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132,730</w:t>
            </w:r>
          </w:p>
        </w:tc>
        <w:tc>
          <w:tcPr>
            <w:tcW w:w="28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128,331</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115,246</w:t>
            </w:r>
          </w:p>
        </w:tc>
        <w:tc>
          <w:tcPr>
            <w:tcW w:w="280" w:type="dxa"/>
            <w:vAlign w:val="bottom"/>
            <w:gridSpan w:val="3"/>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230,998</w:t>
            </w:r>
          </w:p>
        </w:tc>
        <w:tc>
          <w:tcPr>
            <w:tcW w:w="22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225,769</w:t>
            </w:r>
          </w:p>
        </w:tc>
        <w:tc>
          <w:tcPr>
            <w:tcW w:w="1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218,665</w:t>
            </w:r>
          </w:p>
        </w:tc>
        <w:tc>
          <w:tcPr>
            <w:tcW w:w="260" w:type="dxa"/>
            <w:vAlign w:val="bottom"/>
            <w:gridSpan w:val="3"/>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134,693</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134,851</w:t>
            </w:r>
          </w:p>
        </w:tc>
        <w:tc>
          <w:tcPr>
            <w:tcW w:w="180" w:type="dxa"/>
            <w:vAlign w:val="bottom"/>
            <w:shd w:val="clear" w:color="auto" w:fill="CCEEFF"/>
          </w:tcPr>
          <w:p>
            <w:pPr>
              <w:spacing w:after="0"/>
              <w:rPr>
                <w:sz w:val="9"/>
                <w:szCs w:val="9"/>
                <w:color w:val="auto"/>
              </w:rPr>
            </w:pPr>
          </w:p>
        </w:tc>
        <w:tc>
          <w:tcPr>
            <w:tcW w:w="8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142,937</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20"/>
              <w:spacing w:after="0" w:line="96" w:lineRule="exact"/>
              <w:rPr>
                <w:sz w:val="20"/>
                <w:szCs w:val="20"/>
                <w:color w:val="auto"/>
              </w:rPr>
            </w:pPr>
            <w:r>
              <w:rPr>
                <w:rFonts w:ascii="Arial" w:cs="Arial" w:eastAsia="Arial" w:hAnsi="Arial"/>
                <w:sz w:val="9"/>
                <w:szCs w:val="9"/>
                <w:color w:val="auto"/>
              </w:rPr>
              <w:t>(6,796)</w:t>
            </w:r>
          </w:p>
        </w:tc>
        <w:tc>
          <w:tcPr>
            <w:tcW w:w="24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95,813</w:t>
            </w:r>
          </w:p>
        </w:tc>
        <w:tc>
          <w:tcPr>
            <w:tcW w:w="16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92,626</w:t>
            </w:r>
          </w:p>
        </w:tc>
        <w:tc>
          <w:tcPr>
            <w:tcW w:w="80" w:type="dxa"/>
            <w:vAlign w:val="bottom"/>
            <w:shd w:val="clear" w:color="auto" w:fill="CCEEFF"/>
          </w:tcPr>
          <w:p>
            <w:pPr>
              <w:spacing w:after="0"/>
              <w:rPr>
                <w:sz w:val="9"/>
                <w:szCs w:val="9"/>
                <w:color w:val="auto"/>
              </w:rPr>
            </w:pPr>
          </w:p>
        </w:tc>
      </w:tr>
      <w:tr>
        <w:trPr>
          <w:trHeight w:val="115"/>
        </w:trPr>
        <w:tc>
          <w:tcPr>
            <w:tcW w:w="2320" w:type="dxa"/>
            <w:vAlign w:val="bottom"/>
            <w:gridSpan w:val="2"/>
          </w:tcPr>
          <w:p>
            <w:pPr>
              <w:spacing w:after="0"/>
              <w:rPr>
                <w:sz w:val="20"/>
                <w:szCs w:val="20"/>
                <w:color w:val="auto"/>
              </w:rPr>
            </w:pPr>
            <w:r>
              <w:rPr>
                <w:rFonts w:ascii="Arial" w:cs="Arial" w:eastAsia="Arial" w:hAnsi="Arial"/>
                <w:sz w:val="9"/>
                <w:szCs w:val="9"/>
                <w:color w:val="auto"/>
              </w:rPr>
              <w:t>Average total assets (in millions)</w:t>
            </w: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4,179</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3,943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3,625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13,656</w:t>
            </w:r>
          </w:p>
        </w:tc>
        <w:tc>
          <w:tcPr>
            <w:tcW w:w="18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12,688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11,723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8,883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8,448</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8,335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12,953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12,136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11,810</w:t>
            </w:r>
          </w:p>
        </w:tc>
        <w:tc>
          <w:tcPr>
            <w:tcW w:w="80" w:type="dxa"/>
            <w:vAlign w:val="bottom"/>
          </w:tcPr>
          <w:p>
            <w:pPr>
              <w:spacing w:after="0"/>
              <w:rPr>
                <w:sz w:val="10"/>
                <w:szCs w:val="10"/>
                <w:color w:val="auto"/>
              </w:rPr>
            </w:pPr>
          </w:p>
        </w:tc>
      </w:tr>
      <w:tr>
        <w:trPr>
          <w:trHeight w:val="106"/>
        </w:trPr>
        <w:tc>
          <w:tcPr>
            <w:tcW w:w="20" w:type="dxa"/>
            <w:vAlign w:val="bottom"/>
          </w:tcPr>
          <w:p>
            <w:pPr>
              <w:spacing w:after="0"/>
              <w:rPr>
                <w:sz w:val="9"/>
                <w:szCs w:val="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9"/>
                <w:szCs w:val="9"/>
                <w:color w:val="auto"/>
              </w:rPr>
              <w:t>Capital expenditures (in millions)</w:t>
            </w:r>
          </w:p>
        </w:tc>
        <w:tc>
          <w:tcPr>
            <w:tcW w:w="80" w:type="dxa"/>
            <w:vAlign w:val="bottom"/>
            <w:gridSpan w:val="2"/>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58"/>
              <w:spacing w:after="0"/>
              <w:rPr>
                <w:sz w:val="20"/>
                <w:szCs w:val="20"/>
                <w:color w:val="auto"/>
              </w:rPr>
            </w:pPr>
            <w:r>
              <w:rPr>
                <w:rFonts w:ascii="Arial" w:cs="Arial" w:eastAsia="Arial" w:hAnsi="Arial"/>
                <w:sz w:val="9"/>
                <w:szCs w:val="9"/>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74"/>
              <w:spacing w:after="0"/>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94"/>
              <w:spacing w:after="0"/>
              <w:rPr>
                <w:sz w:val="20"/>
                <w:szCs w:val="20"/>
                <w:color w:val="auto"/>
              </w:rPr>
            </w:pPr>
            <w:r>
              <w:rPr>
                <w:rFonts w:ascii="Arial" w:cs="Arial" w:eastAsia="Arial" w:hAnsi="Arial"/>
                <w:sz w:val="9"/>
                <w:szCs w:val="9"/>
                <w:color w:val="auto"/>
              </w:rPr>
              <w:t>—</w:t>
            </w: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gridSpan w:val="2"/>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r>
      <w:tr>
        <w:trPr>
          <w:trHeight w:val="29"/>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8"/>
          </w:tcPr>
          <w:p>
            <w:pPr>
              <w:jc w:val="right"/>
              <w:ind w:right="195"/>
              <w:spacing w:after="0"/>
              <w:rPr>
                <w:sz w:val="20"/>
                <w:szCs w:val="20"/>
                <w:color w:val="auto"/>
              </w:rPr>
            </w:pPr>
            <w:r>
              <w:rPr>
                <w:rFonts w:ascii="Arial" w:cs="Arial" w:eastAsia="Arial" w:hAnsi="Arial"/>
                <w:sz w:val="8"/>
                <w:szCs w:val="8"/>
                <w:b w:val="1"/>
                <w:bCs w:val="1"/>
                <w:color w:val="auto"/>
              </w:rPr>
              <w:t>Residential Mortgage Banking</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Retail Banking</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8"/>
                <w:szCs w:val="8"/>
                <w:b w:val="1"/>
                <w:bCs w:val="1"/>
                <w:color w:val="auto"/>
                <w:w w:val="94"/>
              </w:rPr>
              <w:t>All Other</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8"/>
                <w:szCs w:val="8"/>
                <w:b w:val="1"/>
                <w:bCs w:val="1"/>
                <w:color w:val="auto"/>
              </w:rPr>
              <w:t>Total</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96"/>
        </w:trPr>
        <w:tc>
          <w:tcPr>
            <w:tcW w:w="20" w:type="dxa"/>
            <w:vAlign w:val="bottom"/>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8"/>
                <w:szCs w:val="8"/>
                <w:b w:val="1"/>
                <w:bCs w:val="1"/>
                <w:color w:val="auto"/>
              </w:rPr>
              <w:t>2007</w:t>
            </w:r>
          </w:p>
        </w:tc>
        <w:tc>
          <w:tcPr>
            <w:tcW w:w="2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8"/>
                <w:szCs w:val="8"/>
                <w:b w:val="1"/>
                <w:bCs w:val="1"/>
                <w:color w:val="auto"/>
              </w:rPr>
              <w:t>2006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8"/>
                <w:szCs w:val="8"/>
                <w:b w:val="1"/>
                <w:bCs w:val="1"/>
                <w:color w:val="auto"/>
              </w:rPr>
              <w:t>2005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8"/>
                <w:szCs w:val="8"/>
                <w:b w:val="1"/>
                <w:bCs w:val="1"/>
                <w:color w:val="auto"/>
              </w:rPr>
              <w:t>2007</w:t>
            </w:r>
          </w:p>
        </w:tc>
        <w:tc>
          <w:tcPr>
            <w:tcW w:w="1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8"/>
                <w:szCs w:val="8"/>
                <w:b w:val="1"/>
                <w:bCs w:val="1"/>
                <w:color w:val="auto"/>
              </w:rPr>
              <w:t>2006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8"/>
                <w:szCs w:val="8"/>
                <w:b w:val="1"/>
                <w:bCs w:val="1"/>
                <w:color w:val="auto"/>
              </w:rPr>
              <w:t>2005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8"/>
                <w:szCs w:val="8"/>
                <w:b w:val="1"/>
                <w:bCs w:val="1"/>
                <w:color w:val="auto"/>
              </w:rPr>
              <w:t>2007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8"/>
                <w:szCs w:val="8"/>
                <w:b w:val="1"/>
                <w:bCs w:val="1"/>
                <w:color w:val="auto"/>
              </w:rPr>
              <w:t>2006</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8"/>
                <w:szCs w:val="8"/>
                <w:b w:val="1"/>
                <w:bCs w:val="1"/>
                <w:color w:val="auto"/>
              </w:rPr>
              <w:t>2005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8"/>
                <w:szCs w:val="8"/>
                <w:b w:val="1"/>
                <w:bCs w:val="1"/>
                <w:color w:val="auto"/>
              </w:rPr>
              <w:t>2007</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8"/>
                <w:szCs w:val="8"/>
                <w:b w:val="1"/>
                <w:bCs w:val="1"/>
                <w:color w:val="auto"/>
              </w:rPr>
              <w:t>2006</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8"/>
                <w:szCs w:val="8"/>
                <w:b w:val="1"/>
                <w:bCs w:val="1"/>
                <w:color w:val="auto"/>
              </w:rPr>
              <w:t>2005</w:t>
            </w:r>
          </w:p>
        </w:tc>
        <w:tc>
          <w:tcPr>
            <w:tcW w:w="80" w:type="dxa"/>
            <w:vAlign w:val="bottom"/>
            <w:shd w:val="clear" w:color="auto" w:fill="CCEEFF"/>
          </w:tcPr>
          <w:p>
            <w:pPr>
              <w:spacing w:after="0"/>
              <w:rPr>
                <w:sz w:val="8"/>
                <w:szCs w:val="8"/>
                <w:color w:val="auto"/>
              </w:rPr>
            </w:pPr>
          </w:p>
        </w:tc>
      </w:tr>
      <w:tr>
        <w:trPr>
          <w:trHeight w:val="96"/>
        </w:trPr>
        <w:tc>
          <w:tcPr>
            <w:tcW w:w="2320" w:type="dxa"/>
            <w:vAlign w:val="bottom"/>
            <w:gridSpan w:val="2"/>
          </w:tcPr>
          <w:p>
            <w:pPr>
              <w:spacing w:after="0" w:line="96" w:lineRule="exact"/>
              <w:rPr>
                <w:sz w:val="20"/>
                <w:szCs w:val="20"/>
                <w:color w:val="auto"/>
              </w:rPr>
            </w:pPr>
            <w:r>
              <w:rPr>
                <w:rFonts w:ascii="Arial" w:cs="Arial" w:eastAsia="Arial" w:hAnsi="Arial"/>
                <w:sz w:val="9"/>
                <w:szCs w:val="9"/>
                <w:color w:val="auto"/>
              </w:rPr>
              <w:t>Net interest income(a)</w:t>
            </w:r>
          </w:p>
        </w:tc>
        <w:tc>
          <w:tcPr>
            <w:tcW w:w="20" w:type="dxa"/>
            <w:vAlign w:val="bottom"/>
          </w:tcPr>
          <w:p>
            <w:pPr>
              <w:spacing w:after="0"/>
              <w:rPr>
                <w:sz w:val="8"/>
                <w:szCs w:val="8"/>
                <w:color w:val="auto"/>
              </w:rPr>
            </w:pP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67288"/>
              </w:rPr>
              <w:t>$</w:t>
            </w: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rPr>
              <w:t>81,157</w:t>
            </w:r>
          </w:p>
        </w:tc>
        <w:tc>
          <w:tcPr>
            <w:tcW w:w="20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w w:val="92"/>
              </w:rPr>
              <w:t>100,144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rPr>
              <w:t>92,071</w:t>
            </w:r>
          </w:p>
        </w:tc>
        <w:tc>
          <w:tcPr>
            <w:tcW w:w="200" w:type="dxa"/>
            <w:vAlign w:val="bottom"/>
            <w:gridSpan w:val="2"/>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rPr>
              <w:t>849,051</w:t>
            </w:r>
          </w:p>
        </w:tc>
        <w:tc>
          <w:tcPr>
            <w:tcW w:w="18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96" w:lineRule="exact"/>
              <w:rPr>
                <w:sz w:val="20"/>
                <w:szCs w:val="20"/>
                <w:color w:val="auto"/>
              </w:rPr>
            </w:pPr>
            <w:r>
              <w:rPr>
                <w:rFonts w:ascii="Arial" w:cs="Arial" w:eastAsia="Arial" w:hAnsi="Arial"/>
                <w:sz w:val="9"/>
                <w:szCs w:val="9"/>
                <w:color w:val="auto"/>
              </w:rPr>
              <w:t>789,256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rPr>
              <w:t>705,292</w:t>
            </w:r>
          </w:p>
        </w:tc>
        <w:tc>
          <w:tcPr>
            <w:tcW w:w="200" w:type="dxa"/>
            <w:vAlign w:val="bottom"/>
            <w:gridSpan w:val="2"/>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(98,161)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(58,057)</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24,374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w w:val="94"/>
              </w:rPr>
              <w:t>1,850,237</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w w:val="94"/>
              </w:rPr>
              <w:t>1,817,541</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w w:val="94"/>
              </w:rPr>
              <w:t>1,794,343</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Noninterest income</w:t>
            </w:r>
          </w:p>
        </w:tc>
        <w:tc>
          <w:tcPr>
            <w:tcW w:w="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146,682</w:t>
            </w:r>
          </w:p>
        </w:tc>
        <w:tc>
          <w:tcPr>
            <w:tcW w:w="2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183,677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166,179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348,324</w:t>
            </w:r>
          </w:p>
        </w:tc>
        <w:tc>
          <w:tcPr>
            <w:tcW w:w="1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326,735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308,693</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228,407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194,875</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174,855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932,989</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4"/>
              </w:rPr>
              <w:t>1,045,852</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949,718</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2"/>
              </w:rPr>
              <w:t>227,839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w w:val="92"/>
              </w:rPr>
              <w:t>283,821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w w:val="92"/>
              </w:rPr>
              <w:t>258,250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w w:val="99"/>
              </w:rPr>
              <w:t>1,197,375</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6" w:lineRule="exact"/>
              <w:rPr>
                <w:sz w:val="20"/>
                <w:szCs w:val="20"/>
                <w:color w:val="auto"/>
              </w:rPr>
            </w:pPr>
            <w:r>
              <w:rPr>
                <w:rFonts w:ascii="Arial" w:cs="Arial" w:eastAsia="Arial" w:hAnsi="Arial"/>
                <w:sz w:val="9"/>
                <w:szCs w:val="9"/>
                <w:color w:val="auto"/>
              </w:rPr>
              <w:t>1,115,991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w w:val="94"/>
              </w:rPr>
              <w:t>1,013,985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130,246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136,818</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199,229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w w:val="94"/>
              </w:rPr>
              <w:t>2,783,226</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w w:val="94"/>
              </w:rPr>
              <w:t>2,863,393</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w w:val="94"/>
              </w:rPr>
              <w:t>2,744,061</w:t>
            </w:r>
          </w:p>
        </w:tc>
        <w:tc>
          <w:tcPr>
            <w:tcW w:w="80" w:type="dxa"/>
            <w:vAlign w:val="bottom"/>
          </w:tcPr>
          <w:p>
            <w:pPr>
              <w:spacing w:after="0"/>
              <w:rPr>
                <w:sz w:val="8"/>
                <w:szCs w:val="8"/>
                <w:color w:val="auto"/>
              </w:rPr>
            </w:pPr>
          </w:p>
        </w:tc>
      </w:tr>
      <w:tr>
        <w:trPr>
          <w:trHeight w:val="96"/>
        </w:trPr>
        <w:tc>
          <w:tcPr>
            <w:tcW w:w="232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Provision for credit losses</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5,302</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953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1,372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60,306</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40,210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49,051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63,965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16,680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21,179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192,000</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80,000</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88,000</w:t>
            </w:r>
          </w:p>
        </w:tc>
        <w:tc>
          <w:tcPr>
            <w:tcW w:w="80" w:type="dxa"/>
            <w:vAlign w:val="bottom"/>
            <w:shd w:val="clear" w:color="auto" w:fill="CCEEFF"/>
          </w:tcPr>
          <w:p>
            <w:pPr>
              <w:spacing w:after="0"/>
              <w:rPr>
                <w:sz w:val="8"/>
                <w:szCs w:val="8"/>
                <w:color w:val="auto"/>
              </w:rPr>
            </w:pPr>
          </w:p>
        </w:tc>
      </w:tr>
      <w:tr>
        <w:trPr>
          <w:trHeight w:val="96"/>
        </w:trPr>
        <w:tc>
          <w:tcPr>
            <w:tcW w:w="2320" w:type="dxa"/>
            <w:vAlign w:val="bottom"/>
            <w:gridSpan w:val="2"/>
          </w:tcPr>
          <w:p>
            <w:pPr>
              <w:spacing w:after="0" w:line="97" w:lineRule="exact"/>
              <w:rPr>
                <w:sz w:val="20"/>
                <w:szCs w:val="20"/>
                <w:color w:val="auto"/>
              </w:rPr>
            </w:pPr>
            <w:r>
              <w:rPr>
                <w:rFonts w:ascii="Arial" w:cs="Arial" w:eastAsia="Arial" w:hAnsi="Arial"/>
                <w:sz w:val="9"/>
                <w:szCs w:val="9"/>
                <w:color w:val="auto"/>
              </w:rPr>
              <w:t>Amortization of core deposit and other intangible assets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ind w:right="140"/>
              <w:spacing w:after="0" w:line="97"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66,486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63,008</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56,805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66,486</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63,008</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56,805</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Depreciation and other</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ind w:left="80"/>
              <w:spacing w:after="0" w:line="97" w:lineRule="exact"/>
              <w:rPr>
                <w:sz w:val="20"/>
                <w:szCs w:val="20"/>
                <w:color w:val="auto"/>
              </w:rPr>
            </w:pPr>
            <w:r>
              <w:rPr>
                <w:rFonts w:ascii="Arial" w:cs="Arial" w:eastAsia="Arial" w:hAnsi="Arial"/>
                <w:sz w:val="9"/>
                <w:szCs w:val="9"/>
                <w:color w:val="auto"/>
              </w:rPr>
              <w:t>amortization</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55,960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52,649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48,719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26,438</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7" w:lineRule="exact"/>
              <w:rPr>
                <w:sz w:val="20"/>
                <w:szCs w:val="20"/>
                <w:color w:val="auto"/>
              </w:rPr>
            </w:pPr>
            <w:r>
              <w:rPr>
                <w:rFonts w:ascii="Arial" w:cs="Arial" w:eastAsia="Arial" w:hAnsi="Arial"/>
                <w:sz w:val="9"/>
                <w:szCs w:val="9"/>
                <w:color w:val="auto"/>
              </w:rPr>
              <w:t>25,506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25,750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20,120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23,924</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30,235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111,673</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Arial" w:cs="Arial" w:eastAsia="Arial" w:hAnsi="Arial"/>
                <w:sz w:val="9"/>
                <w:szCs w:val="9"/>
                <w:color w:val="auto"/>
              </w:rPr>
              <w:t>112,923</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Arial" w:cs="Arial" w:eastAsia="Arial" w:hAnsi="Arial"/>
                <w:sz w:val="9"/>
                <w:szCs w:val="9"/>
                <w:color w:val="auto"/>
              </w:rPr>
              <w:t>116,943</w:t>
            </w:r>
          </w:p>
        </w:tc>
        <w:tc>
          <w:tcPr>
            <w:tcW w:w="80" w:type="dxa"/>
            <w:vAlign w:val="bottom"/>
          </w:tcPr>
          <w:p>
            <w:pPr>
              <w:spacing w:after="0"/>
              <w:rPr>
                <w:sz w:val="8"/>
                <w:szCs w:val="8"/>
                <w:color w:val="auto"/>
              </w:rPr>
            </w:pPr>
          </w:p>
        </w:tc>
      </w:tr>
      <w:tr>
        <w:trPr>
          <w:trHeight w:val="96"/>
        </w:trPr>
        <w:tc>
          <w:tcPr>
            <w:tcW w:w="232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Other noninterest expense(b)</w:t>
            </w:r>
          </w:p>
        </w:tc>
        <w:tc>
          <w:tcPr>
            <w:tcW w:w="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150,591</w:t>
            </w:r>
          </w:p>
        </w:tc>
        <w:tc>
          <w:tcPr>
            <w:tcW w:w="2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148,432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141,640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576,904</w:t>
            </w:r>
          </w:p>
        </w:tc>
        <w:tc>
          <w:tcPr>
            <w:tcW w:w="1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573,759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584,025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336,768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289,330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252,299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4"/>
              </w:rPr>
              <w:t>1,449,530</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4"/>
              </w:rPr>
              <w:t>1,375,820</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4"/>
              </w:rPr>
              <w:t>1,311,394</w:t>
            </w:r>
          </w:p>
        </w:tc>
        <w:tc>
          <w:tcPr>
            <w:tcW w:w="80" w:type="dxa"/>
            <w:vAlign w:val="bottom"/>
            <w:shd w:val="clear" w:color="auto" w:fill="CCEEFF"/>
          </w:tcPr>
          <w:p>
            <w:pPr>
              <w:spacing w:after="0"/>
              <w:rPr>
                <w:sz w:val="8"/>
                <w:szCs w:val="8"/>
                <w:color w:val="auto"/>
              </w:rPr>
            </w:pPr>
          </w:p>
        </w:tc>
      </w:tr>
      <w:tr>
        <w:trPr>
          <w:trHeight w:val="96"/>
        </w:trPr>
        <w:tc>
          <w:tcPr>
            <w:tcW w:w="2320" w:type="dxa"/>
            <w:vAlign w:val="bottom"/>
            <w:gridSpan w:val="2"/>
          </w:tcPr>
          <w:p>
            <w:pPr>
              <w:spacing w:after="0" w:line="96" w:lineRule="exact"/>
              <w:rPr>
                <w:sz w:val="20"/>
                <w:szCs w:val="20"/>
                <w:color w:val="auto"/>
              </w:rPr>
            </w:pPr>
            <w:r>
              <w:rPr>
                <w:rFonts w:ascii="Arial" w:cs="Arial" w:eastAsia="Arial" w:hAnsi="Arial"/>
                <w:sz w:val="9"/>
                <w:szCs w:val="9"/>
                <w:color w:val="auto"/>
              </w:rPr>
              <w:t>Income (loss) before taxes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rPr>
              <w:t>15,986</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rPr>
              <w:t>81,787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rPr>
              <w:t>66,519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rPr>
              <w:t>533,727</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6" w:lineRule="exact"/>
              <w:rPr>
                <w:sz w:val="20"/>
                <w:szCs w:val="20"/>
                <w:color w:val="auto"/>
              </w:rPr>
            </w:pPr>
            <w:r>
              <w:rPr>
                <w:rFonts w:ascii="Arial" w:cs="Arial" w:eastAsia="Arial" w:hAnsi="Arial"/>
                <w:sz w:val="9"/>
                <w:szCs w:val="9"/>
                <w:color w:val="auto"/>
              </w:rPr>
              <w:t>476,516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rPr>
              <w:t>355,159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w w:val="88"/>
              </w:rPr>
              <w:t>(357,093)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w w:val="88"/>
              </w:rPr>
              <w:t>(256,124)</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w w:val="88"/>
              </w:rPr>
              <w:t>(161,289)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rPr>
              <w:t>963,537</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w w:val="94"/>
              </w:rPr>
              <w:t>1,231,642</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6" w:lineRule="exact"/>
              <w:rPr>
                <w:sz w:val="20"/>
                <w:szCs w:val="20"/>
                <w:color w:val="auto"/>
              </w:rPr>
            </w:pPr>
            <w:r>
              <w:rPr>
                <w:rFonts w:ascii="Arial" w:cs="Arial" w:eastAsia="Arial" w:hAnsi="Arial"/>
                <w:sz w:val="9"/>
                <w:szCs w:val="9"/>
                <w:color w:val="auto"/>
                <w:w w:val="94"/>
              </w:rPr>
              <w:t>1,170,919</w:t>
            </w:r>
          </w:p>
        </w:tc>
        <w:tc>
          <w:tcPr>
            <w:tcW w:w="80" w:type="dxa"/>
            <w:vAlign w:val="bottom"/>
          </w:tcPr>
          <w:p>
            <w:pPr>
              <w:spacing w:after="0"/>
              <w:rPr>
                <w:sz w:val="8"/>
                <w:szCs w:val="8"/>
                <w:color w:val="auto"/>
              </w:rPr>
            </w:pPr>
          </w:p>
        </w:tc>
      </w:tr>
      <w:tr>
        <w:trPr>
          <w:trHeight w:val="96"/>
        </w:trPr>
        <w:tc>
          <w:tcPr>
            <w:tcW w:w="232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Income tax expense (benefit)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2,593</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29,611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23,426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217,681</w:t>
            </w: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194,446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144,934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38"/>
              <w:spacing w:after="0" w:line="97" w:lineRule="exact"/>
              <w:rPr>
                <w:sz w:val="20"/>
                <w:szCs w:val="20"/>
                <w:color w:val="auto"/>
              </w:rPr>
            </w:pPr>
            <w:r>
              <w:rPr>
                <w:rFonts w:ascii="Arial" w:cs="Arial" w:eastAsia="Arial" w:hAnsi="Arial"/>
                <w:sz w:val="9"/>
                <w:szCs w:val="9"/>
                <w:color w:val="auto"/>
                <w:w w:val="93"/>
              </w:rPr>
              <w:t>(190,288)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54"/>
              <w:spacing w:after="0" w:line="97" w:lineRule="exact"/>
              <w:rPr>
                <w:sz w:val="20"/>
                <w:szCs w:val="20"/>
                <w:color w:val="auto"/>
              </w:rPr>
            </w:pPr>
            <w:r>
              <w:rPr>
                <w:rFonts w:ascii="Arial" w:cs="Arial" w:eastAsia="Arial" w:hAnsi="Arial"/>
                <w:sz w:val="9"/>
                <w:szCs w:val="9"/>
                <w:color w:val="auto"/>
                <w:w w:val="93"/>
              </w:rPr>
              <w:t>(176,303)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74"/>
              <w:spacing w:after="0" w:line="97" w:lineRule="exact"/>
              <w:rPr>
                <w:sz w:val="20"/>
                <w:szCs w:val="20"/>
                <w:color w:val="auto"/>
              </w:rPr>
            </w:pPr>
            <w:r>
              <w:rPr>
                <w:rFonts w:ascii="Arial" w:cs="Arial" w:eastAsia="Arial" w:hAnsi="Arial"/>
                <w:sz w:val="9"/>
                <w:szCs w:val="9"/>
                <w:color w:val="auto"/>
                <w:w w:val="93"/>
              </w:rPr>
              <w:t>(120,680)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309,278</w:t>
            </w: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392,453</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388,736</w:t>
            </w:r>
          </w:p>
        </w:tc>
        <w:tc>
          <w:tcPr>
            <w:tcW w:w="80" w:type="dxa"/>
            <w:vAlign w:val="bottom"/>
            <w:shd w:val="clear" w:color="auto" w:fill="CCEEFF"/>
          </w:tcPr>
          <w:p>
            <w:pPr>
              <w:spacing w:after="0"/>
              <w:rPr>
                <w:sz w:val="8"/>
                <w:szCs w:val="8"/>
                <w:color w:val="auto"/>
              </w:rPr>
            </w:pPr>
          </w:p>
        </w:tc>
      </w:tr>
      <w:tr>
        <w:trPr>
          <w:trHeight w:val="110"/>
        </w:trPr>
        <w:tc>
          <w:tcPr>
            <w:tcW w:w="2320" w:type="dxa"/>
            <w:vAlign w:val="bottom"/>
            <w:gridSpan w:val="2"/>
          </w:tcPr>
          <w:p>
            <w:pPr>
              <w:spacing w:after="0" w:line="96" w:lineRule="exact"/>
              <w:rPr>
                <w:sz w:val="20"/>
                <w:szCs w:val="20"/>
                <w:color w:val="auto"/>
              </w:rPr>
            </w:pPr>
            <w:r>
              <w:rPr>
                <w:rFonts w:ascii="Arial" w:cs="Arial" w:eastAsia="Arial" w:hAnsi="Arial"/>
                <w:sz w:val="9"/>
                <w:szCs w:val="9"/>
                <w:color w:val="auto"/>
              </w:rPr>
              <w:t>Net income (loss)</w:t>
            </w:r>
          </w:p>
        </w:tc>
        <w:tc>
          <w:tcPr>
            <w:tcW w:w="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13,393</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52,176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43,093</w:t>
            </w:r>
          </w:p>
        </w:tc>
        <w:tc>
          <w:tcPr>
            <w:tcW w:w="200" w:type="dxa"/>
            <w:vAlign w:val="bottom"/>
            <w:gridSpan w:val="2"/>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316,046</w:t>
            </w:r>
          </w:p>
        </w:tc>
        <w:tc>
          <w:tcPr>
            <w:tcW w:w="18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282,070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210,225</w:t>
            </w:r>
          </w:p>
        </w:tc>
        <w:tc>
          <w:tcPr>
            <w:tcW w:w="200" w:type="dxa"/>
            <w:vAlign w:val="bottom"/>
            <w:gridSpan w:val="2"/>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5"/>
              </w:rPr>
              <w:t>(166,805</w:t>
            </w:r>
          </w:p>
        </w:tc>
        <w:tc>
          <w:tcPr>
            <w:tcW w:w="100" w:type="dxa"/>
            <w:vAlign w:val="bottom"/>
          </w:tcPr>
          <w:p>
            <w:pPr>
              <w:spacing w:after="0" w:line="96"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(79,821</w:t>
            </w:r>
          </w:p>
        </w:tc>
        <w:tc>
          <w:tcPr>
            <w:tcW w:w="180" w:type="dxa"/>
            <w:vAlign w:val="bottom"/>
          </w:tcPr>
          <w:p>
            <w:pPr>
              <w:jc w:val="right"/>
              <w:ind w:right="154"/>
              <w:spacing w:after="0"/>
              <w:rPr>
                <w:sz w:val="20"/>
                <w:szCs w:val="20"/>
                <w:color w:val="auto"/>
              </w:rPr>
            </w:pPr>
            <w:r>
              <w:rPr>
                <w:rFonts w:ascii="Arial" w:cs="Arial" w:eastAsia="Arial" w:hAnsi="Arial"/>
                <w:sz w:val="1"/>
                <w:szCs w:val="1"/>
                <w:color w:val="auto"/>
                <w:w w:val="4294967281"/>
              </w:rPr>
              <w:t>)</w:t>
            </w:r>
          </w:p>
        </w:tc>
        <w:tc>
          <w:tcPr>
            <w:tcW w:w="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(40,609</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654,259</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839,189</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782,183</w:t>
            </w:r>
          </w:p>
        </w:tc>
        <w:tc>
          <w:tcPr>
            <w:tcW w:w="80" w:type="dxa"/>
            <w:vAlign w:val="bottom"/>
          </w:tcPr>
          <w:p>
            <w:pPr>
              <w:spacing w:after="0"/>
              <w:rPr>
                <w:sz w:val="9"/>
                <w:szCs w:val="9"/>
                <w:color w:val="auto"/>
              </w:rPr>
            </w:pPr>
          </w:p>
        </w:tc>
      </w:tr>
      <w:tr>
        <w:trPr>
          <w:trHeight w:val="110"/>
        </w:trPr>
        <w:tc>
          <w:tcPr>
            <w:tcW w:w="23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Average total assets (in millions)</w:t>
            </w:r>
          </w:p>
        </w:tc>
        <w:tc>
          <w:tcPr>
            <w:tcW w:w="80" w:type="dxa"/>
            <w:vAlign w:val="bottom"/>
            <w:gridSpan w:val="2"/>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2,874</w:t>
            </w:r>
          </w:p>
        </w:tc>
        <w:tc>
          <w:tcPr>
            <w:tcW w:w="280" w:type="dxa"/>
            <w:vAlign w:val="bottom"/>
            <w:gridSpan w:val="2"/>
            <w:shd w:val="clear" w:color="auto" w:fill="CCEEFF"/>
          </w:tcPr>
          <w:p>
            <w:pPr>
              <w:jc w:val="right"/>
              <w:ind w:right="17"/>
              <w:spacing w:after="0" w:line="101"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3,462</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2,712</w:t>
            </w:r>
          </w:p>
        </w:tc>
        <w:tc>
          <w:tcPr>
            <w:tcW w:w="280" w:type="dxa"/>
            <w:vAlign w:val="bottom"/>
            <w:gridSpan w:val="3"/>
            <w:shd w:val="clear" w:color="auto" w:fill="CCEEFF"/>
          </w:tcPr>
          <w:p>
            <w:pPr>
              <w:jc w:val="right"/>
              <w:ind w:right="17"/>
              <w:spacing w:after="0" w:line="101"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10,360</w:t>
            </w:r>
          </w:p>
        </w:tc>
        <w:tc>
          <w:tcPr>
            <w:tcW w:w="2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10,164</w:t>
            </w:r>
          </w:p>
        </w:tc>
        <w:tc>
          <w:tcPr>
            <w:tcW w:w="1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17"/>
              <w:spacing w:after="0" w:line="101"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11,014</w:t>
            </w:r>
          </w:p>
        </w:tc>
        <w:tc>
          <w:tcPr>
            <w:tcW w:w="260" w:type="dxa"/>
            <w:vAlign w:val="bottom"/>
            <w:gridSpan w:val="3"/>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5,640</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4,998</w:t>
            </w:r>
          </w:p>
        </w:tc>
        <w:tc>
          <w:tcPr>
            <w:tcW w:w="180" w:type="dxa"/>
            <w:vAlign w:val="bottom"/>
            <w:shd w:val="clear" w:color="auto" w:fill="CCEEFF"/>
          </w:tcPr>
          <w:p>
            <w:pPr>
              <w:spacing w:after="0"/>
              <w:rPr>
                <w:sz w:val="9"/>
                <w:szCs w:val="9"/>
                <w:color w:val="auto"/>
              </w:rPr>
            </w:pPr>
          </w:p>
        </w:tc>
        <w:tc>
          <w:tcPr>
            <w:tcW w:w="8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4,916</w:t>
            </w:r>
          </w:p>
        </w:tc>
        <w:tc>
          <w:tcPr>
            <w:tcW w:w="1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17"/>
              <w:spacing w:after="0" w:line="101"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58,545</w:t>
            </w:r>
          </w:p>
        </w:tc>
        <w:tc>
          <w:tcPr>
            <w:tcW w:w="4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7"/>
              <w:spacing w:after="0" w:line="101"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55,839</w:t>
            </w:r>
          </w:p>
        </w:tc>
        <w:tc>
          <w:tcPr>
            <w:tcW w:w="16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17"/>
              <w:spacing w:after="0" w:line="101"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54,135</w:t>
            </w:r>
          </w:p>
        </w:tc>
        <w:tc>
          <w:tcPr>
            <w:tcW w:w="80" w:type="dxa"/>
            <w:vAlign w:val="bottom"/>
            <w:shd w:val="clear" w:color="auto" w:fill="CCEEFF"/>
          </w:tcPr>
          <w:p>
            <w:pPr>
              <w:spacing w:after="0"/>
              <w:rPr>
                <w:sz w:val="9"/>
                <w:szCs w:val="9"/>
                <w:color w:val="auto"/>
              </w:rPr>
            </w:pPr>
          </w:p>
        </w:tc>
      </w:tr>
      <w:tr>
        <w:trPr>
          <w:trHeight w:val="115"/>
        </w:trPr>
        <w:tc>
          <w:tcPr>
            <w:tcW w:w="2320" w:type="dxa"/>
            <w:vAlign w:val="bottom"/>
            <w:gridSpan w:val="2"/>
          </w:tcPr>
          <w:p>
            <w:pPr>
              <w:spacing w:after="0"/>
              <w:rPr>
                <w:sz w:val="20"/>
                <w:szCs w:val="20"/>
                <w:color w:val="auto"/>
              </w:rPr>
            </w:pPr>
            <w:r>
              <w:rPr>
                <w:rFonts w:ascii="Arial" w:cs="Arial" w:eastAsia="Arial" w:hAnsi="Arial"/>
                <w:sz w:val="9"/>
                <w:szCs w:val="9"/>
                <w:color w:val="auto"/>
              </w:rPr>
              <w:t>Capital expenditures (in millions)</w:t>
            </w: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w:t>
            </w:r>
          </w:p>
        </w:tc>
        <w:tc>
          <w:tcPr>
            <w:tcW w:w="200" w:type="dxa"/>
            <w:vAlign w:val="bottom"/>
            <w:gridSpan w:val="2"/>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30</w:t>
            </w:r>
          </w:p>
        </w:tc>
        <w:tc>
          <w:tcPr>
            <w:tcW w:w="18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17</w:t>
            </w:r>
          </w:p>
        </w:tc>
        <w:tc>
          <w:tcPr>
            <w:tcW w:w="200" w:type="dxa"/>
            <w:vAlign w:val="bottom"/>
            <w:gridSpan w:val="2"/>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12</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42</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27</w:t>
            </w:r>
          </w:p>
        </w:tc>
        <w:tc>
          <w:tcPr>
            <w:tcW w:w="80" w:type="dxa"/>
            <w:vAlign w:val="bottom"/>
          </w:tcPr>
          <w:p>
            <w:pPr>
              <w:spacing w:after="0"/>
              <w:rPr>
                <w:sz w:val="10"/>
                <w:szCs w:val="10"/>
                <w:color w:val="auto"/>
              </w:rPr>
            </w:pPr>
          </w:p>
        </w:tc>
      </w:tr>
    </w:tbl>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128905</wp:posOffset>
            </wp:positionV>
            <wp:extent cx="82740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232" w:lineRule="exact"/>
        <w:rPr>
          <w:sz w:val="20"/>
          <w:szCs w:val="20"/>
          <w:color w:val="auto"/>
        </w:rPr>
      </w:pPr>
    </w:p>
    <w:p>
      <w:pPr>
        <w:jc w:val="both"/>
        <w:ind w:left="1000" w:right="200" w:hanging="315"/>
        <w:spacing w:after="0" w:line="254" w:lineRule="auto"/>
        <w:tabs>
          <w:tab w:leader="none" w:pos="100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$20,833,000 in 2007, $19,667,000 in 2006 and $17,311,000 in 2005 and is eliminated in “All Other” net interest income and income tax expense (benefit).</w:t>
      </w:r>
    </w:p>
    <w:p>
      <w:pPr>
        <w:spacing w:after="0" w:line="23" w:lineRule="exact"/>
        <w:rPr>
          <w:rFonts w:ascii="Arial" w:cs="Arial" w:eastAsia="Arial" w:hAnsi="Arial"/>
          <w:sz w:val="13"/>
          <w:szCs w:val="13"/>
          <w:i w:val="1"/>
          <w:iCs w:val="1"/>
          <w:color w:val="auto"/>
        </w:rPr>
      </w:pPr>
    </w:p>
    <w:p>
      <w:pPr>
        <w:ind w:left="1000" w:hanging="315"/>
        <w:spacing w:after="0"/>
        <w:tabs>
          <w:tab w:leader="none" w:pos="100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Including the impact in the “All Other” category of the merger-related expenses described in note 2.</w:t>
      </w:r>
    </w:p>
    <w:p>
      <w:pPr>
        <w:spacing w:after="0" w:line="8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largely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offshore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This segment also originates and services loans to developers of residential real estate properties.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as determined in accordance with SFAS No. 131, the difference between the provision for credit losses and the calculated provision allocated to the reportable segments, goodwill and core deposit and other intangible assets resulting from acquisitions of financial institutions, M&amp;T’s equity in the earnings of BLG, merger-related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Pr>
          <w:p>
            <w:pPr>
              <w:jc w:val="right"/>
              <w:ind w:right="209"/>
              <w:spacing w:after="0" w:line="96"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980" w:type="dxa"/>
            <w:vAlign w:val="bottom"/>
            <w:gridSpan w:val="2"/>
          </w:tcPr>
          <w:p>
            <w:pPr>
              <w:jc w:val="center"/>
              <w:ind w:left="216"/>
              <w:spacing w:after="0" w:line="96" w:lineRule="exact"/>
              <w:rPr>
                <w:sz w:val="20"/>
                <w:szCs w:val="20"/>
                <w:color w:val="auto"/>
              </w:rPr>
            </w:pPr>
            <w:r>
              <w:rPr>
                <w:rFonts w:ascii="Arial" w:cs="Arial" w:eastAsia="Arial" w:hAnsi="Arial"/>
                <w:sz w:val="10"/>
                <w:szCs w:val="10"/>
                <w:b w:val="1"/>
                <w:bCs w:val="1"/>
                <w:color w:val="auto"/>
                <w:w w:val="98"/>
              </w:rPr>
              <w:t>2006</w:t>
            </w:r>
          </w:p>
        </w:tc>
        <w:tc>
          <w:tcPr>
            <w:tcW w:w="300" w:type="dxa"/>
            <w:vAlign w:val="bottom"/>
          </w:tcPr>
          <w:p>
            <w:pPr>
              <w:spacing w:after="0"/>
              <w:rPr>
                <w:sz w:val="8"/>
                <w:szCs w:val="8"/>
                <w:color w:val="auto"/>
              </w:rPr>
            </w:pPr>
          </w:p>
        </w:tc>
        <w:tc>
          <w:tcPr>
            <w:tcW w:w="800" w:type="dxa"/>
            <w:vAlign w:val="bottom"/>
            <w:gridSpan w:val="2"/>
          </w:tcPr>
          <w:p>
            <w:pPr>
              <w:jc w:val="right"/>
              <w:ind w:right="260"/>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(49,800)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   (70,789)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   (70,698)</w:t>
            </w:r>
          </w:p>
        </w:tc>
      </w:tr>
      <w:tr>
        <w:trPr>
          <w:trHeight w:val="164"/>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Expenses</w:t>
            </w:r>
          </w:p>
        </w:tc>
        <w:tc>
          <w:tcPr>
            <w:tcW w:w="3680" w:type="dxa"/>
            <w:vAlign w:val="bottom"/>
            <w:gridSpan w:val="3"/>
          </w:tcPr>
          <w:p>
            <w:pPr>
              <w:jc w:val="right"/>
              <w:ind w:right="60"/>
              <w:spacing w:after="0"/>
              <w:rPr>
                <w:sz w:val="20"/>
                <w:szCs w:val="20"/>
                <w:color w:val="auto"/>
              </w:rPr>
            </w:pPr>
            <w:r>
              <w:rPr>
                <w:rFonts w:ascii="Arial" w:cs="Arial" w:eastAsia="Arial" w:hAnsi="Arial"/>
                <w:sz w:val="14"/>
                <w:szCs w:val="14"/>
                <w:color w:val="auto"/>
              </w:rPr>
              <w:t>(14,119)</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(20,760)</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(18,445)</w:t>
            </w:r>
          </w:p>
        </w:tc>
      </w:tr>
      <w:tr>
        <w:trPr>
          <w:trHeight w:val="164"/>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Income taxes (benefit)</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(14,519)</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(20,357)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(21,262)</w:t>
            </w: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Net income (loss)</w:t>
            </w:r>
          </w:p>
        </w:tc>
        <w:tc>
          <w:tcPr>
            <w:tcW w:w="3680" w:type="dxa"/>
            <w:vAlign w:val="bottom"/>
            <w:gridSpan w:val="3"/>
          </w:tcPr>
          <w:p>
            <w:pPr>
              <w:jc w:val="right"/>
              <w:ind w:right="60"/>
              <w:spacing w:after="0"/>
              <w:rPr>
                <w:sz w:val="20"/>
                <w:szCs w:val="20"/>
                <w:color w:val="auto"/>
              </w:rPr>
            </w:pPr>
            <w:r>
              <w:rPr>
                <w:rFonts w:ascii="Arial" w:cs="Arial" w:eastAsia="Arial" w:hAnsi="Arial"/>
                <w:sz w:val="14"/>
                <w:szCs w:val="14"/>
                <w:color w:val="auto"/>
              </w:rPr>
              <w:t>(21,162)</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(29,672)</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(30,991)</w:t>
            </w:r>
          </w:p>
        </w:tc>
      </w:tr>
    </w:tbl>
    <w:p>
      <w:pPr>
        <w:spacing w:after="0" w:line="58" w:lineRule="exact"/>
        <w:rPr>
          <w:sz w:val="20"/>
          <w:szCs w:val="20"/>
          <w:color w:val="auto"/>
        </w:rPr>
      </w:pPr>
    </w:p>
    <w:p>
      <w:pPr>
        <w:ind w:left="680" w:right="180" w:firstLine="399"/>
        <w:spacing w:after="0" w:line="272" w:lineRule="auto"/>
        <w:rPr>
          <w:sz w:val="20"/>
          <w:szCs w:val="20"/>
          <w:color w:val="auto"/>
        </w:rPr>
      </w:pPr>
      <w:r>
        <w:rPr>
          <w:rFonts w:ascii="Arial" w:cs="Arial" w:eastAsia="Arial" w:hAnsi="Arial"/>
          <w:sz w:val="14"/>
          <w:szCs w:val="14"/>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1180" w:hanging="495"/>
        <w:spacing w:after="0"/>
        <w:tabs>
          <w:tab w:leader="none" w:pos="11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19" w:lineRule="exact"/>
        <w:rPr>
          <w:sz w:val="20"/>
          <w:szCs w:val="20"/>
          <w:color w:val="auto"/>
        </w:rPr>
      </w:pPr>
    </w:p>
    <w:p>
      <w:pPr>
        <w:ind w:left="680" w:right="60"/>
        <w:spacing w:after="0" w:line="244" w:lineRule="auto"/>
        <w:rPr>
          <w:sz w:val="20"/>
          <w:szCs w:val="20"/>
          <w:color w:val="auto"/>
        </w:rPr>
      </w:pPr>
      <w:r>
        <w:rPr>
          <w:rFonts w:ascii="Arial" w:cs="Arial" w:eastAsia="Arial" w:hAnsi="Arial"/>
          <w:sz w:val="14"/>
          <w:szCs w:val="14"/>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2007, approximately $295,947,000 was available for payment of dividends to M&amp;T from banking subsidiaries without prior regulatory approval.</w:t>
      </w:r>
    </w:p>
    <w:p>
      <w:pPr>
        <w:spacing w:after="0" w:line="1" w:lineRule="exact"/>
        <w:rPr>
          <w:sz w:val="20"/>
          <w:szCs w:val="20"/>
          <w:color w:val="auto"/>
        </w:rPr>
      </w:pPr>
    </w:p>
    <w:p>
      <w:pPr>
        <w:ind w:left="680" w:right="200" w:firstLine="599"/>
        <w:spacing w:after="0" w:line="244" w:lineRule="auto"/>
        <w:rPr>
          <w:sz w:val="20"/>
          <w:szCs w:val="20"/>
          <w:color w:val="auto"/>
        </w:rPr>
      </w:pPr>
      <w:r>
        <w:rPr>
          <w:rFonts w:ascii="Arial" w:cs="Arial" w:eastAsia="Arial" w:hAnsi="Arial"/>
          <w:sz w:val="14"/>
          <w:szCs w:val="14"/>
          <w:color w:val="auto"/>
        </w:rPr>
        <w:t>Banking regulations prohibit extensions of credit by the subsidiary banks to M&amp;T unless appropriately secured by assets. Securities of affiliates are not eligible as collateral for this purpose.</w:t>
      </w:r>
    </w:p>
    <w:p>
      <w:pPr>
        <w:spacing w:after="0" w:line="1" w:lineRule="exact"/>
        <w:rPr>
          <w:sz w:val="20"/>
          <w:szCs w:val="20"/>
          <w:color w:val="auto"/>
        </w:rPr>
      </w:pPr>
    </w:p>
    <w:p>
      <w:pPr>
        <w:ind w:left="680" w:right="600" w:firstLine="599"/>
        <w:spacing w:after="0" w:line="263" w:lineRule="auto"/>
        <w:rPr>
          <w:sz w:val="20"/>
          <w:szCs w:val="20"/>
          <w:color w:val="auto"/>
        </w:rPr>
      </w:pPr>
      <w:r>
        <w:rPr>
          <w:rFonts w:ascii="Arial" w:cs="Arial" w:eastAsia="Arial" w:hAnsi="Arial"/>
          <w:sz w:val="13"/>
          <w:szCs w:val="13"/>
          <w:color w:val="auto"/>
        </w:rPr>
        <w:t>The bank subsidiaries are required to maintain noninterest-earning reserves against certain deposit liabilities. During the maintenance periods that included December 31, 2007 and 2006, cash and due from banks included a daily average of $228,290,000 and $182,953,000, respectively, for such purpose.</w:t>
      </w:r>
    </w:p>
    <w:p>
      <w:pPr>
        <w:ind w:left="680" w:firstLine="599"/>
        <w:spacing w:after="0" w:line="245" w:lineRule="auto"/>
        <w:rPr>
          <w:sz w:val="20"/>
          <w:szCs w:val="20"/>
          <w:color w:val="auto"/>
        </w:rPr>
      </w:pPr>
      <w:r>
        <w:rPr>
          <w:rFonts w:ascii="Arial" w:cs="Arial" w:eastAsia="Arial" w:hAnsi="Arial"/>
          <w:sz w:val="14"/>
          <w:szCs w:val="14"/>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2007, M&amp;T and each of its banking subsidiaries exceeded all applicable capital adequacy requirements. As of December 31, 2007 and 2006, the most recent notifications from federal regulators categorized each of M&amp;T’s bank subsidiaries as “well capitalized” under the regulatory framework for prompt corrective action. To be considered “well capitalized,” a banking institution must maintain Tier 1 risk-based capital, total risk-based capital and leverage ratios of at least 6%, 10% and 5%, respectively. Management is unaware of any conditions or events since the latest notifications from federal regulators that have changed the capital adequacy category of M&amp;T’s bank subsidiaries.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capital ratios and amounts of the Company and its banking subsidiaries as of December 31, 2007 and 2006 are presented below:</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M&amp;T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M&amp;T Bank</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M&amp;T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91"/>
              </w:rPr>
              <w:t>(Consolidated)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Bank, N.A.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0"/>
                <w:szCs w:val="10"/>
                <w:b w:val="1"/>
                <w:bCs w:val="1"/>
                <w:color w:val="auto"/>
                <w:w w:val="92"/>
              </w:rPr>
              <w:t>(Dollars in thousands)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2007:</w:t>
            </w:r>
          </w:p>
        </w:tc>
        <w:tc>
          <w:tcPr>
            <w:tcW w:w="2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Tier 1 capital</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3,831,402</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3,460,525</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79,627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6.84%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45.93%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2,240,512</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2,216,349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Total capital</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6,263,301</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5,884,226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11.18%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10.62%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46.76%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4,481,024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4,432,698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Leverage</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3,831,402</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3,460,525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79,627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Ratio(c)</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6.59%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1,744,838</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1,720,290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December 31, 2006:</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Tier 1 capital</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Amount</w:t>
            </w:r>
          </w:p>
        </w:tc>
        <w:tc>
          <w:tcPr>
            <w:tcW w:w="2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3,844,322</w:t>
            </w:r>
          </w:p>
        </w:tc>
        <w:tc>
          <w:tcPr>
            <w:tcW w:w="14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3,355,935</w:t>
            </w:r>
          </w:p>
        </w:tc>
        <w:tc>
          <w:tcPr>
            <w:tcW w:w="260" w:type="dxa"/>
            <w:vAlign w:val="bottom"/>
          </w:tcPr>
          <w:p>
            <w:pPr>
              <w:spacing w:after="0"/>
              <w:rPr>
                <w:sz w:val="14"/>
                <w:szCs w:val="14"/>
                <w:color w:val="auto"/>
              </w:rPr>
            </w:pP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93,024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1,985,987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1,970,212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10,446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Total capital</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5,849,969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5,391,656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95,480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11.78%</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3,971,974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3,940,424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20,892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Leverage</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3,844,322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3,355,935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93,024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Ratio(c)</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1,602,673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1,582,573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17,307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50800</wp:posOffset>
            </wp:positionV>
            <wp:extent cx="82740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10" w:lineRule="exact"/>
        <w:rPr>
          <w:sz w:val="20"/>
          <w:szCs w:val="20"/>
          <w:color w:val="auto"/>
        </w:rPr>
      </w:pPr>
    </w:p>
    <w:p>
      <w:pPr>
        <w:ind w:left="1180" w:hanging="239"/>
        <w:spacing w:after="0"/>
        <w:tabs>
          <w:tab w:leader="none" w:pos="1180" w:val="left"/>
        </w:tabs>
        <w:numPr>
          <w:ilvl w:val="1"/>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risk-weighted assets, as defined by regulation.</w:t>
      </w:r>
    </w:p>
    <w:p>
      <w:pPr>
        <w:spacing w:after="0" w:line="13" w:lineRule="exact"/>
        <w:rPr>
          <w:rFonts w:ascii="Arial" w:cs="Arial" w:eastAsia="Arial" w:hAnsi="Arial"/>
          <w:sz w:val="13"/>
          <w:szCs w:val="13"/>
          <w:i w:val="1"/>
          <w:iCs w:val="1"/>
          <w:color w:val="auto"/>
        </w:rPr>
      </w:pPr>
    </w:p>
    <w:p>
      <w:pPr>
        <w:ind w:left="1180" w:hanging="239"/>
        <w:spacing w:after="0"/>
        <w:tabs>
          <w:tab w:leader="none" w:pos="1180" w:val="left"/>
        </w:tabs>
        <w:numPr>
          <w:ilvl w:val="1"/>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Minimum amount of capital to be considered adequately capitalized, as defined by regulation.</w:t>
      </w:r>
    </w:p>
    <w:p>
      <w:pPr>
        <w:spacing w:after="0" w:line="4" w:lineRule="exact"/>
        <w:rPr>
          <w:rFonts w:ascii="Arial" w:cs="Arial" w:eastAsia="Arial" w:hAnsi="Arial"/>
          <w:sz w:val="13"/>
          <w:szCs w:val="13"/>
          <w:i w:val="1"/>
          <w:iCs w:val="1"/>
          <w:color w:val="auto"/>
        </w:rPr>
      </w:pPr>
    </w:p>
    <w:p>
      <w:pPr>
        <w:ind w:left="1180" w:hanging="232"/>
        <w:spacing w:after="0"/>
        <w:tabs>
          <w:tab w:leader="none" w:pos="1180" w:val="left"/>
        </w:tabs>
        <w:numPr>
          <w:ilvl w:val="1"/>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average assets, as defined by regulation.</w:t>
      </w:r>
    </w:p>
    <w:p>
      <w:pPr>
        <w:spacing w:after="0" w:line="152" w:lineRule="exact"/>
        <w:rPr>
          <w:rFonts w:ascii="Arial" w:cs="Arial" w:eastAsia="Arial" w:hAnsi="Arial"/>
          <w:sz w:val="13"/>
          <w:szCs w:val="13"/>
          <w:i w:val="1"/>
          <w:iCs w:val="1"/>
          <w:color w:val="auto"/>
        </w:rPr>
      </w:pPr>
    </w:p>
    <w:p>
      <w:pPr>
        <w:ind w:left="1180" w:hanging="495"/>
        <w:spacing w:after="0"/>
        <w:tabs>
          <w:tab w:leader="none" w:pos="11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of M&amp;T and AIB</w:t>
      </w:r>
    </w:p>
    <w:p>
      <w:pPr>
        <w:spacing w:after="0" w:line="19"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AIB received 26,700,000 shares of M&amp;T common stock on April 1, 2003 as a result of M&amp;T’s acquisition of a subsidiary of AIB on that date. Those shares of common stock owned by AIB represented 24.3% of the issued and outstanding shares of M&amp;T common stock on December 31, 2007. While AIB maintains a significant ownership in M&amp;T, the Agreement and Plan of Reorganization between M&amp;T and AIB (“Reorganization Agreement”) includes several provisions related to the corporate governance of M&amp;T that provide AIB with representation on the M&amp;T and M&amp;T Bank boards of directors and key board committees and certain protections of its rights as a substantial M&amp;T shareholder. In addition, AIB has rights that will facilitate its ability to maintain its proportionate ownership position in M&amp;T.</w:t>
      </w:r>
    </w:p>
    <w:p>
      <w:pPr>
        <w:spacing w:after="0" w:line="1" w:lineRule="exact"/>
        <w:rPr>
          <w:sz w:val="20"/>
          <w:szCs w:val="20"/>
          <w:color w:val="auto"/>
        </w:rPr>
      </w:pPr>
    </w:p>
    <w:p>
      <w:pPr>
        <w:ind w:left="680" w:right="80" w:firstLine="599"/>
        <w:spacing w:after="0" w:line="248" w:lineRule="auto"/>
        <w:rPr>
          <w:sz w:val="20"/>
          <w:szCs w:val="20"/>
          <w:color w:val="auto"/>
        </w:rPr>
      </w:pPr>
      <w:r>
        <w:rPr>
          <w:rFonts w:ascii="Arial" w:cs="Arial" w:eastAsia="Arial" w:hAnsi="Arial"/>
          <w:sz w:val="14"/>
          <w:szCs w:val="14"/>
          <w:color w:val="auto"/>
        </w:rPr>
        <w:t>With respect to AIB’s right to have representation on the M&amp;T and M&amp;T Bank boards of directors and key board committees, for as long as AIB holds at least 15% of M&amp;T’s outstanding common stock, AIB is entitled to designate four individuals, reasonably acceptable to M&amp;T, on both the M&amp;T and M&amp;T Bank boards of directors. In addition, one of the AIB designees to the M&amp;T board of directors will serve on each of the Executive; Nomination, Compensation and Governance; and Audit and Risk committees. Also, as long as AIB holds at least 15% of M&amp;T’s outstanding common stock, neither the M&amp;T nor the</w:t>
      </w:r>
    </w:p>
    <w:p>
      <w:pPr>
        <w:spacing w:after="0" w:line="139"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M&amp;T Bank board of directors may consist of more than 28 directors without the consent of the M&amp;T directors designated by AIB. AIB will continue to enjoy these rights if its holdings of M&amp;T common stock drop below 15%, but not below 12%, so long as AIB restores its ownership percentage to 15% within one year. In the event that AIB holds at least 10%, but less than 15%, of M&amp;T’s outstanding common stock, AIB will be entitled to designate at least two individuals on both the M&amp;T and M&amp;T Bank boards of directors and, in the event that AIB holds at least 5%, but less than 10%, of M&amp;T’s outstanding common stock, AIB will be entitled to designate one individual on both the M&amp;T and M&amp;T Bank boards of directors. M&amp;T also has the right to appoint one representative to the AIB board while AIB remains a significant shareholder.</w:t>
      </w:r>
    </w:p>
    <w:p>
      <w:pPr>
        <w:spacing w:after="0" w:line="1" w:lineRule="exact"/>
        <w:rPr>
          <w:sz w:val="20"/>
          <w:szCs w:val="20"/>
          <w:color w:val="auto"/>
        </w:rPr>
      </w:pPr>
    </w:p>
    <w:p>
      <w:pPr>
        <w:ind w:left="680" w:right="60" w:firstLine="599"/>
        <w:spacing w:after="0" w:line="246" w:lineRule="auto"/>
        <w:rPr>
          <w:sz w:val="20"/>
          <w:szCs w:val="20"/>
          <w:color w:val="auto"/>
        </w:rPr>
      </w:pPr>
      <w:r>
        <w:rPr>
          <w:rFonts w:ascii="Arial" w:cs="Arial" w:eastAsia="Arial" w:hAnsi="Arial"/>
          <w:sz w:val="14"/>
          <w:szCs w:val="14"/>
          <w:color w:val="auto"/>
        </w:rPr>
        <w:t>There are several other corporate governance provisions that serve to protect AIB’s rights as a substantial M&amp;T shareholder and are embodied in M&amp;T’s certificate of incorporation and bylaws. These protections include an effective consent right in connection with certain actions by M&amp;T, such as amending M&amp;T’s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M&amp;T. AIB has the right to limit, with the agreement of at least one non-AIB designee on the M&amp;T board of directors, other actions by M&amp;T, such as reducing M&amp;T’s cash dividend policy such that the ratio of cash dividends to net income is less than 15%, acquisitions and dispositions of significant amounts of assets, and the appointment or election of the chairman of the board of directors or the chief executive officer of M&amp;T. The protective provisions described above will cease to be applicable when AIB no longer owns at least 15% of M&amp;T’s outstanding common stock, calculated as described in the Reorganization Agreement.</w:t>
      </w:r>
    </w:p>
    <w:p>
      <w:pPr>
        <w:spacing w:after="0" w:line="140" w:lineRule="exact"/>
        <w:rPr>
          <w:sz w:val="20"/>
          <w:szCs w:val="20"/>
          <w:color w:val="auto"/>
        </w:rPr>
      </w:pPr>
    </w:p>
    <w:p>
      <w:pPr>
        <w:ind w:left="1180" w:hanging="495"/>
        <w:spacing w:after="0"/>
        <w:tabs>
          <w:tab w:leader="none" w:pos="11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with Bayview Lending Group LLC and Bayview Financial Holdings, L.P.</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On February 5, 2007 M&amp;T invested $300 million to acquire a minority interest in Bayview Lending Group LLC (“BLG”), a privately-held commercial mortgage lender that specializes in originating, securitizing and servicing small balance commercial real estate loans in the United States, and to a lesser extent, in Canada and the United Kingdom. M&amp;T recognizes income from BLG using the equity method of accounting.</w:t>
      </w:r>
    </w:p>
    <w:p>
      <w:pPr>
        <w:spacing w:after="0" w:line="1" w:lineRule="exact"/>
        <w:rPr>
          <w:sz w:val="20"/>
          <w:szCs w:val="20"/>
          <w:color w:val="auto"/>
        </w:rPr>
      </w:pPr>
    </w:p>
    <w:p>
      <w:pPr>
        <w:ind w:left="680" w:right="40" w:firstLine="599"/>
        <w:spacing w:after="0" w:line="285" w:lineRule="auto"/>
        <w:rPr>
          <w:sz w:val="20"/>
          <w:szCs w:val="20"/>
          <w:color w:val="auto"/>
        </w:rPr>
      </w:pPr>
      <w:r>
        <w:rPr>
          <w:rFonts w:ascii="Arial" w:cs="Arial" w:eastAsia="Arial" w:hAnsi="Arial"/>
          <w:sz w:val="12"/>
          <w:szCs w:val="12"/>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$4.9 billion and $3.3 billion at December 31, 2007 and 2006, respectively. Amounts recorded as capitalized servicing assets for such loans totaled $57 million at December 31, 2007 and $36 million at December 31, 2006. In addition, capitalized servicing rights at December 31, 2007 and 2006 also included $40 million and $44 million, respectively, for servicing rights that were purchased from Bayview Financial related to residential mortgage loans with outstanding principal balances of $4.6 billion at December 31, 2007 and $4.5 billion at December 31, 2006. Revenues from servicing residential and small balance commercial mortgage loans purchased from BLG and Bayview Financial were $48 million,</w:t>
      </w:r>
    </w:p>
    <w:p>
      <w:pPr>
        <w:spacing w:after="0" w:line="1" w:lineRule="exact"/>
        <w:rPr>
          <w:sz w:val="20"/>
          <w:szCs w:val="20"/>
          <w:color w:val="auto"/>
        </w:rPr>
      </w:pPr>
    </w:p>
    <w:p>
      <w:pPr>
        <w:ind w:left="680" w:right="300"/>
        <w:spacing w:after="0" w:line="248" w:lineRule="auto"/>
        <w:rPr>
          <w:sz w:val="20"/>
          <w:szCs w:val="20"/>
          <w:color w:val="auto"/>
        </w:rPr>
      </w:pPr>
      <w:r>
        <w:rPr>
          <w:rFonts w:ascii="Arial" w:cs="Arial" w:eastAsia="Arial" w:hAnsi="Arial"/>
          <w:sz w:val="14"/>
          <w:szCs w:val="14"/>
          <w:color w:val="auto"/>
        </w:rPr>
        <w:t>$38 million and $27 million during 2007, 2006 and 2005, respectively. M&amp;T Bank provided a $120 million revolving line of credit facility to Bayview Financial at December 31, 2007 of which $9 million was outstanding. There were no outstanding borrowings at December 31, 2006 on a similar revolving line of credit facility which aggregated $100 million. Finally, at December 31, 2007 and 2006, the Company held $450 million and $198 million, respectively, of private collateralized mortgage obligations in its available for sale investment securities portfolio that were securitized by Bayview Financial.</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00"/>
          </w:cols>
          <w:pgMar w:left="220" w:top="339" w:right="107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M&amp;T BANK CORPORATION AND SUBSIDIARIES</w:t>
            </w: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Notes to Financial Statements — (Continued)</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25.</w:t>
            </w:r>
          </w:p>
        </w:tc>
        <w:tc>
          <w:tcPr>
            <w:tcW w:w="5080" w:type="dxa"/>
            <w:vAlign w:val="bottom"/>
          </w:tcPr>
          <w:p>
            <w:pPr>
              <w:spacing w:after="0"/>
              <w:rPr>
                <w:sz w:val="20"/>
                <w:szCs w:val="20"/>
                <w:color w:val="auto"/>
              </w:rPr>
            </w:pPr>
            <w:r>
              <w:rPr>
                <w:rFonts w:ascii="Arial" w:cs="Arial" w:eastAsia="Arial" w:hAnsi="Arial"/>
                <w:sz w:val="14"/>
                <w:szCs w:val="14"/>
                <w:b w:val="1"/>
                <w:bCs w:val="1"/>
                <w:color w:val="auto"/>
              </w:rPr>
              <w:t>Parent company financial statements</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Condensed Balance Sheet</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2"/>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50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Cash in subsidiary bank</w:t>
            </w:r>
          </w:p>
        </w:tc>
        <w:tc>
          <w:tcPr>
            <w:tcW w:w="24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2,252</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from consolidated bank subsidiaries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Money-market savings</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103,999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414,343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Note receivable</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Current income tax receivable</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Other</w:t>
            </w:r>
          </w:p>
        </w:tc>
        <w:tc>
          <w:tcPr>
            <w:tcW w:w="50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gridSpan w:val="2"/>
          </w:tcPr>
          <w:p>
            <w:pPr>
              <w:ind w:left="240"/>
              <w:spacing w:after="0"/>
              <w:rPr>
                <w:sz w:val="20"/>
                <w:szCs w:val="20"/>
                <w:color w:val="auto"/>
              </w:rPr>
            </w:pPr>
            <w:r>
              <w:rPr>
                <w:rFonts w:ascii="Arial" w:cs="Arial" w:eastAsia="Arial" w:hAnsi="Arial"/>
                <w:sz w:val="14"/>
                <w:szCs w:val="14"/>
                <w:color w:val="auto"/>
              </w:rPr>
              <w:t>Total due from consolidated bank subsidiaries</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306,911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618,380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 in consolidated subsidiaries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4"/>
                <w:szCs w:val="14"/>
                <w:color w:val="auto"/>
                <w:w w:val="87"/>
              </w:rPr>
              <w:t>Banks</w:t>
            </w:r>
          </w:p>
        </w:tc>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6,913,112</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6,569,224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Other</w:t>
            </w:r>
          </w:p>
        </w:tc>
        <w:tc>
          <w:tcPr>
            <w:tcW w:w="50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20,482</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Investments in unconsolidated subsidiaries (note 18)</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30,893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29,718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in Bayview Lending Group LLC</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308,926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124,746</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assets</w:t>
            </w:r>
          </w:p>
        </w:tc>
        <w:tc>
          <w:tcPr>
            <w:tcW w:w="24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7,707,322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7,385,142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2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to consolidated subsidiaries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4"/>
                <w:szCs w:val="14"/>
                <w:color w:val="auto"/>
                <w:w w:val="87"/>
              </w:rPr>
              <w:t>Banks</w:t>
            </w:r>
          </w:p>
        </w:tc>
        <w:tc>
          <w:tcPr>
            <w:tcW w:w="5080" w:type="dxa"/>
            <w:vAlign w:val="bottom"/>
          </w:tcPr>
          <w:p>
            <w:pPr>
              <w:spacing w:after="0"/>
              <w:rPr>
                <w:sz w:val="14"/>
                <w:szCs w:val="14"/>
                <w:color w:val="auto"/>
              </w:rPr>
            </w:pPr>
          </w:p>
        </w:tc>
        <w:tc>
          <w:tcPr>
            <w:tcW w:w="24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251</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Other</w:t>
            </w:r>
          </w:p>
        </w:tc>
        <w:tc>
          <w:tcPr>
            <w:tcW w:w="50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gridSpan w:val="2"/>
          </w:tcPr>
          <w:p>
            <w:pPr>
              <w:ind w:left="240"/>
              <w:spacing w:after="0"/>
              <w:rPr>
                <w:sz w:val="20"/>
                <w:szCs w:val="20"/>
                <w:color w:val="auto"/>
              </w:rPr>
            </w:pPr>
            <w:r>
              <w:rPr>
                <w:rFonts w:ascii="Arial" w:cs="Arial" w:eastAsia="Arial" w:hAnsi="Arial"/>
                <w:sz w:val="14"/>
                <w:szCs w:val="14"/>
                <w:color w:val="auto"/>
              </w:rPr>
              <w:t>Total due to consolidated subsidiaries</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558</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expenses and other liabilities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Long-term borrowings</w:t>
            </w: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1,169,102</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1,040,657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1,222,066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1,104,047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6,485,256</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6,281,095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liabilities and stockholders’ equity</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7,707,322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7,385,142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70"/>
              <w:spacing w:after="0" w:line="96"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0"/>
              </w:rPr>
              <w:t>(In thousands, except per share)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Dividends from consolidated subsidiaries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Banks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609,500</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755,000</w:t>
            </w:r>
          </w:p>
        </w:tc>
        <w:tc>
          <w:tcPr>
            <w:tcW w:w="3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Other</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Equity in earnings of Bayview Lending Group LLC</w:t>
            </w: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Other income</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28,822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income</w:t>
            </w:r>
          </w:p>
        </w:tc>
        <w:tc>
          <w:tcPr>
            <w:tcW w:w="1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644,652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783,822</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722,291</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420" w:type="dxa"/>
            <w:vAlign w:val="bottom"/>
            <w:gridSpan w:val="2"/>
          </w:tcPr>
          <w:p>
            <w:pPr>
              <w:ind w:left="680"/>
              <w:spacing w:after="0"/>
              <w:rPr>
                <w:sz w:val="20"/>
                <w:szCs w:val="20"/>
                <w:color w:val="auto"/>
              </w:rPr>
            </w:pPr>
            <w:r>
              <w:rPr>
                <w:rFonts w:ascii="Arial" w:cs="Arial" w:eastAsia="Arial" w:hAnsi="Arial"/>
                <w:sz w:val="14"/>
                <w:szCs w:val="14"/>
                <w:b w:val="1"/>
                <w:bCs w:val="1"/>
                <w:color w:val="auto"/>
              </w:rPr>
              <w:t>Expense</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Interest on long-term borrowings</w:t>
            </w: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69,651</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Other expense</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expense</w:t>
            </w:r>
          </w:p>
        </w:tc>
        <w:tc>
          <w:tcPr>
            <w:tcW w:w="1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76,990</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69,162</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420" w:type="dxa"/>
            <w:vAlign w:val="bottom"/>
            <w:gridSpan w:val="2"/>
          </w:tcPr>
          <w:p>
            <w:pPr>
              <w:ind w:left="680"/>
              <w:spacing w:after="0"/>
              <w:rPr>
                <w:sz w:val="20"/>
                <w:szCs w:val="20"/>
                <w:color w:val="auto"/>
              </w:rPr>
            </w:pPr>
            <w:r>
              <w:rPr>
                <w:rFonts w:ascii="Arial" w:cs="Arial" w:eastAsia="Arial" w:hAnsi="Arial"/>
                <w:sz w:val="14"/>
                <w:szCs w:val="14"/>
                <w:color w:val="auto"/>
              </w:rPr>
              <w:t>Income before income taxes and equity in undistributed income of subsidiaries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561,668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706,832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653,129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Income tax credits</w:t>
            </w:r>
          </w:p>
        </w:tc>
        <w:tc>
          <w:tcPr>
            <w:tcW w:w="1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16,937</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18,334</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420" w:type="dxa"/>
            <w:vAlign w:val="bottom"/>
            <w:gridSpan w:val="2"/>
          </w:tcPr>
          <w:p>
            <w:pPr>
              <w:ind w:left="680"/>
              <w:spacing w:after="0"/>
              <w:rPr>
                <w:sz w:val="20"/>
                <w:szCs w:val="20"/>
                <w:color w:val="auto"/>
              </w:rPr>
            </w:pPr>
            <w:r>
              <w:rPr>
                <w:rFonts w:ascii="Arial" w:cs="Arial" w:eastAsia="Arial" w:hAnsi="Arial"/>
                <w:sz w:val="14"/>
                <w:szCs w:val="14"/>
                <w:i w:val="1"/>
                <w:iCs w:val="1"/>
                <w:color w:val="auto"/>
              </w:rPr>
              <w:t>Income before equity in undistributed income of subsidiaries</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723,769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671,463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 in undistributed income of subsidiaries</w:t>
            </w: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Net income of subsidiaries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683,494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870,420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810,720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received</w:t>
            </w: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(609,500)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6"/>
              </w:rPr>
              <w:t>(755,000)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(700,000)</w:t>
            </w:r>
          </w:p>
        </w:tc>
        <w:tc>
          <w:tcPr>
            <w:tcW w:w="820" w:type="dxa"/>
            <w:vAlign w:val="bottom"/>
          </w:tcPr>
          <w:p>
            <w:pPr>
              <w:spacing w:after="0"/>
              <w:rPr>
                <w:sz w:val="14"/>
                <w:szCs w:val="14"/>
                <w:color w:val="auto"/>
              </w:rPr>
            </w:pPr>
          </w:p>
        </w:tc>
      </w:tr>
      <w:tr>
        <w:trPr>
          <w:trHeight w:val="163"/>
        </w:trPr>
        <w:tc>
          <w:tcPr>
            <w:tcW w:w="6420" w:type="dxa"/>
            <w:vAlign w:val="bottom"/>
            <w:gridSpan w:val="2"/>
          </w:tcPr>
          <w:p>
            <w:pPr>
              <w:ind w:left="680"/>
              <w:spacing w:after="0"/>
              <w:rPr>
                <w:sz w:val="20"/>
                <w:szCs w:val="20"/>
                <w:color w:val="auto"/>
              </w:rPr>
            </w:pPr>
            <w:r>
              <w:rPr>
                <w:rFonts w:ascii="Arial" w:cs="Arial" w:eastAsia="Arial" w:hAnsi="Arial"/>
                <w:sz w:val="14"/>
                <w:szCs w:val="14"/>
                <w:color w:val="auto"/>
              </w:rPr>
              <w:t>Equity in undistributed income of subsidiaries</w:t>
            </w:r>
          </w:p>
        </w:tc>
        <w:tc>
          <w:tcPr>
            <w:tcW w:w="1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73,994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115,420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Net income</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654,259</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839,189</w:t>
            </w:r>
          </w:p>
        </w:tc>
        <w:tc>
          <w:tcPr>
            <w:tcW w:w="3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782,183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6420" w:type="dxa"/>
            <w:vAlign w:val="bottom"/>
            <w:gridSpan w:val="2"/>
          </w:tcPr>
          <w:p>
            <w:pPr>
              <w:ind w:left="680"/>
              <w:spacing w:after="0"/>
              <w:rPr>
                <w:sz w:val="20"/>
                <w:szCs w:val="20"/>
                <w:color w:val="auto"/>
              </w:rPr>
            </w:pPr>
            <w:r>
              <w:rPr>
                <w:rFonts w:ascii="Arial" w:cs="Arial" w:eastAsia="Arial" w:hAnsi="Arial"/>
                <w:sz w:val="14"/>
                <w:szCs w:val="14"/>
                <w:b w:val="1"/>
                <w:bCs w:val="1"/>
                <w:color w:val="auto"/>
              </w:rPr>
              <w:t>Net income per common share</w:t>
            </w:r>
          </w:p>
        </w:tc>
        <w:tc>
          <w:tcPr>
            <w:tcW w:w="1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3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5720" w:type="dxa"/>
            <w:vAlign w:val="bottom"/>
          </w:tcPr>
          <w:p>
            <w:pPr>
              <w:ind w:left="120"/>
              <w:spacing w:after="0"/>
              <w:rPr>
                <w:sz w:val="20"/>
                <w:szCs w:val="20"/>
                <w:color w:val="auto"/>
              </w:rPr>
            </w:pPr>
            <w:r>
              <w:rPr>
                <w:rFonts w:ascii="Arial" w:cs="Arial" w:eastAsia="Arial" w:hAnsi="Arial"/>
                <w:sz w:val="14"/>
                <w:szCs w:val="14"/>
                <w:color w:val="auto"/>
              </w:rPr>
              <w:t>Diluted</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7.37</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9"/>
        </w:trPr>
        <w:tc>
          <w:tcPr>
            <w:tcW w:w="6420" w:type="dxa"/>
            <w:vAlign w:val="bottom"/>
            <w:gridSpan w:val="2"/>
          </w:tcPr>
          <w:p>
            <w:pPr>
              <w:ind w:left="680"/>
              <w:spacing w:after="0"/>
              <w:rPr>
                <w:sz w:val="20"/>
                <w:szCs w:val="20"/>
                <w:color w:val="auto"/>
              </w:rPr>
            </w:pPr>
            <w:r>
              <w:rPr>
                <w:rFonts w:ascii="Arial" w:cs="Arial" w:eastAsia="Arial" w:hAnsi="Arial"/>
                <w:sz w:val="12"/>
                <w:szCs w:val="12"/>
                <w:color w:val="auto"/>
              </w:rPr>
              <w:t>140</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72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Cash Flows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70"/>
              <w:spacing w:after="0" w:line="96" w:lineRule="exact"/>
              <w:rPr>
                <w:sz w:val="20"/>
                <w:szCs w:val="20"/>
                <w:color w:val="auto"/>
              </w:rPr>
            </w:pPr>
            <w:r>
              <w:rPr>
                <w:rFonts w:ascii="Arial" w:cs="Arial" w:eastAsia="Arial" w:hAnsi="Arial"/>
                <w:sz w:val="10"/>
                <w:szCs w:val="10"/>
                <w:b w:val="1"/>
                <w:bCs w:val="1"/>
                <w:color w:val="auto"/>
                <w:w w:val="98"/>
              </w:rPr>
              <w:t>2006</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1"/>
              <w:spacing w:after="0" w:line="96"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654,259</w:t>
            </w: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839,189</w:t>
            </w:r>
          </w:p>
        </w:tc>
        <w:tc>
          <w:tcPr>
            <w:tcW w:w="30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782,183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color w:val="auto"/>
              </w:rPr>
              <w:t>Equity in undistributed income of subsidiaries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(73,994)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(115,420)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(110,720)</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deferred income taxes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color w:val="auto"/>
              </w:rPr>
              <w:t>Net change in accrued income and expense</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(9,170)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(9,787)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(4,378)</w:t>
            </w: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12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583,790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721,611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668,811</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460" w:type="dxa"/>
            <w:vAlign w:val="bottom"/>
            <w:gridSpan w:val="2"/>
          </w:tcPr>
          <w:p>
            <w:pPr>
              <w:ind w:left="680"/>
              <w:spacing w:after="0"/>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investment securities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Proceeds from maturities of investment securities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17,505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15,975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Purchases of investment securities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(29,492)</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(18,967)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(19,893)</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Acquisitions, net of cash acquired</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Banks and bank holding companies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Investment in Bayview Lending Group LLC</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(300,000)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(959)</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(2,221)</w:t>
            </w: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color w:val="auto"/>
              </w:rPr>
              <w:t>Net cash provided (used) by investing activities</w:t>
            </w:r>
          </w:p>
        </w:tc>
        <w:tc>
          <w:tcPr>
            <w:tcW w:w="1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(283,937)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299,895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Payments on long-term borrowings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(200,000)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(508,404)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(373,860)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(509,609)</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 common</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(281,900)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(249,817)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(198,619)</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Other, net</w:t>
            </w: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93,847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108,454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by financing activities</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(615,410)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(529,830)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(599,774)</w:t>
            </w:r>
          </w:p>
        </w:tc>
        <w:tc>
          <w:tcPr>
            <w:tcW w:w="820" w:type="dxa"/>
            <w:vAlign w:val="bottom"/>
          </w:tcPr>
          <w:p>
            <w:pPr>
              <w:spacing w:after="0"/>
              <w:rPr>
                <w:sz w:val="14"/>
                <w:szCs w:val="14"/>
                <w:color w:val="auto"/>
              </w:rPr>
            </w:pPr>
          </w:p>
        </w:tc>
      </w:tr>
      <w:tr>
        <w:trPr>
          <w:trHeight w:val="163"/>
        </w:trPr>
        <w:tc>
          <w:tcPr>
            <w:tcW w:w="6460" w:type="dxa"/>
            <w:vAlign w:val="bottom"/>
            <w:gridSpan w:val="2"/>
          </w:tcPr>
          <w:p>
            <w:pPr>
              <w:ind w:left="680"/>
              <w:spacing w:after="0"/>
              <w:rPr>
                <w:sz w:val="20"/>
                <w:szCs w:val="20"/>
                <w:color w:val="auto"/>
              </w:rPr>
            </w:pPr>
            <w:r>
              <w:rPr>
                <w:rFonts w:ascii="Arial" w:cs="Arial" w:eastAsia="Arial" w:hAnsi="Arial"/>
                <w:sz w:val="14"/>
                <w:szCs w:val="14"/>
                <w:color w:val="auto"/>
              </w:rPr>
              <w:t>Net increase (decrease) in cash and cash equivalents</w:t>
            </w:r>
          </w:p>
        </w:tc>
        <w:tc>
          <w:tcPr>
            <w:tcW w:w="1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(315,557)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202,190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75,746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year</w:t>
            </w:r>
          </w:p>
        </w:tc>
        <w:tc>
          <w:tcPr>
            <w:tcW w:w="1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421,808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219,618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143,872</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6460" w:type="dxa"/>
            <w:vAlign w:val="bottom"/>
            <w:gridSpan w:val="2"/>
          </w:tcPr>
          <w:p>
            <w:pPr>
              <w:ind w:left="680"/>
              <w:spacing w:after="0"/>
              <w:rPr>
                <w:sz w:val="20"/>
                <w:szCs w:val="20"/>
                <w:color w:val="auto"/>
              </w:rPr>
            </w:pPr>
            <w:r>
              <w:rPr>
                <w:rFonts w:ascii="Arial" w:cs="Arial" w:eastAsia="Arial" w:hAnsi="Arial"/>
                <w:sz w:val="14"/>
                <w:szCs w:val="14"/>
                <w:color w:val="auto"/>
              </w:rPr>
              <w:t>Cash and cash equivalents at end of year</w:t>
            </w:r>
          </w:p>
        </w:tc>
        <w:tc>
          <w:tcPr>
            <w:tcW w:w="12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219,618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70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Interest received during the year</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16,708</w:t>
            </w: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15,538</w:t>
            </w:r>
          </w:p>
        </w:tc>
        <w:tc>
          <w:tcPr>
            <w:tcW w:w="30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10,434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Interest paid during the year</w:t>
            </w: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75,932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65,376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Income taxes received during the year</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39,264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43,920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40,691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9"/>
        </w:trPr>
        <w:tc>
          <w:tcPr>
            <w:tcW w:w="7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141</w:t>
            </w: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7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9" w:lineRule="exact"/>
        <w:rPr>
          <w:sz w:val="20"/>
          <w:szCs w:val="20"/>
          <w:color w:val="auto"/>
        </w:rPr>
      </w:pPr>
    </w:p>
    <w:p>
      <w:pPr>
        <w:ind w:left="680" w:right="100" w:firstLine="604"/>
        <w:spacing w:after="0" w:line="244" w:lineRule="auto"/>
        <w:tabs>
          <w:tab w:leader="none" w:pos="1471" w:val="left"/>
        </w:tabs>
        <w:numPr>
          <w:ilvl w:val="0"/>
          <w:numId w:val="48"/>
        </w:numPr>
        <w:rPr>
          <w:rFonts w:ascii="Arial" w:cs="Arial" w:eastAsia="Arial" w:hAnsi="Arial"/>
          <w:sz w:val="14"/>
          <w:szCs w:val="14"/>
          <w:color w:val="auto"/>
        </w:rPr>
      </w:pPr>
      <w:r>
        <w:rPr>
          <w:rFonts w:ascii="Arial" w:cs="Arial" w:eastAsia="Arial" w:hAnsi="Arial"/>
          <w:sz w:val="14"/>
          <w:szCs w:val="14"/>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believe that M&amp;T’s disclosure controls and procedures were effective as of December 31, 2007.</w:t>
      </w:r>
    </w:p>
    <w:p>
      <w:pPr>
        <w:spacing w:after="0" w:line="1" w:lineRule="exact"/>
        <w:rPr>
          <w:rFonts w:ascii="Arial" w:cs="Arial" w:eastAsia="Arial" w:hAnsi="Arial"/>
          <w:sz w:val="14"/>
          <w:szCs w:val="14"/>
          <w:color w:val="auto"/>
        </w:rPr>
      </w:pPr>
    </w:p>
    <w:p>
      <w:pPr>
        <w:ind w:left="680" w:right="200" w:firstLine="604"/>
        <w:spacing w:after="0" w:line="244" w:lineRule="auto"/>
        <w:tabs>
          <w:tab w:leader="none" w:pos="1479"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Management’s annual report on internal control over financial reporting. Included under the heading “Report on Internal Control Over Financial Reporting” at Item 8 of this Annual Report on Form 10-K.</w:t>
      </w:r>
    </w:p>
    <w:p>
      <w:pPr>
        <w:ind w:left="680" w:right="140" w:firstLine="604"/>
        <w:spacing w:after="0" w:line="244" w:lineRule="auto"/>
        <w:tabs>
          <w:tab w:leader="none" w:pos="1464" w:val="left"/>
        </w:tabs>
        <w:numPr>
          <w:ilvl w:val="0"/>
          <w:numId w:val="48"/>
        </w:numPr>
        <w:rPr>
          <w:rFonts w:ascii="Arial" w:cs="Arial" w:eastAsia="Arial" w:hAnsi="Arial"/>
          <w:sz w:val="14"/>
          <w:szCs w:val="14"/>
          <w:color w:val="auto"/>
        </w:rPr>
      </w:pPr>
      <w:r>
        <w:rPr>
          <w:rFonts w:ascii="Arial" w:cs="Arial" w:eastAsia="Arial" w:hAnsi="Arial"/>
          <w:sz w:val="14"/>
          <w:szCs w:val="14"/>
          <w:color w:val="auto"/>
        </w:rPr>
        <w:t>Attestation report of the registered public accounting firm. Included under the heading “Report of Independent Registered Public Accounting Firm” at Item 8 of this Annual Report on Form 10-K.</w:t>
      </w:r>
    </w:p>
    <w:p>
      <w:pPr>
        <w:ind w:left="680" w:firstLine="604"/>
        <w:spacing w:after="0" w:line="248" w:lineRule="auto"/>
        <w:tabs>
          <w:tab w:leader="none" w:pos="1479"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2007 that have materially affected, or are reasonably likely to materially affect, M&amp;T’s internal control over financial reporting.</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III</w:t>
      </w:r>
    </w:p>
    <w:p>
      <w:pPr>
        <w:spacing w:after="0" w:line="15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94" w:lineRule="exact"/>
        <w:rPr>
          <w:sz w:val="20"/>
          <w:szCs w:val="20"/>
          <w:color w:val="auto"/>
        </w:rPr>
      </w:pPr>
    </w:p>
    <w:p>
      <w:pPr>
        <w:ind w:left="680" w:right="400"/>
        <w:spacing w:after="0" w:line="272" w:lineRule="auto"/>
        <w:rPr>
          <w:sz w:val="20"/>
          <w:szCs w:val="20"/>
          <w:color w:val="auto"/>
        </w:rPr>
      </w:pPr>
      <w:r>
        <w:rPr>
          <w:rFonts w:ascii="Arial" w:cs="Arial" w:eastAsia="Arial" w:hAnsi="Arial"/>
          <w:sz w:val="13"/>
          <w:szCs w:val="13"/>
          <w:color w:val="auto"/>
        </w:rPr>
        <w:t>The identification of the Registrant’s directors is incorporated by reference to the caption “NOMINEES FOR DIRECTOR” contained in the Registrant’s definitive Proxy Statement for its 2008 Annual Meeting of Stockholders, which will be filed with the Securities and Exchange Commission on or about March 6, 2008.</w:t>
      </w:r>
    </w:p>
    <w:p>
      <w:pPr>
        <w:spacing w:after="0" w:line="1" w:lineRule="exact"/>
        <w:rPr>
          <w:sz w:val="20"/>
          <w:szCs w:val="20"/>
          <w:color w:val="auto"/>
        </w:rPr>
      </w:pPr>
    </w:p>
    <w:p>
      <w:pPr>
        <w:ind w:left="680" w:right="400" w:firstLine="599"/>
        <w:spacing w:after="0" w:line="244" w:lineRule="auto"/>
        <w:rPr>
          <w:sz w:val="20"/>
          <w:szCs w:val="20"/>
          <w:color w:val="auto"/>
        </w:rPr>
      </w:pPr>
      <w:r>
        <w:rPr>
          <w:rFonts w:ascii="Arial" w:cs="Arial" w:eastAsia="Arial" w:hAnsi="Arial"/>
          <w:sz w:val="14"/>
          <w:szCs w:val="14"/>
          <w:color w:val="auto"/>
        </w:rPr>
        <w:t>The identification of the Registrant’s executive officers is presented under the caption “Executive Officers of the Registrant” contained in Part I of this Annual Report on Form 10-K.</w:t>
      </w:r>
    </w:p>
    <w:p>
      <w:pPr>
        <w:spacing w:after="0" w:line="1" w:lineRule="exact"/>
        <w:rPr>
          <w:sz w:val="20"/>
          <w:szCs w:val="20"/>
          <w:color w:val="auto"/>
        </w:rPr>
      </w:pPr>
    </w:p>
    <w:p>
      <w:pPr>
        <w:ind w:left="680" w:right="100" w:firstLine="599"/>
        <w:spacing w:after="0" w:line="244" w:lineRule="auto"/>
        <w:rPr>
          <w:sz w:val="20"/>
          <w:szCs w:val="20"/>
          <w:color w:val="auto"/>
        </w:rPr>
      </w:pPr>
      <w:r>
        <w:rPr>
          <w:rFonts w:ascii="Arial" w:cs="Arial" w:eastAsia="Arial" w:hAnsi="Arial"/>
          <w:sz w:val="14"/>
          <w:szCs w:val="14"/>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2008 Annual Meeting of Stockholders which will be filed with the Securities and Exchange Commission on or about March 6, 2008.</w:t>
      </w:r>
    </w:p>
    <w:p>
      <w:pPr>
        <w:spacing w:after="0" w:line="1" w:lineRule="exact"/>
        <w:rPr>
          <w:sz w:val="20"/>
          <w:szCs w:val="20"/>
          <w:color w:val="auto"/>
        </w:rPr>
      </w:pPr>
    </w:p>
    <w:p>
      <w:pPr>
        <w:ind w:left="680" w:right="140" w:firstLine="599"/>
        <w:spacing w:after="0" w:line="248" w:lineRule="auto"/>
        <w:rPr>
          <w:sz w:val="20"/>
          <w:szCs w:val="20"/>
          <w:color w:val="auto"/>
        </w:rPr>
      </w:pPr>
      <w:r>
        <w:rPr>
          <w:rFonts w:ascii="Arial" w:cs="Arial" w:eastAsia="Arial" w:hAnsi="Arial"/>
          <w:sz w:val="14"/>
          <w:szCs w:val="14"/>
          <w:color w:val="auto"/>
        </w:rPr>
        <w:t>The other information required by Item 10 is incorporated by reference to the captions “CORPORATE GOVERNANCE OF M&amp;T BANK CORPORATION,” “BOARD OF DIRECTORS, COMMITTEES OF THE BOARD AND ATTENDANCE” and “CODES OF BUSINESS CONDUCT AND ETHICS” contained in the Registrant’s definitive Proxy Statement for its 2008 Annual Meeting of Stockholders, which will be filed with the Securities and Exchange Commission on or about March 6, 2008.</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4" w:lineRule="exact"/>
        <w:rPr>
          <w:sz w:val="20"/>
          <w:szCs w:val="20"/>
          <w:color w:val="auto"/>
        </w:rPr>
      </w:pPr>
    </w:p>
    <w:p>
      <w:pPr>
        <w:ind w:left="680" w:right="160"/>
        <w:spacing w:after="0" w:line="272" w:lineRule="auto"/>
        <w:rPr>
          <w:sz w:val="20"/>
          <w:szCs w:val="20"/>
          <w:color w:val="auto"/>
        </w:rPr>
      </w:pPr>
      <w:r>
        <w:rPr>
          <w:rFonts w:ascii="Arial" w:cs="Arial" w:eastAsia="Arial" w:hAnsi="Arial"/>
          <w:sz w:val="14"/>
          <w:szCs w:val="14"/>
          <w:color w:val="auto"/>
        </w:rPr>
        <w:t>Incorporated by reference to the caption “COMPENSATION OF EXECUTIVE OFFICERS AND DIRECTORS” contained in the Registrant’s definitive Proxy Statement for its 2008 Annual Meeting of Stockholders, which will be filed with the Securities and Exchange Commission on or about March 6, 2008.</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680" w:right="420"/>
        <w:spacing w:after="0" w:line="250" w:lineRule="auto"/>
        <w:rPr>
          <w:sz w:val="20"/>
          <w:szCs w:val="20"/>
          <w:color w:val="auto"/>
        </w:rPr>
      </w:pPr>
      <w:r>
        <w:rPr>
          <w:rFonts w:ascii="Arial" w:cs="Arial" w:eastAsia="Arial" w:hAnsi="Arial"/>
          <w:sz w:val="14"/>
          <w:szCs w:val="14"/>
          <w:color w:val="auto"/>
        </w:rPr>
        <w:t>Incorporated by reference to the captions “PRINCIPAL BENEFICIAL OWNERS OF SHARES” and “STOCK OWNERSHIP BY DIRECTORS AND EXECUTIVE OFFICERS” contained in the Registrant’s definitive Proxy Statement for its 2008 Annual Meeting of Stockholders, which will be filed with the Securities and Exchange Commission on or about March 6, 2008.</w:t>
      </w:r>
    </w:p>
    <w:p>
      <w:pPr>
        <w:spacing w:after="0" w:line="1" w:lineRule="exact"/>
        <w:rPr>
          <w:sz w:val="20"/>
          <w:szCs w:val="20"/>
          <w:color w:val="auto"/>
        </w:rPr>
      </w:pPr>
    </w:p>
    <w:p>
      <w:pPr>
        <w:ind w:left="680" w:right="440" w:firstLine="599"/>
        <w:spacing w:after="0" w:line="293" w:lineRule="auto"/>
        <w:rPr>
          <w:sz w:val="20"/>
          <w:szCs w:val="20"/>
          <w:color w:val="auto"/>
        </w:rPr>
      </w:pPr>
      <w:r>
        <w:rPr>
          <w:rFonts w:ascii="Arial" w:cs="Arial" w:eastAsia="Arial" w:hAnsi="Arial"/>
          <w:sz w:val="13"/>
          <w:szCs w:val="13"/>
          <w:color w:val="auto"/>
        </w:rPr>
        <w:t>The information required by this item concerning Equity Compensation Plan information is presented under the caption “EQUITY COMPENSATION PLAN INFORMATION” contained in Part II, Item 5. “Market for Registrant’s Common Equity, Related Stockholder Matters and Issuer Purchases of Equity Securities.”</w:t>
      </w:r>
    </w:p>
    <w:p>
      <w:pPr>
        <w:spacing w:after="0" w:line="11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94" w:lineRule="exact"/>
        <w:rPr>
          <w:sz w:val="20"/>
          <w:szCs w:val="20"/>
          <w:color w:val="auto"/>
        </w:rPr>
      </w:pPr>
    </w:p>
    <w:p>
      <w:pPr>
        <w:ind w:left="680" w:right="260"/>
        <w:spacing w:after="0" w:line="258" w:lineRule="auto"/>
        <w:rPr>
          <w:sz w:val="20"/>
          <w:szCs w:val="20"/>
          <w:color w:val="auto"/>
        </w:rPr>
      </w:pPr>
      <w:r>
        <w:rPr>
          <w:rFonts w:ascii="Arial" w:cs="Arial" w:eastAsia="Arial" w:hAnsi="Arial"/>
          <w:sz w:val="14"/>
          <w:szCs w:val="14"/>
          <w:color w:val="auto"/>
        </w:rPr>
        <w:t>Incorporated by reference to the captions “TRANSACTIONS WITH DIRECTORS AND EXECUTIVE OFFICERS” and “BOARD OF DIRECTORS, COMMITTEES OF THE BOARD AND ATTENDANCE” contained in the Registrant’s definitive Proxy Statement for its 2008 Annual Meeting of Stockholders, which will be filed with the Securities and Exchange Commission on or about March 6, 2008.</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94" w:lineRule="exact"/>
        <w:rPr>
          <w:sz w:val="20"/>
          <w:szCs w:val="20"/>
          <w:color w:val="auto"/>
        </w:rPr>
      </w:pPr>
    </w:p>
    <w:p>
      <w:pPr>
        <w:ind w:left="680"/>
        <w:spacing w:after="0" w:line="258" w:lineRule="auto"/>
        <w:rPr>
          <w:sz w:val="20"/>
          <w:szCs w:val="20"/>
          <w:color w:val="auto"/>
        </w:rPr>
      </w:pPr>
      <w:r>
        <w:rPr>
          <w:rFonts w:ascii="Arial" w:cs="Arial" w:eastAsia="Arial" w:hAnsi="Arial"/>
          <w:sz w:val="14"/>
          <w:szCs w:val="14"/>
          <w:color w:val="auto"/>
        </w:rPr>
        <w:t>Incorporated by reference to the caption “PROPOSAL TO RATIFY THE APPOINTMENT OF PRICEWATERHOUSECOOPERS LLP AS THE INDEPENDENT PUBLIC ACCOUNTANT OF M&amp;T BANK CORPORATION” contained in the Registrant’s definitive Proxy Statement for its 2008 Annual Meeting of Stockholders, which will be filed with the Securities and Exchange Commission on or about March 6, 2008.</w:t>
      </w:r>
    </w:p>
    <w:p>
      <w:pPr>
        <w:spacing w:after="0" w:line="21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IV</w:t>
      </w:r>
    </w:p>
    <w:p>
      <w:pPr>
        <w:spacing w:after="0" w:line="16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9" w:lineRule="exact"/>
        <w:rPr>
          <w:sz w:val="20"/>
          <w:szCs w:val="20"/>
          <w:color w:val="auto"/>
        </w:rPr>
      </w:pPr>
    </w:p>
    <w:p>
      <w:pPr>
        <w:ind w:left="680" w:right="620" w:firstLine="604"/>
        <w:spacing w:after="0" w:line="244" w:lineRule="auto"/>
        <w:tabs>
          <w:tab w:leader="none" w:pos="1471"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left="680" w:right="220" w:firstLine="604"/>
        <w:spacing w:after="0" w:line="244" w:lineRule="auto"/>
        <w:tabs>
          <w:tab w:leader="none" w:pos="1479"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Exhibits required by Item 601 of Regulation S-K. The exhibits listed on the Exhibit Index of this Annual Report on Form 10-K have been previously filed, are filed herewith or are incorporated herein by reference to other filings.</w:t>
      </w:r>
    </w:p>
    <w:p>
      <w:pPr>
        <w:ind w:left="1460" w:hanging="176"/>
        <w:spacing w:after="0"/>
        <w:tabs>
          <w:tab w:leader="none" w:pos="1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Additional financial statement schedules. None.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left="680" w:right="1440"/>
        <w:spacing w:after="0" w:line="27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the 21st day of February, 2008.</w:t>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580" w:type="dxa"/>
        <w:tblCellMar>
          <w:top w:w="0" w:type="dxa"/>
          <w:left w:w="0" w:type="dxa"/>
          <w:bottom w:w="0" w:type="dxa"/>
          <w:right w:w="0" w:type="dxa"/>
        </w:tblCellMar>
      </w:tblPr>
      <w:tr>
        <w:trPr>
          <w:trHeight w:val="183"/>
        </w:trPr>
        <w:tc>
          <w:tcPr>
            <w:tcW w:w="400" w:type="dxa"/>
            <w:vAlign w:val="bottom"/>
          </w:tcPr>
          <w:p>
            <w:pPr>
              <w:spacing w:after="0"/>
              <w:rPr>
                <w:sz w:val="20"/>
                <w:szCs w:val="20"/>
                <w:color w:val="auto"/>
              </w:rPr>
            </w:pPr>
            <w:r>
              <w:rPr>
                <w:rFonts w:ascii="Arial" w:cs="Arial" w:eastAsia="Arial" w:hAnsi="Arial"/>
                <w:sz w:val="14"/>
                <w:szCs w:val="14"/>
                <w:color w:val="auto"/>
              </w:rPr>
              <w:t>By:</w:t>
            </w:r>
          </w:p>
        </w:tc>
        <w:tc>
          <w:tcPr>
            <w:tcW w:w="5560" w:type="dxa"/>
            <w:vAlign w:val="bottom"/>
            <w:tcBorders>
              <w:bottom w:val="single" w:sz="8" w:color="auto"/>
            </w:tcBorders>
          </w:tcPr>
          <w:p>
            <w:pPr>
              <w:jc w:val="center"/>
              <w:ind w:right="789"/>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09"/>
              <w:spacing w:after="0" w:line="144" w:lineRule="exact"/>
              <w:rPr>
                <w:sz w:val="20"/>
                <w:szCs w:val="20"/>
                <w:color w:val="auto"/>
              </w:rPr>
            </w:pPr>
            <w:r>
              <w:rPr>
                <w:rFonts w:ascii="Arial" w:cs="Arial" w:eastAsia="Arial" w:hAnsi="Arial"/>
                <w:sz w:val="14"/>
                <w:szCs w:val="14"/>
                <w:color w:val="auto"/>
                <w:w w:val="93"/>
              </w:rPr>
              <w:t>Robert G. Wilmers</w:t>
            </w:r>
          </w:p>
        </w:tc>
      </w:tr>
      <w:tr>
        <w:trPr>
          <w:trHeight w:val="164"/>
        </w:trPr>
        <w:tc>
          <w:tcPr>
            <w:tcW w:w="400" w:type="dxa"/>
            <w:vAlign w:val="bottom"/>
          </w:tcPr>
          <w:p>
            <w:pPr>
              <w:spacing w:after="0"/>
              <w:rPr>
                <w:sz w:val="14"/>
                <w:szCs w:val="14"/>
                <w:color w:val="auto"/>
              </w:rPr>
            </w:pPr>
          </w:p>
        </w:tc>
        <w:tc>
          <w:tcPr>
            <w:tcW w:w="5560" w:type="dxa"/>
            <w:vAlign w:val="bottom"/>
          </w:tcPr>
          <w:p>
            <w:pPr>
              <w:jc w:val="center"/>
              <w:ind w:right="809"/>
              <w:spacing w:after="0"/>
              <w:rPr>
                <w:sz w:val="20"/>
                <w:szCs w:val="20"/>
                <w:color w:val="auto"/>
              </w:rPr>
            </w:pPr>
            <w:r>
              <w:rPr>
                <w:rFonts w:ascii="Arial" w:cs="Arial" w:eastAsia="Arial" w:hAnsi="Arial"/>
                <w:sz w:val="14"/>
                <w:szCs w:val="14"/>
                <w:i w:val="1"/>
                <w:iCs w:val="1"/>
                <w:color w:val="auto"/>
                <w:w w:val="92"/>
              </w:rPr>
              <w:t>Chairman of the Board and</w:t>
            </w:r>
          </w:p>
        </w:tc>
      </w:tr>
      <w:tr>
        <w:trPr>
          <w:trHeight w:val="180"/>
        </w:trPr>
        <w:tc>
          <w:tcPr>
            <w:tcW w:w="400" w:type="dxa"/>
            <w:vAlign w:val="bottom"/>
          </w:tcPr>
          <w:p>
            <w:pPr>
              <w:spacing w:after="0"/>
              <w:rPr>
                <w:sz w:val="15"/>
                <w:szCs w:val="15"/>
                <w:color w:val="auto"/>
              </w:rPr>
            </w:pPr>
          </w:p>
        </w:tc>
        <w:tc>
          <w:tcPr>
            <w:tcW w:w="5560" w:type="dxa"/>
            <w:vAlign w:val="bottom"/>
          </w:tcPr>
          <w:p>
            <w:pPr>
              <w:jc w:val="center"/>
              <w:ind w:right="809"/>
              <w:spacing w:after="0"/>
              <w:rPr>
                <w:sz w:val="20"/>
                <w:szCs w:val="20"/>
                <w:color w:val="auto"/>
              </w:rPr>
            </w:pPr>
            <w:r>
              <w:rPr>
                <w:rFonts w:ascii="Arial" w:cs="Arial" w:eastAsia="Arial" w:hAnsi="Arial"/>
                <w:sz w:val="14"/>
                <w:szCs w:val="14"/>
                <w:i w:val="1"/>
                <w:iCs w:val="1"/>
                <w:color w:val="auto"/>
                <w:w w:val="92"/>
              </w:rPr>
              <w:t>Chief Executive Officer</w:t>
            </w:r>
          </w:p>
        </w:tc>
      </w:tr>
    </w:tbl>
    <w:p>
      <w:pPr>
        <w:spacing w:after="0" w:line="302" w:lineRule="exact"/>
        <w:rPr>
          <w:sz w:val="20"/>
          <w:szCs w:val="20"/>
          <w:color w:val="auto"/>
        </w:rPr>
      </w:pPr>
    </w:p>
    <w:p>
      <w:pPr>
        <w:ind w:left="680" w:right="1040" w:firstLine="599"/>
        <w:spacing w:after="0" w:line="272"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5" w:lineRule="exact"/>
        <w:rPr>
          <w:sz w:val="20"/>
          <w:szCs w:val="20"/>
          <w:color w:val="auto"/>
        </w:rPr>
      </w:pPr>
    </w:p>
    <w:p>
      <w:pPr>
        <w:ind w:left="2720"/>
        <w:spacing w:after="0"/>
        <w:tabs>
          <w:tab w:leader="none" w:pos="6800" w:val="left"/>
          <w:tab w:leader="none" w:pos="97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6199505</wp:posOffset>
            </wp:positionH>
            <wp:positionV relativeFrom="paragraph">
              <wp:posOffset>11430</wp:posOffset>
            </wp:positionV>
            <wp:extent cx="63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9" w:lineRule="exact"/>
        <w:rPr>
          <w:sz w:val="20"/>
          <w:szCs w:val="20"/>
          <w:color w:val="auto"/>
        </w:rPr>
      </w:pPr>
    </w:p>
    <w:tbl>
      <w:tblPr>
        <w:tblLayout w:type="fixed"/>
        <w:tblInd w:w="680" w:type="dxa"/>
        <w:tblCellMar>
          <w:top w:w="0" w:type="dxa"/>
          <w:left w:w="0" w:type="dxa"/>
          <w:bottom w:w="0" w:type="dxa"/>
          <w:right w:w="0" w:type="dxa"/>
        </w:tblCellMar>
      </w:tblPr>
      <w:tr>
        <w:trPr>
          <w:trHeight w:val="180"/>
        </w:trPr>
        <w:tc>
          <w:tcPr>
            <w:tcW w:w="4120" w:type="dxa"/>
            <w:vAlign w:val="bottom"/>
            <w:gridSpan w:val="2"/>
          </w:tcPr>
          <w:p>
            <w:pPr>
              <w:spacing w:after="0"/>
              <w:rPr>
                <w:sz w:val="20"/>
                <w:szCs w:val="20"/>
                <w:color w:val="auto"/>
              </w:rPr>
            </w:pPr>
            <w:r>
              <w:rPr>
                <w:rFonts w:ascii="Arial" w:cs="Arial" w:eastAsia="Arial" w:hAnsi="Arial"/>
                <w:sz w:val="14"/>
                <w:szCs w:val="14"/>
                <w:color w:val="auto"/>
              </w:rPr>
              <w:t>Principal Executive Officer:</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05"/>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3840" w:type="dxa"/>
            <w:vAlign w:val="bottom"/>
          </w:tcPr>
          <w:p>
            <w:pPr>
              <w:jc w:val="center"/>
              <w:ind w:left="109"/>
              <w:spacing w:after="0"/>
              <w:rPr>
                <w:sz w:val="20"/>
                <w:szCs w:val="20"/>
                <w:color w:val="auto"/>
              </w:rPr>
            </w:pPr>
            <w:r>
              <w:rPr>
                <w:rFonts w:ascii="Arial" w:cs="Arial" w:eastAsia="Arial" w:hAnsi="Arial"/>
                <w:sz w:val="14"/>
                <w:szCs w:val="14"/>
                <w:color w:val="auto"/>
                <w:w w:val="91"/>
              </w:rPr>
              <w:t>Chairman of the Board and</w:t>
            </w: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80"/>
        </w:trPr>
        <w:tc>
          <w:tcPr>
            <w:tcW w:w="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3"/>
              </w:rPr>
              <w:t>Robert G. Wilmers</w:t>
            </w:r>
          </w:p>
        </w:tc>
        <w:tc>
          <w:tcPr>
            <w:tcW w:w="3840" w:type="dxa"/>
            <w:vAlign w:val="bottom"/>
          </w:tcPr>
          <w:p>
            <w:pPr>
              <w:jc w:val="center"/>
              <w:ind w:left="149"/>
              <w:spacing w:after="0" w:line="158" w:lineRule="exact"/>
              <w:rPr>
                <w:sz w:val="20"/>
                <w:szCs w:val="20"/>
                <w:color w:val="auto"/>
              </w:rPr>
            </w:pPr>
            <w:r>
              <w:rPr>
                <w:rFonts w:ascii="Arial" w:cs="Arial" w:eastAsia="Arial" w:hAnsi="Arial"/>
                <w:sz w:val="14"/>
                <w:szCs w:val="14"/>
                <w:color w:val="auto"/>
                <w:w w:val="94"/>
              </w:rPr>
              <w:t>Chief Executive Officer</w:t>
            </w:r>
          </w:p>
        </w:tc>
        <w:tc>
          <w:tcPr>
            <w:tcW w:w="2020" w:type="dxa"/>
            <w:vAlign w:val="bottom"/>
          </w:tcPr>
          <w:p>
            <w:pPr>
              <w:spacing w:after="0"/>
              <w:rPr>
                <w:sz w:val="15"/>
                <w:szCs w:val="15"/>
                <w:color w:val="auto"/>
              </w:rPr>
            </w:pPr>
          </w:p>
        </w:tc>
      </w:tr>
      <w:tr>
        <w:trPr>
          <w:trHeight w:val="306"/>
        </w:trPr>
        <w:tc>
          <w:tcPr>
            <w:tcW w:w="4120" w:type="dxa"/>
            <w:vAlign w:val="bottom"/>
            <w:gridSpan w:val="2"/>
          </w:tcPr>
          <w:p>
            <w:pPr>
              <w:spacing w:after="0"/>
              <w:rPr>
                <w:sz w:val="20"/>
                <w:szCs w:val="20"/>
                <w:color w:val="auto"/>
              </w:rPr>
            </w:pPr>
            <w:r>
              <w:rPr>
                <w:rFonts w:ascii="Arial" w:cs="Arial" w:eastAsia="Arial" w:hAnsi="Arial"/>
                <w:sz w:val="14"/>
                <w:szCs w:val="14"/>
                <w:color w:val="auto"/>
              </w:rPr>
              <w:t>Principal Financial Officer:</w:t>
            </w:r>
          </w:p>
        </w:tc>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R</w:t>
            </w:r>
            <w:r>
              <w:rPr>
                <w:rFonts w:ascii="Arial" w:cs="Arial" w:eastAsia="Arial" w:hAnsi="Arial"/>
                <w:sz w:val="9"/>
                <w:szCs w:val="9"/>
                <w:color w:val="auto"/>
                <w:w w:val="95"/>
              </w:rPr>
              <w:t>ENÉ</w:t>
            </w:r>
            <w:r>
              <w:rPr>
                <w:rFonts w:ascii="Arial" w:cs="Arial" w:eastAsia="Arial" w:hAnsi="Arial"/>
                <w:sz w:val="14"/>
                <w:szCs w:val="14"/>
                <w:color w:val="auto"/>
                <w:w w:val="95"/>
              </w:rPr>
              <w:t xml:space="preserve"> F. J</w:t>
            </w:r>
            <w:r>
              <w:rPr>
                <w:rFonts w:ascii="Arial" w:cs="Arial" w:eastAsia="Arial" w:hAnsi="Arial"/>
                <w:sz w:val="9"/>
                <w:szCs w:val="9"/>
                <w:color w:val="auto"/>
                <w:w w:val="95"/>
              </w:rPr>
              <w:t>ONES</w:t>
            </w:r>
          </w:p>
        </w:tc>
        <w:tc>
          <w:tcPr>
            <w:tcW w:w="3840" w:type="dxa"/>
            <w:vAlign w:val="bottom"/>
          </w:tcPr>
          <w:p>
            <w:pPr>
              <w:jc w:val="center"/>
              <w:ind w:left="109"/>
              <w:spacing w:after="0"/>
              <w:rPr>
                <w:sz w:val="20"/>
                <w:szCs w:val="20"/>
                <w:color w:val="auto"/>
              </w:rPr>
            </w:pPr>
            <w:r>
              <w:rPr>
                <w:rFonts w:ascii="Arial" w:cs="Arial" w:eastAsia="Arial" w:hAnsi="Arial"/>
                <w:sz w:val="14"/>
                <w:szCs w:val="14"/>
                <w:color w:val="auto"/>
                <w:w w:val="91"/>
              </w:rPr>
              <w:t>Executive Vice President and</w:t>
            </w: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80"/>
        </w:trPr>
        <w:tc>
          <w:tcPr>
            <w:tcW w:w="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5"/>
              </w:rPr>
              <w:t>René F. Jones</w:t>
            </w:r>
          </w:p>
        </w:tc>
        <w:tc>
          <w:tcPr>
            <w:tcW w:w="3840" w:type="dxa"/>
            <w:vAlign w:val="bottom"/>
          </w:tcPr>
          <w:p>
            <w:pPr>
              <w:jc w:val="center"/>
              <w:ind w:left="149"/>
              <w:spacing w:after="0" w:line="158" w:lineRule="exact"/>
              <w:rPr>
                <w:sz w:val="20"/>
                <w:szCs w:val="20"/>
                <w:color w:val="auto"/>
              </w:rPr>
            </w:pPr>
            <w:r>
              <w:rPr>
                <w:rFonts w:ascii="Arial" w:cs="Arial" w:eastAsia="Arial" w:hAnsi="Arial"/>
                <w:sz w:val="14"/>
                <w:szCs w:val="14"/>
                <w:color w:val="auto"/>
                <w:w w:val="94"/>
              </w:rPr>
              <w:t>Chief Financial Officer</w:t>
            </w:r>
          </w:p>
        </w:tc>
        <w:tc>
          <w:tcPr>
            <w:tcW w:w="2020" w:type="dxa"/>
            <w:vAlign w:val="bottom"/>
          </w:tcPr>
          <w:p>
            <w:pPr>
              <w:spacing w:after="0"/>
              <w:rPr>
                <w:sz w:val="15"/>
                <w:szCs w:val="15"/>
                <w:color w:val="auto"/>
              </w:rPr>
            </w:pPr>
          </w:p>
        </w:tc>
      </w:tr>
      <w:tr>
        <w:trPr>
          <w:trHeight w:val="306"/>
        </w:trPr>
        <w:tc>
          <w:tcPr>
            <w:tcW w:w="4120" w:type="dxa"/>
            <w:vAlign w:val="bottom"/>
            <w:gridSpan w:val="2"/>
          </w:tcPr>
          <w:p>
            <w:pPr>
              <w:spacing w:after="0"/>
              <w:rPr>
                <w:sz w:val="20"/>
                <w:szCs w:val="20"/>
                <w:color w:val="auto"/>
              </w:rPr>
            </w:pPr>
            <w:r>
              <w:rPr>
                <w:rFonts w:ascii="Arial" w:cs="Arial" w:eastAsia="Arial" w:hAnsi="Arial"/>
                <w:sz w:val="14"/>
                <w:szCs w:val="14"/>
                <w:color w:val="auto"/>
              </w:rPr>
              <w:t>Principal Accounting Officer:</w:t>
            </w:r>
          </w:p>
        </w:tc>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R. S</w:t>
            </w:r>
            <w:r>
              <w:rPr>
                <w:rFonts w:ascii="Arial" w:cs="Arial" w:eastAsia="Arial" w:hAnsi="Arial"/>
                <w:sz w:val="9"/>
                <w:szCs w:val="9"/>
                <w:color w:val="auto"/>
              </w:rPr>
              <w:t>PYCHALA</w:t>
            </w:r>
          </w:p>
        </w:tc>
        <w:tc>
          <w:tcPr>
            <w:tcW w:w="3840" w:type="dxa"/>
            <w:vAlign w:val="bottom"/>
          </w:tcPr>
          <w:p>
            <w:pPr>
              <w:jc w:val="center"/>
              <w:ind w:left="109"/>
              <w:spacing w:after="0"/>
              <w:rPr>
                <w:sz w:val="20"/>
                <w:szCs w:val="20"/>
                <w:color w:val="auto"/>
              </w:rPr>
            </w:pPr>
            <w:r>
              <w:rPr>
                <w:rFonts w:ascii="Arial" w:cs="Arial" w:eastAsia="Arial" w:hAnsi="Arial"/>
                <w:sz w:val="14"/>
                <w:szCs w:val="14"/>
                <w:color w:val="auto"/>
                <w:w w:val="90"/>
              </w:rPr>
              <w:t>Senior Vice President and</w:t>
            </w: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80"/>
        </w:trPr>
        <w:tc>
          <w:tcPr>
            <w:tcW w:w="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2"/>
              </w:rPr>
              <w:t>Michael R. Spychala</w:t>
            </w:r>
          </w:p>
        </w:tc>
        <w:tc>
          <w:tcPr>
            <w:tcW w:w="3840" w:type="dxa"/>
            <w:vAlign w:val="bottom"/>
          </w:tcPr>
          <w:p>
            <w:pPr>
              <w:jc w:val="center"/>
              <w:ind w:left="149"/>
              <w:spacing w:after="0" w:line="158" w:lineRule="exact"/>
              <w:rPr>
                <w:sz w:val="20"/>
                <w:szCs w:val="20"/>
                <w:color w:val="auto"/>
              </w:rPr>
            </w:pPr>
            <w:r>
              <w:rPr>
                <w:rFonts w:ascii="Arial" w:cs="Arial" w:eastAsia="Arial" w:hAnsi="Arial"/>
                <w:sz w:val="14"/>
                <w:szCs w:val="14"/>
                <w:color w:val="auto"/>
                <w:w w:val="95"/>
              </w:rPr>
              <w:t>Controller</w:t>
            </w:r>
          </w:p>
        </w:tc>
        <w:tc>
          <w:tcPr>
            <w:tcW w:w="2020" w:type="dxa"/>
            <w:vAlign w:val="bottom"/>
          </w:tcPr>
          <w:p>
            <w:pPr>
              <w:spacing w:after="0"/>
              <w:rPr>
                <w:sz w:val="15"/>
                <w:szCs w:val="15"/>
                <w:color w:val="auto"/>
              </w:rPr>
            </w:pPr>
          </w:p>
        </w:tc>
      </w:tr>
      <w:tr>
        <w:trPr>
          <w:trHeight w:val="480"/>
        </w:trPr>
        <w:tc>
          <w:tcPr>
            <w:tcW w:w="4120" w:type="dxa"/>
            <w:vAlign w:val="bottom"/>
            <w:gridSpan w:val="2"/>
          </w:tcPr>
          <w:p>
            <w:pPr>
              <w:spacing w:after="0"/>
              <w:rPr>
                <w:sz w:val="20"/>
                <w:szCs w:val="20"/>
                <w:color w:val="auto"/>
              </w:rPr>
            </w:pPr>
            <w:r>
              <w:rPr>
                <w:rFonts w:ascii="Arial" w:cs="Arial" w:eastAsia="Arial" w:hAnsi="Arial"/>
                <w:sz w:val="14"/>
                <w:szCs w:val="14"/>
                <w:color w:val="auto"/>
              </w:rPr>
              <w:t>A majority of the board of directors:</w:t>
            </w:r>
          </w:p>
        </w:tc>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w:t>
            </w:r>
            <w:r>
              <w:rPr>
                <w:rFonts w:ascii="Arial" w:cs="Arial" w:eastAsia="Arial" w:hAnsi="Arial"/>
                <w:sz w:val="9"/>
                <w:szCs w:val="9"/>
                <w:color w:val="auto"/>
              </w:rPr>
              <w:t>RENT</w:t>
            </w:r>
            <w:r>
              <w:rPr>
                <w:rFonts w:ascii="Arial" w:cs="Arial" w:eastAsia="Arial" w:hAnsi="Arial"/>
                <w:sz w:val="14"/>
                <w:szCs w:val="14"/>
                <w:color w:val="auto"/>
              </w:rPr>
              <w:t xml:space="preserve"> D. B</w:t>
            </w:r>
            <w:r>
              <w:rPr>
                <w:rFonts w:ascii="Arial" w:cs="Arial" w:eastAsia="Arial" w:hAnsi="Arial"/>
                <w:sz w:val="9"/>
                <w:szCs w:val="9"/>
                <w:color w:val="auto"/>
              </w:rPr>
              <w:t>AIRD</w:t>
            </w:r>
          </w:p>
        </w:tc>
        <w:tc>
          <w:tcPr>
            <w:tcW w:w="3840" w:type="dxa"/>
            <w:vAlign w:val="bottom"/>
          </w:tcPr>
          <w:p>
            <w:pPr>
              <w:spacing w:after="0"/>
              <w:rPr>
                <w:sz w:val="24"/>
                <w:szCs w:val="24"/>
                <w:color w:val="auto"/>
              </w:rPr>
            </w:pP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70"/>
        </w:trPr>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5"/>
              </w:rPr>
              <w:t>Brent D. Baird</w:t>
            </w: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J. B</w:t>
            </w:r>
            <w:r>
              <w:rPr>
                <w:rFonts w:ascii="Arial" w:cs="Arial" w:eastAsia="Arial" w:hAnsi="Arial"/>
                <w:sz w:val="9"/>
                <w:szCs w:val="9"/>
                <w:color w:val="auto"/>
              </w:rPr>
              <w:t>ENNETT</w:t>
            </w:r>
          </w:p>
        </w:tc>
        <w:tc>
          <w:tcPr>
            <w:tcW w:w="3840" w:type="dxa"/>
            <w:vAlign w:val="bottom"/>
          </w:tcPr>
          <w:p>
            <w:pPr>
              <w:spacing w:after="0"/>
              <w:rPr>
                <w:sz w:val="24"/>
                <w:szCs w:val="24"/>
                <w:color w:val="auto"/>
              </w:rPr>
            </w:pP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70"/>
        </w:trPr>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1"/>
              </w:rPr>
              <w:t>Robert J. Bennett</w:t>
            </w: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 A</w:t>
            </w:r>
            <w:r>
              <w:rPr>
                <w:rFonts w:ascii="Arial" w:cs="Arial" w:eastAsia="Arial" w:hAnsi="Arial"/>
                <w:sz w:val="9"/>
                <w:szCs w:val="9"/>
                <w:color w:val="auto"/>
              </w:rPr>
              <w:t>NGELA</w:t>
            </w:r>
            <w:r>
              <w:rPr>
                <w:rFonts w:ascii="Arial" w:cs="Arial" w:eastAsia="Arial" w:hAnsi="Arial"/>
                <w:sz w:val="14"/>
                <w:szCs w:val="14"/>
                <w:color w:val="auto"/>
              </w:rPr>
              <w:t xml:space="preserve"> B</w:t>
            </w:r>
            <w:r>
              <w:rPr>
                <w:rFonts w:ascii="Arial" w:cs="Arial" w:eastAsia="Arial" w:hAnsi="Arial"/>
                <w:sz w:val="9"/>
                <w:szCs w:val="9"/>
                <w:color w:val="auto"/>
              </w:rPr>
              <w:t>ONTEMPO</w:t>
            </w:r>
          </w:p>
        </w:tc>
        <w:tc>
          <w:tcPr>
            <w:tcW w:w="3840" w:type="dxa"/>
            <w:vAlign w:val="bottom"/>
          </w:tcPr>
          <w:p>
            <w:pPr>
              <w:spacing w:after="0"/>
              <w:rPr>
                <w:sz w:val="24"/>
                <w:szCs w:val="24"/>
                <w:color w:val="auto"/>
              </w:rPr>
            </w:pP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70"/>
        </w:trPr>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2"/>
              </w:rPr>
              <w:t>C. Angela Bontempo</w:t>
            </w: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T. B</w:t>
            </w:r>
            <w:r>
              <w:rPr>
                <w:rFonts w:ascii="Arial" w:cs="Arial" w:eastAsia="Arial" w:hAnsi="Arial"/>
                <w:sz w:val="9"/>
                <w:szCs w:val="9"/>
                <w:color w:val="auto"/>
              </w:rPr>
              <w:t>RADY</w:t>
            </w:r>
          </w:p>
        </w:tc>
        <w:tc>
          <w:tcPr>
            <w:tcW w:w="3840" w:type="dxa"/>
            <w:vAlign w:val="bottom"/>
          </w:tcPr>
          <w:p>
            <w:pPr>
              <w:spacing w:after="0"/>
              <w:rPr>
                <w:sz w:val="24"/>
                <w:szCs w:val="24"/>
                <w:color w:val="auto"/>
              </w:rPr>
            </w:pPr>
          </w:p>
        </w:tc>
        <w:tc>
          <w:tcPr>
            <w:tcW w:w="2020" w:type="dxa"/>
            <w:vAlign w:val="bottom"/>
          </w:tcPr>
          <w:p>
            <w:pPr>
              <w:ind w:left="980"/>
              <w:spacing w:after="0"/>
              <w:rPr>
                <w:sz w:val="20"/>
                <w:szCs w:val="20"/>
                <w:color w:val="auto"/>
              </w:rPr>
            </w:pPr>
            <w:r>
              <w:rPr>
                <w:rFonts w:ascii="Arial" w:cs="Arial" w:eastAsia="Arial" w:hAnsi="Arial"/>
                <w:sz w:val="14"/>
                <w:szCs w:val="14"/>
                <w:color w:val="auto"/>
                <w:w w:val="89"/>
              </w:rPr>
              <w:t>February 21, 2008</w:t>
            </w:r>
          </w:p>
        </w:tc>
      </w:tr>
      <w:tr>
        <w:trPr>
          <w:trHeight w:val="170"/>
        </w:trPr>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3"/>
              </w:rPr>
              <w:t>Robert T. Brady</w:t>
            </w: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540"/>
          </w:cols>
          <w:pgMar w:left="220" w:top="339" w:right="1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D. B</w:t>
            </w:r>
            <w:r>
              <w:rPr>
                <w:rFonts w:ascii="Arial" w:cs="Arial" w:eastAsia="Arial" w:hAnsi="Arial"/>
                <w:sz w:val="9"/>
                <w:szCs w:val="9"/>
                <w:color w:val="auto"/>
              </w:rPr>
              <w:t>UCKLEY</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5"/>
              </w:rPr>
              <w:t>Michael D. Buckley</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T. J</w:t>
            </w:r>
            <w:r>
              <w:rPr>
                <w:rFonts w:ascii="Arial" w:cs="Arial" w:eastAsia="Arial" w:hAnsi="Arial"/>
                <w:sz w:val="9"/>
                <w:szCs w:val="9"/>
                <w:color w:val="auto"/>
              </w:rPr>
              <w:t>EFFERSON</w:t>
            </w:r>
            <w:r>
              <w:rPr>
                <w:rFonts w:ascii="Arial" w:cs="Arial" w:eastAsia="Arial" w:hAnsi="Arial"/>
                <w:sz w:val="14"/>
                <w:szCs w:val="14"/>
                <w:color w:val="auto"/>
              </w:rPr>
              <w:t xml:space="preserve"> C</w:t>
            </w:r>
            <w:r>
              <w:rPr>
                <w:rFonts w:ascii="Arial" w:cs="Arial" w:eastAsia="Arial" w:hAnsi="Arial"/>
                <w:sz w:val="9"/>
                <w:szCs w:val="9"/>
                <w:color w:val="auto"/>
              </w:rPr>
              <w:t>UNNINGHAM</w:t>
            </w:r>
            <w:r>
              <w:rPr>
                <w:rFonts w:ascii="Arial" w:cs="Arial" w:eastAsia="Arial" w:hAnsi="Arial"/>
                <w:sz w:val="14"/>
                <w:szCs w:val="14"/>
                <w:color w:val="auto"/>
              </w:rPr>
              <w:t xml:space="preserve"> III</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2"/>
              </w:rPr>
              <w:t>T. Jefferson Cunningham III</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ARK</w:t>
            </w:r>
            <w:r>
              <w:rPr>
                <w:rFonts w:ascii="Arial" w:cs="Arial" w:eastAsia="Arial" w:hAnsi="Arial"/>
                <w:sz w:val="14"/>
                <w:szCs w:val="14"/>
                <w:color w:val="auto"/>
              </w:rPr>
              <w:t xml:space="preserve"> J. C</w:t>
            </w:r>
            <w:r>
              <w:rPr>
                <w:rFonts w:ascii="Arial" w:cs="Arial" w:eastAsia="Arial" w:hAnsi="Arial"/>
                <w:sz w:val="9"/>
                <w:szCs w:val="9"/>
                <w:color w:val="auto"/>
              </w:rPr>
              <w:t>ZARNECKI</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2"/>
              </w:rPr>
              <w:t>Mark J. Czarnecki</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w:t>
            </w:r>
            <w:r>
              <w:rPr>
                <w:rFonts w:ascii="Arial" w:cs="Arial" w:eastAsia="Arial" w:hAnsi="Arial"/>
                <w:sz w:val="9"/>
                <w:szCs w:val="9"/>
                <w:color w:val="auto"/>
              </w:rPr>
              <w:t>OLM</w:t>
            </w:r>
            <w:r>
              <w:rPr>
                <w:rFonts w:ascii="Arial" w:cs="Arial" w:eastAsia="Arial" w:hAnsi="Arial"/>
                <w:sz w:val="14"/>
                <w:szCs w:val="14"/>
                <w:color w:val="auto"/>
              </w:rPr>
              <w:t xml:space="preserve"> E. D</w:t>
            </w:r>
            <w:r>
              <w:rPr>
                <w:rFonts w:ascii="Arial" w:cs="Arial" w:eastAsia="Arial" w:hAnsi="Arial"/>
                <w:sz w:val="9"/>
                <w:szCs w:val="9"/>
                <w:color w:val="auto"/>
              </w:rPr>
              <w:t>OHERTY</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3"/>
              </w:rPr>
              <w:t>Colm E. Doherty</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E. G</w:t>
            </w:r>
            <w:r>
              <w:rPr>
                <w:rFonts w:ascii="Arial" w:cs="Arial" w:eastAsia="Arial" w:hAnsi="Arial"/>
                <w:sz w:val="9"/>
                <w:szCs w:val="9"/>
                <w:color w:val="auto"/>
              </w:rPr>
              <w:t>ARMAN</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0"/>
              </w:rPr>
              <w:t>Richard E. Garman</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w:t>
            </w:r>
            <w:r>
              <w:rPr>
                <w:rFonts w:ascii="Arial" w:cs="Arial" w:eastAsia="Arial" w:hAnsi="Arial"/>
                <w:sz w:val="9"/>
                <w:szCs w:val="9"/>
                <w:color w:val="auto"/>
              </w:rPr>
              <w:t>ANIEL</w:t>
            </w:r>
            <w:r>
              <w:rPr>
                <w:rFonts w:ascii="Arial" w:cs="Arial" w:eastAsia="Arial" w:hAnsi="Arial"/>
                <w:sz w:val="14"/>
                <w:szCs w:val="14"/>
                <w:color w:val="auto"/>
              </w:rPr>
              <w:t xml:space="preserve"> R. H</w:t>
            </w:r>
            <w:r>
              <w:rPr>
                <w:rFonts w:ascii="Arial" w:cs="Arial" w:eastAsia="Arial" w:hAnsi="Arial"/>
                <w:sz w:val="9"/>
                <w:szCs w:val="9"/>
                <w:color w:val="auto"/>
              </w:rPr>
              <w:t>AWBAKER</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3"/>
              </w:rPr>
              <w:t>Daniel R. Hawbaker</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P</w:t>
            </w:r>
            <w:r>
              <w:rPr>
                <w:rFonts w:ascii="Arial" w:cs="Arial" w:eastAsia="Arial" w:hAnsi="Arial"/>
                <w:sz w:val="9"/>
                <w:szCs w:val="9"/>
                <w:color w:val="auto"/>
                <w:w w:val="99"/>
              </w:rPr>
              <w:t>ATRICK</w:t>
            </w:r>
            <w:r>
              <w:rPr>
                <w:rFonts w:ascii="Arial" w:cs="Arial" w:eastAsia="Arial" w:hAnsi="Arial"/>
                <w:sz w:val="14"/>
                <w:szCs w:val="14"/>
                <w:color w:val="auto"/>
                <w:w w:val="99"/>
              </w:rPr>
              <w:t xml:space="preserve"> W.E. H</w:t>
            </w:r>
            <w:r>
              <w:rPr>
                <w:rFonts w:ascii="Arial" w:cs="Arial" w:eastAsia="Arial" w:hAnsi="Arial"/>
                <w:sz w:val="9"/>
                <w:szCs w:val="9"/>
                <w:color w:val="auto"/>
                <w:w w:val="99"/>
              </w:rPr>
              <w:t>ODGSON</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1"/>
              </w:rPr>
              <w:t>Patrick W.E. Hodgson</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G. K</w:t>
            </w:r>
            <w:r>
              <w:rPr>
                <w:rFonts w:ascii="Arial" w:cs="Arial" w:eastAsia="Arial" w:hAnsi="Arial"/>
                <w:sz w:val="9"/>
                <w:szCs w:val="9"/>
                <w:color w:val="auto"/>
              </w:rPr>
              <w:t>ING</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5"/>
              </w:rPr>
              <w:t>Richard G. King</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EGINALD</w:t>
            </w:r>
            <w:r>
              <w:rPr>
                <w:rFonts w:ascii="Arial" w:cs="Arial" w:eastAsia="Arial" w:hAnsi="Arial"/>
                <w:sz w:val="14"/>
                <w:szCs w:val="14"/>
                <w:color w:val="auto"/>
              </w:rPr>
              <w:t xml:space="preserve"> B. N</w:t>
            </w:r>
            <w:r>
              <w:rPr>
                <w:rFonts w:ascii="Arial" w:cs="Arial" w:eastAsia="Arial" w:hAnsi="Arial"/>
                <w:sz w:val="9"/>
                <w:szCs w:val="9"/>
                <w:color w:val="auto"/>
              </w:rPr>
              <w:t>EWMAN</w:t>
            </w:r>
            <w:r>
              <w:rPr>
                <w:rFonts w:ascii="Arial" w:cs="Arial" w:eastAsia="Arial" w:hAnsi="Arial"/>
                <w:sz w:val="14"/>
                <w:szCs w:val="14"/>
                <w:color w:val="auto"/>
              </w:rPr>
              <w:t>, II</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5"/>
              </w:rPr>
              <w:t>Reginald B. Newman, II</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J</w:t>
            </w:r>
            <w:r>
              <w:rPr>
                <w:rFonts w:ascii="Arial" w:cs="Arial" w:eastAsia="Arial" w:hAnsi="Arial"/>
                <w:sz w:val="9"/>
                <w:szCs w:val="9"/>
                <w:color w:val="auto"/>
                <w:w w:val="98"/>
              </w:rPr>
              <w:t>ORGE</w:t>
            </w:r>
            <w:r>
              <w:rPr>
                <w:rFonts w:ascii="Arial" w:cs="Arial" w:eastAsia="Arial" w:hAnsi="Arial"/>
                <w:sz w:val="14"/>
                <w:szCs w:val="14"/>
                <w:color w:val="auto"/>
                <w:w w:val="98"/>
              </w:rPr>
              <w:t xml:space="preserve"> G. P</w:t>
            </w:r>
            <w:r>
              <w:rPr>
                <w:rFonts w:ascii="Arial" w:cs="Arial" w:eastAsia="Arial" w:hAnsi="Arial"/>
                <w:sz w:val="9"/>
                <w:szCs w:val="9"/>
                <w:color w:val="auto"/>
                <w:w w:val="98"/>
              </w:rPr>
              <w:t>EREIRA</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9"/>
              </w:rPr>
              <w:t>Jorge G. Pereira</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P. P</w:t>
            </w:r>
            <w:r>
              <w:rPr>
                <w:rFonts w:ascii="Arial" w:cs="Arial" w:eastAsia="Arial" w:hAnsi="Arial"/>
                <w:sz w:val="9"/>
                <w:szCs w:val="9"/>
                <w:color w:val="auto"/>
              </w:rPr>
              <w:t>INTO</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0"/>
              </w:rPr>
              <w:t>Michael P. Pinto</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R</w:t>
            </w:r>
            <w:r>
              <w:rPr>
                <w:rFonts w:ascii="Arial" w:cs="Arial" w:eastAsia="Arial" w:hAnsi="Arial"/>
                <w:sz w:val="9"/>
                <w:szCs w:val="9"/>
                <w:color w:val="auto"/>
                <w:w w:val="99"/>
              </w:rPr>
              <w:t>OBERT</w:t>
            </w:r>
            <w:r>
              <w:rPr>
                <w:rFonts w:ascii="Arial" w:cs="Arial" w:eastAsia="Arial" w:hAnsi="Arial"/>
                <w:sz w:val="14"/>
                <w:szCs w:val="14"/>
                <w:color w:val="auto"/>
                <w:w w:val="99"/>
              </w:rPr>
              <w:t xml:space="preserve"> E. S</w:t>
            </w:r>
            <w:r>
              <w:rPr>
                <w:rFonts w:ascii="Arial" w:cs="Arial" w:eastAsia="Arial" w:hAnsi="Arial"/>
                <w:sz w:val="9"/>
                <w:szCs w:val="9"/>
                <w:color w:val="auto"/>
                <w:w w:val="99"/>
              </w:rPr>
              <w:t>ADLER</w:t>
            </w:r>
            <w:r>
              <w:rPr>
                <w:rFonts w:ascii="Arial" w:cs="Arial" w:eastAsia="Arial" w:hAnsi="Arial"/>
                <w:sz w:val="14"/>
                <w:szCs w:val="14"/>
                <w:color w:val="auto"/>
                <w:w w:val="99"/>
              </w:rPr>
              <w:t>, J</w:t>
            </w:r>
            <w:r>
              <w:rPr>
                <w:rFonts w:ascii="Arial" w:cs="Arial" w:eastAsia="Arial" w:hAnsi="Arial"/>
                <w:sz w:val="9"/>
                <w:szCs w:val="9"/>
                <w:color w:val="auto"/>
                <w:w w:val="99"/>
              </w:rPr>
              <w:t>R</w:t>
            </w:r>
            <w:r>
              <w:rPr>
                <w:rFonts w:ascii="Arial" w:cs="Arial" w:eastAsia="Arial" w:hAnsi="Arial"/>
                <w:sz w:val="14"/>
                <w:szCs w:val="14"/>
                <w:color w:val="auto"/>
                <w:w w:val="99"/>
              </w:rPr>
              <w:t>.</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8"/>
              </w:rPr>
              <w:t>Robert E. Sadler, Jr.</w:t>
            </w:r>
          </w:p>
        </w:tc>
        <w:tc>
          <w:tcPr>
            <w:tcW w:w="6680" w:type="dxa"/>
            <w:vAlign w:val="bottom"/>
          </w:tcPr>
          <w:p>
            <w:pPr>
              <w:spacing w:after="0"/>
              <w:rPr>
                <w:sz w:val="15"/>
                <w:szCs w:val="15"/>
                <w:color w:val="auto"/>
              </w:rPr>
            </w:pPr>
          </w:p>
        </w:tc>
      </w:tr>
      <w:tr>
        <w:trPr>
          <w:trHeight w:val="302"/>
        </w:trPr>
        <w:tc>
          <w:tcPr>
            <w:tcW w:w="70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68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Eugene J. Sheehy</w:t>
            </w:r>
          </w:p>
        </w:tc>
        <w:tc>
          <w:tcPr>
            <w:tcW w:w="6680" w:type="dxa"/>
            <w:vAlign w:val="bottom"/>
          </w:tcPr>
          <w:p>
            <w:pPr>
              <w:spacing w:after="0"/>
              <w:rPr>
                <w:sz w:val="14"/>
                <w:szCs w:val="14"/>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S</w:t>
            </w:r>
            <w:r>
              <w:rPr>
                <w:rFonts w:ascii="Arial" w:cs="Arial" w:eastAsia="Arial" w:hAnsi="Arial"/>
                <w:sz w:val="9"/>
                <w:szCs w:val="9"/>
                <w:color w:val="auto"/>
                <w:w w:val="98"/>
              </w:rPr>
              <w:t>TEPHEN</w:t>
            </w:r>
            <w:r>
              <w:rPr>
                <w:rFonts w:ascii="Arial" w:cs="Arial" w:eastAsia="Arial" w:hAnsi="Arial"/>
                <w:sz w:val="14"/>
                <w:szCs w:val="14"/>
                <w:color w:val="auto"/>
                <w:w w:val="98"/>
              </w:rPr>
              <w:t xml:space="preserve"> G. S</w:t>
            </w:r>
            <w:r>
              <w:rPr>
                <w:rFonts w:ascii="Arial" w:cs="Arial" w:eastAsia="Arial" w:hAnsi="Arial"/>
                <w:sz w:val="9"/>
                <w:szCs w:val="9"/>
                <w:color w:val="auto"/>
                <w:w w:val="98"/>
              </w:rPr>
              <w:t>HEETZ</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Stephen G. Sheetz</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w:t>
            </w:r>
            <w:r>
              <w:rPr>
                <w:rFonts w:ascii="Arial" w:cs="Arial" w:eastAsia="Arial" w:hAnsi="Arial"/>
                <w:sz w:val="9"/>
                <w:szCs w:val="9"/>
                <w:color w:val="auto"/>
              </w:rPr>
              <w:t>ERBERT</w:t>
            </w:r>
            <w:r>
              <w:rPr>
                <w:rFonts w:ascii="Arial" w:cs="Arial" w:eastAsia="Arial" w:hAnsi="Arial"/>
                <w:sz w:val="14"/>
                <w:szCs w:val="14"/>
                <w:color w:val="auto"/>
              </w:rPr>
              <w:t xml:space="preserve"> L. W</w:t>
            </w:r>
            <w:r>
              <w:rPr>
                <w:rFonts w:ascii="Arial" w:cs="Arial" w:eastAsia="Arial" w:hAnsi="Arial"/>
                <w:sz w:val="9"/>
                <w:szCs w:val="9"/>
                <w:color w:val="auto"/>
              </w:rPr>
              <w:t>ASHINGTON</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2"/>
              </w:rPr>
              <w:t>Herbert L. Washington</w:t>
            </w:r>
          </w:p>
        </w:tc>
        <w:tc>
          <w:tcPr>
            <w:tcW w:w="6680" w:type="dxa"/>
            <w:vAlign w:val="bottom"/>
          </w:tcPr>
          <w:p>
            <w:pPr>
              <w:spacing w:after="0"/>
              <w:rPr>
                <w:sz w:val="15"/>
                <w:szCs w:val="15"/>
                <w:color w:val="auto"/>
              </w:rPr>
            </w:pPr>
          </w:p>
        </w:tc>
      </w:tr>
      <w:tr>
        <w:trPr>
          <w:trHeight w:val="299"/>
        </w:trPr>
        <w:tc>
          <w:tcPr>
            <w:tcW w:w="70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6680" w:type="dxa"/>
            <w:vAlign w:val="bottom"/>
          </w:tcPr>
          <w:p>
            <w:pPr>
              <w:jc w:val="right"/>
              <w:ind w:right="750"/>
              <w:spacing w:after="0"/>
              <w:rPr>
                <w:sz w:val="20"/>
                <w:szCs w:val="20"/>
                <w:color w:val="auto"/>
              </w:rPr>
            </w:pPr>
            <w:r>
              <w:rPr>
                <w:rFonts w:ascii="Arial" w:cs="Arial" w:eastAsia="Arial" w:hAnsi="Arial"/>
                <w:sz w:val="14"/>
                <w:szCs w:val="14"/>
                <w:color w:val="auto"/>
              </w:rPr>
              <w:t>February 21, 2008</w:t>
            </w:r>
          </w:p>
        </w:tc>
      </w:tr>
      <w:tr>
        <w:trPr>
          <w:trHeight w:val="173"/>
        </w:trPr>
        <w:tc>
          <w:tcPr>
            <w:tcW w:w="70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93"/>
              </w:rPr>
              <w:t>Robert G. Wilmers</w:t>
            </w:r>
          </w:p>
        </w:tc>
        <w:tc>
          <w:tcPr>
            <w:tcW w:w="6680" w:type="dxa"/>
            <w:vAlign w:val="bottom"/>
          </w:tcPr>
          <w:p>
            <w:pPr>
              <w:spacing w:after="0"/>
              <w:rPr>
                <w:sz w:val="15"/>
                <w:szCs w:val="15"/>
                <w:color w:val="auto"/>
              </w:rPr>
            </w:pPr>
          </w:p>
        </w:tc>
      </w:tr>
      <w:tr>
        <w:trPr>
          <w:trHeight w:val="269"/>
        </w:trPr>
        <w:tc>
          <w:tcPr>
            <w:tcW w:w="7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6680" w:type="dxa"/>
            <w:vAlign w:val="bottom"/>
          </w:tcPr>
          <w:p>
            <w:pPr>
              <w:jc w:val="right"/>
              <w:ind w:right="750"/>
              <w:spacing w:after="0"/>
              <w:rPr>
                <w:sz w:val="20"/>
                <w:szCs w:val="20"/>
                <w:color w:val="auto"/>
              </w:rPr>
            </w:pPr>
            <w:r>
              <w:rPr>
                <w:rFonts w:ascii="Arial" w:cs="Arial" w:eastAsia="Arial" w:hAnsi="Arial"/>
                <w:sz w:val="12"/>
                <w:szCs w:val="12"/>
                <w:color w:val="auto"/>
              </w:rPr>
              <w:t>145</w:t>
            </w:r>
          </w:p>
        </w:tc>
      </w:tr>
      <w:tr>
        <w:trPr>
          <w:trHeight w:val="163"/>
        </w:trPr>
        <w:tc>
          <w:tcPr>
            <w:tcW w:w="70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2"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EXHIBIT INDEX</w:t>
      </w:r>
    </w:p>
    <w:p>
      <w:pPr>
        <w:spacing w:after="0" w:line="335" w:lineRule="exact"/>
        <w:rPr>
          <w:sz w:val="20"/>
          <w:szCs w:val="20"/>
          <w:color w:val="auto"/>
        </w:rPr>
      </w:pPr>
    </w:p>
    <w:p>
      <w:pPr>
        <w:ind w:left="900"/>
        <w:spacing w:after="0"/>
        <w:tabs>
          <w:tab w:leader="none" w:pos="13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Agreement and Plan of Reorganization, dated as of September 26, 2002, by and among M&amp;T Bank Corporation, Allied Irish Banks, p.l.c. and Allfirst Financial Inc.</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Incorporated by reference to Exhibit 2 to the Form 8-K dated September 26, 2002 (File No. 1-9861).</w:t>
      </w:r>
    </w:p>
    <w:p>
      <w:pPr>
        <w:spacing w:after="0" w:line="3" w:lineRule="exact"/>
        <w:rPr>
          <w:sz w:val="20"/>
          <w:szCs w:val="20"/>
          <w:color w:val="auto"/>
        </w:rPr>
      </w:pPr>
    </w:p>
    <w:p>
      <w:pPr>
        <w:ind w:left="1360" w:right="280" w:hanging="456"/>
        <w:spacing w:after="0" w:line="244" w:lineRule="auto"/>
        <w:tabs>
          <w:tab w:leader="none" w:pos="13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Restated Certificate of Incorporation of M&amp;T Bank Corporation dated May 29, 1998. Incorporated by reference to Exhibit 3.1 to the Form 10-Q for the quarter ended June 30, 1998 (File No. 1-9861).</w:t>
      </w:r>
    </w:p>
    <w:p>
      <w:pPr>
        <w:spacing w:after="0" w:line="1" w:lineRule="exact"/>
        <w:rPr>
          <w:sz w:val="20"/>
          <w:szCs w:val="20"/>
          <w:color w:val="auto"/>
        </w:rPr>
      </w:pPr>
    </w:p>
    <w:p>
      <w:pPr>
        <w:ind w:left="1360" w:right="320" w:hanging="456"/>
        <w:spacing w:after="0" w:line="244" w:lineRule="auto"/>
        <w:tabs>
          <w:tab w:leader="none" w:pos="13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Certificate of Amendment of the Certificate of Incorporation of M&amp;T Bank Corporation dated October 2, 2000. Incorporated by reference to Exhibit 3.2 to the Form 10-K for the year ended December 31, 2000 (File No. 1-9861).</w:t>
      </w:r>
    </w:p>
    <w:p>
      <w:pPr>
        <w:spacing w:after="0" w:line="1" w:lineRule="exact"/>
        <w:rPr>
          <w:sz w:val="20"/>
          <w:szCs w:val="20"/>
          <w:color w:val="auto"/>
        </w:rPr>
      </w:pPr>
    </w:p>
    <w:p>
      <w:pPr>
        <w:ind w:left="1360" w:right="320" w:hanging="456"/>
        <w:spacing w:after="0" w:line="244" w:lineRule="auto"/>
        <w:tabs>
          <w:tab w:leader="none" w:pos="13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Certificate of Amendment to the Certificate of Incorporation of M&amp;T Bank Corporation dated March 4, 2003, effective as of March 25, 2003. Incorporated by reference to Exhibit 3.3 to the Form 10-Q for the quarter ended March 31, 2003 (File No. 1-9861).</w:t>
      </w:r>
    </w:p>
    <w:p>
      <w:pPr>
        <w:spacing w:after="0" w:line="1" w:lineRule="exact"/>
        <w:rPr>
          <w:sz w:val="20"/>
          <w:szCs w:val="20"/>
          <w:color w:val="auto"/>
        </w:rPr>
      </w:pPr>
    </w:p>
    <w:p>
      <w:pPr>
        <w:ind w:left="1360" w:right="400" w:hanging="456"/>
        <w:spacing w:after="0" w:line="244" w:lineRule="auto"/>
        <w:tabs>
          <w:tab w:leader="none" w:pos="13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Certificate of Amendment to the Certificate of Incorporation of M&amp;T Bank Corporation dated March 28, 2003, effective as of April 1, 2003. Incorporated by reference to Exhibit 3.4 to the Form 10-Q for the quarter ended March 31, 2003 (File No. 1-9861).</w:t>
      </w:r>
    </w:p>
    <w:p>
      <w:pPr>
        <w:spacing w:after="0" w:line="1" w:lineRule="exact"/>
        <w:rPr>
          <w:sz w:val="20"/>
          <w:szCs w:val="20"/>
          <w:color w:val="auto"/>
        </w:rPr>
      </w:pPr>
    </w:p>
    <w:p>
      <w:pPr>
        <w:ind w:left="1360" w:right="700" w:hanging="456"/>
        <w:spacing w:after="0" w:line="244" w:lineRule="auto"/>
        <w:tabs>
          <w:tab w:leader="none" w:pos="13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Amended and Restated Bylaws of M&amp;T Bank Corporation, effective February 20, 2007. Incorporated by reference to Exhibit 3.5 to the Form 8-K dated February 20, 2007 (File No. 1-9861).</w:t>
      </w:r>
    </w:p>
    <w:p>
      <w:pPr>
        <w:spacing w:after="0" w:line="1" w:lineRule="exact"/>
        <w:rPr>
          <w:sz w:val="20"/>
          <w:szCs w:val="20"/>
          <w:color w:val="auto"/>
        </w:rPr>
      </w:pPr>
    </w:p>
    <w:p>
      <w:pPr>
        <w:ind w:left="1360" w:right="20" w:hanging="456"/>
        <w:spacing w:after="0" w:line="244" w:lineRule="auto"/>
        <w:tabs>
          <w:tab w:leader="none" w:pos="13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Instruments defining the rights of security holders, including indentures. Incorporated by reference to Exhibits 3.1 through 3.5, 10.1 through 10.5 and 10.15 through 10.29 hereof. Except as set forth in Exhibits 4.2 through 4.35 below, the instruments defining the rights of holders of long-term debt securities of M&amp;T Bank Corporation are omitted pursuant to section(b)(4)(iii) of Item 601 of Regulation S-K. M&amp;T Bank Corporation hereby agrees to furnish copies of these instruments to the S.E.C. upon request.</w:t>
      </w:r>
    </w:p>
    <w:p>
      <w:pPr>
        <w:spacing w:after="0" w:line="1" w:lineRule="exact"/>
        <w:rPr>
          <w:sz w:val="20"/>
          <w:szCs w:val="20"/>
          <w:color w:val="auto"/>
        </w:rPr>
      </w:pPr>
    </w:p>
    <w:p>
      <w:pPr>
        <w:ind w:left="1360" w:right="100" w:hanging="456"/>
        <w:spacing w:after="0" w:line="263" w:lineRule="auto"/>
        <w:tabs>
          <w:tab w:leader="none" w:pos="13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Amended and Restated Trust Agreement dated as of January 31, 1997 by and among M&amp;T Bank Corporation, Bankers Trust Company, Bankers Trust (Delaware), and the Administrators named therein. Incorporated by reference to Exhibit 4.1 to the Form 8-K dated January 31, 1997 (File No. 1-9861).</w:t>
      </w:r>
    </w:p>
    <w:p>
      <w:pPr>
        <w:jc w:val="both"/>
        <w:ind w:left="1360" w:right="240" w:hanging="456"/>
        <w:spacing w:after="0" w:line="244" w:lineRule="auto"/>
        <w:tabs>
          <w:tab w:leader="none" w:pos="13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Amendment to Amended and Restated Trust Agreement dated as of January 31, 1997 by and among M&amp;T Bank Corporation, Bankers Trust Company, Bankers Trust (Delaware), and the Administrators named therein. Incorporated by reference to Exhibit 4.3 to the Form 10-K for the year ended December 31, 1999 (File No. 1-9861).</w:t>
      </w:r>
    </w:p>
    <w:p>
      <w:pPr>
        <w:spacing w:after="0" w:line="1" w:lineRule="exact"/>
        <w:rPr>
          <w:sz w:val="20"/>
          <w:szCs w:val="20"/>
          <w:color w:val="auto"/>
        </w:rPr>
      </w:pPr>
    </w:p>
    <w:p>
      <w:pPr>
        <w:ind w:left="1360" w:right="280" w:hanging="456"/>
        <w:spacing w:after="0" w:line="244" w:lineRule="auto"/>
        <w:tabs>
          <w:tab w:leader="none" w:pos="13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Junior Subordinated Indenture dated as of January 31, 1997 by and between M&amp;T Bank Corporation and Bankers Trust Company. Incorporated by reference to Exhibit 4.2 to the Form 8-K dated January 31, 1997 (File No. 1-9861).</w:t>
      </w:r>
    </w:p>
    <w:p>
      <w:pPr>
        <w:spacing w:after="0" w:line="1" w:lineRule="exact"/>
        <w:rPr>
          <w:sz w:val="20"/>
          <w:szCs w:val="20"/>
          <w:color w:val="auto"/>
        </w:rPr>
      </w:pPr>
    </w:p>
    <w:p>
      <w:pPr>
        <w:ind w:left="1360" w:right="140" w:hanging="456"/>
        <w:spacing w:after="0" w:line="244" w:lineRule="auto"/>
        <w:tabs>
          <w:tab w:leader="none" w:pos="13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Supplemental Indenture dated December 23, 1999 by and between M&amp;T Bank Corporation and Bankers Trust Company. Incorporated by reference to Exhibit 4.5 to the Form 10-K for the year ended December 31, 1999 (File No. 1-9861).</w:t>
      </w:r>
    </w:p>
    <w:p>
      <w:pPr>
        <w:spacing w:after="0" w:line="1" w:lineRule="exact"/>
        <w:rPr>
          <w:sz w:val="20"/>
          <w:szCs w:val="20"/>
          <w:color w:val="auto"/>
        </w:rPr>
      </w:pPr>
    </w:p>
    <w:p>
      <w:pPr>
        <w:jc w:val="both"/>
        <w:ind w:left="1360" w:right="100" w:hanging="456"/>
        <w:spacing w:after="0" w:line="244" w:lineRule="auto"/>
        <w:tabs>
          <w:tab w:leader="none" w:pos="13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Amended and Restated Trust Agreement dated as of June 6, 1997 by and among M&amp;T Bank Corporation, Bankers Trust Company, Bankers Trust (Delaware), and the Administrators named therein. Incorporated by reference to Exhibit 4.1 to the Form 8-K dated June 6, 1997 (File No. 1-9861).</w:t>
      </w:r>
    </w:p>
    <w:p>
      <w:pPr>
        <w:spacing w:after="0" w:line="1" w:lineRule="exact"/>
        <w:rPr>
          <w:sz w:val="20"/>
          <w:szCs w:val="20"/>
          <w:color w:val="auto"/>
        </w:rPr>
      </w:pPr>
    </w:p>
    <w:p>
      <w:pPr>
        <w:ind w:left="1360" w:right="160" w:hanging="456"/>
        <w:spacing w:after="0" w:line="244" w:lineRule="auto"/>
        <w:tabs>
          <w:tab w:leader="none" w:pos="13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Amendment to Amended and Restated Trust Agreement dated as of June 6, 1997 by and among M&amp;T Bank Corporation, Bankers Trust Company, Bankers Trust (Delaware), and the Administrators named therein. Incorporated by reference to Exhibit 4.9 to the Form 10-K for the year ended December 31, 1999 (File No. 1-9861).</w:t>
      </w:r>
    </w:p>
    <w:p>
      <w:pPr>
        <w:spacing w:after="0" w:line="1" w:lineRule="exact"/>
        <w:rPr>
          <w:sz w:val="20"/>
          <w:szCs w:val="20"/>
          <w:color w:val="auto"/>
        </w:rPr>
      </w:pPr>
    </w:p>
    <w:p>
      <w:pPr>
        <w:ind w:left="1360" w:right="520" w:hanging="456"/>
        <w:spacing w:after="0" w:line="244" w:lineRule="auto"/>
        <w:tabs>
          <w:tab w:leader="none" w:pos="13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Junior Subordinated Indenture dated as of June 6, 1997 by and between M&amp;T Bank Corporation and Bankers Trust Company. Incorporated by reference to Exhibit 4.2 to the Form 8-K dated June 6, 1997 (File No. 1-9861).</w:t>
      </w:r>
    </w:p>
    <w:p>
      <w:pPr>
        <w:spacing w:after="0" w:line="1" w:lineRule="exact"/>
        <w:rPr>
          <w:sz w:val="20"/>
          <w:szCs w:val="20"/>
          <w:color w:val="auto"/>
        </w:rPr>
      </w:pPr>
    </w:p>
    <w:p>
      <w:pPr>
        <w:jc w:val="both"/>
        <w:ind w:left="1360" w:right="80" w:hanging="456"/>
        <w:spacing w:after="0" w:line="244" w:lineRule="auto"/>
        <w:tabs>
          <w:tab w:leader="none" w:pos="13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Supplemental Indenture dated December 23, 1999 by and between M&amp;T Bank Corporation and Bankers Trust Company. Incorporated by reference to Exhibit 4.11 to the Form 10-K for the year ended December 31, 1999 (File No. 1-9861).</w:t>
      </w:r>
    </w:p>
    <w:p>
      <w:pPr>
        <w:spacing w:after="0" w:line="1" w:lineRule="exact"/>
        <w:rPr>
          <w:sz w:val="20"/>
          <w:szCs w:val="20"/>
          <w:color w:val="auto"/>
        </w:rPr>
      </w:pPr>
    </w:p>
    <w:p>
      <w:pPr>
        <w:jc w:val="both"/>
        <w:ind w:left="1360" w:right="80" w:hanging="456"/>
        <w:spacing w:after="0" w:line="244" w:lineRule="auto"/>
        <w:tabs>
          <w:tab w:leader="none" w:pos="1340" w:val="left"/>
        </w:tabs>
        <w:rPr>
          <w:sz w:val="20"/>
          <w:szCs w:val="20"/>
          <w:color w:val="auto"/>
        </w:rPr>
      </w:pPr>
      <w:r>
        <w:rPr>
          <w:rFonts w:ascii="Arial" w:cs="Arial" w:eastAsia="Arial" w:hAnsi="Arial"/>
          <w:sz w:val="14"/>
          <w:szCs w:val="14"/>
          <w:color w:val="auto"/>
        </w:rPr>
        <w:t>4.10</w:t>
        <w:tab/>
        <w:t>Amended and Restated Declaration of Trust dated as of February 4, 1997 by and among Olympia Financial Corp., The Bank of New York, The Bank of New York (Delaware), and the administrative trustees named therein. Incorporated by reference to Exhibit 4.14 to the Form 10-K for the year ended December 31, 1999 (File No. 1-9861).</w:t>
      </w:r>
    </w:p>
    <w:p>
      <w:pPr>
        <w:spacing w:after="0" w:line="1" w:lineRule="exact"/>
        <w:rPr>
          <w:sz w:val="20"/>
          <w:szCs w:val="20"/>
          <w:color w:val="auto"/>
        </w:rPr>
      </w:pPr>
    </w:p>
    <w:p>
      <w:pPr>
        <w:ind w:left="1360" w:right="320" w:hanging="456"/>
        <w:spacing w:after="0" w:line="249" w:lineRule="auto"/>
        <w:tabs>
          <w:tab w:leader="none" w:pos="1340" w:val="left"/>
        </w:tabs>
        <w:rPr>
          <w:sz w:val="20"/>
          <w:szCs w:val="20"/>
          <w:color w:val="auto"/>
        </w:rPr>
      </w:pPr>
      <w:r>
        <w:rPr>
          <w:rFonts w:ascii="Arial" w:cs="Arial" w:eastAsia="Arial" w:hAnsi="Arial"/>
          <w:sz w:val="14"/>
          <w:szCs w:val="14"/>
          <w:color w:val="auto"/>
        </w:rPr>
        <w:t>4.11</w:t>
        <w:tab/>
        <w:t>Amendment to Amended and Restated Declaration of Trust dated as of February 4, 1997 by and among Olympia Financial Corp., The Bank of New York, The Bank of New York (Delaware), and the administrative trustees named therein. Incorporated by reference to Exhibit 4.15 to the Form 10-K for the year ended December 31, 1999 (File No. 1-9861).</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1360" w:right="380" w:hanging="456"/>
        <w:spacing w:after="0" w:line="253" w:lineRule="auto"/>
        <w:tabs>
          <w:tab w:leader="none" w:pos="1340" w:val="left"/>
        </w:tabs>
        <w:rPr>
          <w:sz w:val="20"/>
          <w:szCs w:val="20"/>
          <w:color w:val="auto"/>
        </w:rPr>
      </w:pPr>
      <w:r>
        <w:rPr>
          <w:rFonts w:ascii="Arial" w:cs="Arial" w:eastAsia="Arial" w:hAnsi="Arial"/>
          <w:sz w:val="14"/>
          <w:szCs w:val="14"/>
          <w:color w:val="auto"/>
        </w:rPr>
        <w:t>4.12</w:t>
        <w:tab/>
        <w:t>Indenture dated as of February 4, 1997 by and between Olympia Financial Corp. and The Bank of New York. Incorporated by reference to Exhibit 4.16 to the Form 10-K for the year ended December 31, 1999 (File No. 1-9861).</w:t>
      </w:r>
    </w:p>
    <w:p>
      <w:pPr>
        <w:spacing w:after="0" w:line="1" w:lineRule="exact"/>
        <w:rPr>
          <w:sz w:val="20"/>
          <w:szCs w:val="20"/>
          <w:color w:val="auto"/>
        </w:rPr>
      </w:pPr>
    </w:p>
    <w:p>
      <w:pPr>
        <w:ind w:left="1360" w:right="500" w:hanging="456"/>
        <w:spacing w:after="0" w:line="244" w:lineRule="auto"/>
        <w:tabs>
          <w:tab w:leader="none" w:pos="1340" w:val="left"/>
        </w:tabs>
        <w:rPr>
          <w:sz w:val="20"/>
          <w:szCs w:val="20"/>
          <w:color w:val="auto"/>
        </w:rPr>
      </w:pPr>
      <w:r>
        <w:rPr>
          <w:rFonts w:ascii="Arial" w:cs="Arial" w:eastAsia="Arial" w:hAnsi="Arial"/>
          <w:sz w:val="14"/>
          <w:szCs w:val="14"/>
          <w:color w:val="auto"/>
        </w:rPr>
        <w:t>4.13</w:t>
        <w:tab/>
        <w:t>Supplemental Indenture dated as of December 17, 1999 by and between Olympia Financial Corp. and The Bank of New York. Incorporated by reference to Exhibit 4.17 to the Form 10-K for the year ended December 31, 1999 (File No. 1-9861).</w:t>
      </w:r>
    </w:p>
    <w:p>
      <w:pPr>
        <w:spacing w:after="0" w:line="1" w:lineRule="exact"/>
        <w:rPr>
          <w:sz w:val="20"/>
          <w:szCs w:val="20"/>
          <w:color w:val="auto"/>
        </w:rPr>
      </w:pPr>
    </w:p>
    <w:p>
      <w:pPr>
        <w:ind w:left="1360" w:right="160" w:hanging="456"/>
        <w:spacing w:after="0" w:line="263" w:lineRule="auto"/>
        <w:tabs>
          <w:tab w:leader="none" w:pos="1340" w:val="left"/>
        </w:tabs>
        <w:rPr>
          <w:sz w:val="20"/>
          <w:szCs w:val="20"/>
          <w:color w:val="auto"/>
        </w:rPr>
      </w:pPr>
      <w:r>
        <w:rPr>
          <w:rFonts w:ascii="Arial" w:cs="Arial" w:eastAsia="Arial" w:hAnsi="Arial"/>
          <w:sz w:val="14"/>
          <w:szCs w:val="14"/>
          <w:color w:val="auto"/>
        </w:rPr>
        <w:t>4.14</w:t>
      </w:r>
      <w:r>
        <w:rPr>
          <w:sz w:val="20"/>
          <w:szCs w:val="20"/>
          <w:color w:val="auto"/>
        </w:rPr>
        <w:tab/>
      </w:r>
      <w:r>
        <w:rPr>
          <w:rFonts w:ascii="Arial" w:cs="Arial" w:eastAsia="Arial" w:hAnsi="Arial"/>
          <w:sz w:val="13"/>
          <w:szCs w:val="13"/>
          <w:color w:val="auto"/>
        </w:rPr>
        <w:t>Second Supplemental Indenture dated as of February 28, 2003 by and between M&amp;T Bank Corporation (as successor by merger to Olympia Financial Corp.) and The Bank of New York. Incorporated by reference to Exhibit 4.18 to the Form 10-K for the year ended December 31, 2003 (File No. 1-9861).</w:t>
      </w:r>
    </w:p>
    <w:p>
      <w:pPr>
        <w:ind w:left="1360" w:right="140" w:hanging="456"/>
        <w:spacing w:after="0" w:line="244" w:lineRule="auto"/>
        <w:tabs>
          <w:tab w:leader="none" w:pos="1340" w:val="left"/>
        </w:tabs>
        <w:rPr>
          <w:sz w:val="20"/>
          <w:szCs w:val="20"/>
          <w:color w:val="auto"/>
        </w:rPr>
      </w:pPr>
      <w:r>
        <w:rPr>
          <w:rFonts w:ascii="Arial" w:cs="Arial" w:eastAsia="Arial" w:hAnsi="Arial"/>
          <w:sz w:val="14"/>
          <w:szCs w:val="14"/>
          <w:color w:val="auto"/>
        </w:rPr>
        <w:t>4.15</w:t>
        <w:tab/>
        <w:t>Senior Indenture dated as of May 1, 1997 by and among Keystone Financial Mid-Atlantic Funding Corp., Olympia Financial Corp. (as successor by merger to Keystone Financial, Inc.), and Bankers Trust Company. Incorporated by reference to Exhibit 4.1 to the Registration Statement on Form S-3 of Keystone Financial Mid-Atlantic Funding Corp. and Keystone Financial, Inc. dated April 17, 1997 (File No. 333-25393).</w:t>
      </w:r>
    </w:p>
    <w:p>
      <w:pPr>
        <w:spacing w:after="0" w:line="1" w:lineRule="exact"/>
        <w:rPr>
          <w:sz w:val="20"/>
          <w:szCs w:val="20"/>
          <w:color w:val="auto"/>
        </w:rPr>
      </w:pPr>
    </w:p>
    <w:p>
      <w:pPr>
        <w:ind w:left="1360" w:right="280" w:hanging="456"/>
        <w:spacing w:after="0" w:line="244" w:lineRule="auto"/>
        <w:tabs>
          <w:tab w:leader="none" w:pos="1340" w:val="left"/>
        </w:tabs>
        <w:rPr>
          <w:sz w:val="20"/>
          <w:szCs w:val="20"/>
          <w:color w:val="auto"/>
        </w:rPr>
      </w:pPr>
      <w:r>
        <w:rPr>
          <w:rFonts w:ascii="Arial" w:cs="Arial" w:eastAsia="Arial" w:hAnsi="Arial"/>
          <w:sz w:val="14"/>
          <w:szCs w:val="14"/>
          <w:color w:val="auto"/>
        </w:rPr>
        <w:t>4.16</w:t>
        <w:tab/>
        <w:t>First Supplemental Indenture, dated as of October 6, 2000, by and between Olympia Financial Corp. and Bankers Trust Company. Incorporated by reference to Exhibit 4.24 to the Form 10-K for the year ended December 31, 2003 (File No. 1-9861).</w:t>
      </w:r>
    </w:p>
    <w:p>
      <w:pPr>
        <w:spacing w:after="0" w:line="1" w:lineRule="exact"/>
        <w:rPr>
          <w:sz w:val="20"/>
          <w:szCs w:val="20"/>
          <w:color w:val="auto"/>
        </w:rPr>
      </w:pPr>
    </w:p>
    <w:p>
      <w:pPr>
        <w:ind w:left="1360" w:right="100" w:hanging="456"/>
        <w:spacing w:after="0" w:line="244" w:lineRule="auto"/>
        <w:tabs>
          <w:tab w:leader="none" w:pos="1340" w:val="left"/>
        </w:tabs>
        <w:rPr>
          <w:sz w:val="20"/>
          <w:szCs w:val="20"/>
          <w:color w:val="auto"/>
        </w:rPr>
      </w:pPr>
      <w:r>
        <w:rPr>
          <w:rFonts w:ascii="Arial" w:cs="Arial" w:eastAsia="Arial" w:hAnsi="Arial"/>
          <w:sz w:val="14"/>
          <w:szCs w:val="14"/>
          <w:color w:val="auto"/>
        </w:rPr>
        <w:t>4.17</w:t>
        <w:tab/>
        <w:t>Second Supplemental Indenture, dated as of February 28, 2003, by and between M&amp;T Bank Corporation (as successor by merger to Olympia Financial Corp.) and Deutsche Bank Trust Company Americas (formerly known as Bankers Trust Company). Incorporated by reference to Exhibit 4.25 to the Form 10-K for the year ended December 31, 2003 (File No. 1-9861).</w:t>
      </w:r>
    </w:p>
    <w:p>
      <w:pPr>
        <w:spacing w:after="0" w:line="1" w:lineRule="exact"/>
        <w:rPr>
          <w:sz w:val="20"/>
          <w:szCs w:val="20"/>
          <w:color w:val="auto"/>
        </w:rPr>
      </w:pPr>
    </w:p>
    <w:p>
      <w:pPr>
        <w:ind w:left="1360" w:right="100" w:hanging="456"/>
        <w:spacing w:after="0" w:line="263" w:lineRule="auto"/>
        <w:tabs>
          <w:tab w:leader="none" w:pos="1340" w:val="left"/>
        </w:tabs>
        <w:rPr>
          <w:sz w:val="20"/>
          <w:szCs w:val="20"/>
          <w:color w:val="auto"/>
        </w:rPr>
      </w:pPr>
      <w:r>
        <w:rPr>
          <w:rFonts w:ascii="Arial" w:cs="Arial" w:eastAsia="Arial" w:hAnsi="Arial"/>
          <w:sz w:val="14"/>
          <w:szCs w:val="14"/>
          <w:color w:val="auto"/>
        </w:rPr>
        <w:t>4.18</w:t>
      </w:r>
      <w:r>
        <w:rPr>
          <w:sz w:val="20"/>
          <w:szCs w:val="20"/>
          <w:color w:val="auto"/>
        </w:rPr>
        <w:tab/>
      </w:r>
      <w:r>
        <w:rPr>
          <w:rFonts w:ascii="Arial" w:cs="Arial" w:eastAsia="Arial" w:hAnsi="Arial"/>
          <w:sz w:val="13"/>
          <w:szCs w:val="13"/>
          <w:color w:val="auto"/>
        </w:rPr>
        <w:t>Indenture, dated as of December 30, 1996, by and between First Maryland Bancorp and The Bank of New York. Incorporated by reference to Exhibit 4.1 to the Registration Statement on Form S-4 of First Maryland Bancorp, First Maryland Capital I and First Maryland Capital II dated March 6, 1997 (File No. 333-22871).</w:t>
      </w:r>
    </w:p>
    <w:p>
      <w:pPr>
        <w:ind w:left="1360" w:right="200" w:hanging="456"/>
        <w:spacing w:after="0" w:line="263" w:lineRule="auto"/>
        <w:tabs>
          <w:tab w:leader="none" w:pos="1340" w:val="left"/>
        </w:tabs>
        <w:rPr>
          <w:sz w:val="20"/>
          <w:szCs w:val="20"/>
          <w:color w:val="auto"/>
        </w:rPr>
      </w:pPr>
      <w:r>
        <w:rPr>
          <w:rFonts w:ascii="Arial" w:cs="Arial" w:eastAsia="Arial" w:hAnsi="Arial"/>
          <w:sz w:val="14"/>
          <w:szCs w:val="14"/>
          <w:color w:val="auto"/>
        </w:rPr>
        <w:t>4.19</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The Bank of New York. Incorporated by reference to Exhibit 4.2 to the Form 8-K of Allfirst Financial Inc. dated September 15, 1999 (File No. 2-50235).</w:t>
      </w:r>
    </w:p>
    <w:p>
      <w:pPr>
        <w:ind w:left="1360" w:right="80" w:hanging="456"/>
        <w:spacing w:after="0" w:line="244" w:lineRule="auto"/>
        <w:tabs>
          <w:tab w:leader="none" w:pos="1340" w:val="left"/>
        </w:tabs>
        <w:rPr>
          <w:sz w:val="20"/>
          <w:szCs w:val="20"/>
          <w:color w:val="auto"/>
        </w:rPr>
      </w:pPr>
      <w:r>
        <w:rPr>
          <w:rFonts w:ascii="Arial" w:cs="Arial" w:eastAsia="Arial" w:hAnsi="Arial"/>
          <w:sz w:val="14"/>
          <w:szCs w:val="14"/>
          <w:color w:val="auto"/>
        </w:rPr>
        <w:t>4.20</w:t>
        <w:tab/>
        <w:t>Supplemental Indenture No. 2, dated as of April 1, 2003, by and between M&amp;T Bank Corporation (successor by merger to Allfirst Financial Inc.) and The Bank of New York. Incorporated by reference to Exhibit 4.28 to the Form 10-K for the year ended December 31, 2003 (File No. 1-9861).</w:t>
      </w:r>
    </w:p>
    <w:p>
      <w:pPr>
        <w:spacing w:after="0" w:line="1" w:lineRule="exact"/>
        <w:rPr>
          <w:sz w:val="20"/>
          <w:szCs w:val="20"/>
          <w:color w:val="auto"/>
        </w:rPr>
      </w:pPr>
    </w:p>
    <w:p>
      <w:pPr>
        <w:jc w:val="both"/>
        <w:ind w:left="1360" w:right="240" w:hanging="456"/>
        <w:spacing w:after="0" w:line="244" w:lineRule="auto"/>
        <w:tabs>
          <w:tab w:leader="none" w:pos="1340" w:val="left"/>
        </w:tabs>
        <w:rPr>
          <w:sz w:val="20"/>
          <w:szCs w:val="20"/>
          <w:color w:val="auto"/>
        </w:rPr>
      </w:pPr>
      <w:r>
        <w:rPr>
          <w:rFonts w:ascii="Arial" w:cs="Arial" w:eastAsia="Arial" w:hAnsi="Arial"/>
          <w:sz w:val="14"/>
          <w:szCs w:val="14"/>
          <w:color w:val="auto"/>
        </w:rPr>
        <w:t>4.21</w:t>
        <w:tab/>
        <w:t>Amended and Restated Declaration of Trust, dated as of December 30, 1996, by and among First Maryland Bancorp, The Bank of New York, The Bank of New York (Delaware) and the Regular Trustees named therein. Incorporated by reference to Exhibit 4.4 to the Registration Statement on Form S-4 of First Maryland Bancorp, First Maryland Capital I and First Maryland Capital II dated March 6, 1997 (File No. 333-22871).</w:t>
      </w:r>
    </w:p>
    <w:p>
      <w:pPr>
        <w:spacing w:after="0" w:line="1" w:lineRule="exact"/>
        <w:rPr>
          <w:sz w:val="20"/>
          <w:szCs w:val="20"/>
          <w:color w:val="auto"/>
        </w:rPr>
      </w:pPr>
    </w:p>
    <w:p>
      <w:pPr>
        <w:ind w:left="1360" w:right="100" w:hanging="456"/>
        <w:spacing w:after="0" w:line="263" w:lineRule="auto"/>
        <w:tabs>
          <w:tab w:leader="none" w:pos="1340" w:val="left"/>
        </w:tabs>
        <w:rPr>
          <w:sz w:val="20"/>
          <w:szCs w:val="20"/>
          <w:color w:val="auto"/>
        </w:rPr>
      </w:pPr>
      <w:r>
        <w:rPr>
          <w:rFonts w:ascii="Arial" w:cs="Arial" w:eastAsia="Arial" w:hAnsi="Arial"/>
          <w:sz w:val="14"/>
          <w:szCs w:val="14"/>
          <w:color w:val="auto"/>
        </w:rPr>
        <w:t>4.22</w:t>
      </w:r>
      <w:r>
        <w:rPr>
          <w:sz w:val="20"/>
          <w:szCs w:val="20"/>
          <w:color w:val="auto"/>
        </w:rPr>
        <w:tab/>
      </w:r>
      <w:r>
        <w:rPr>
          <w:rFonts w:ascii="Arial" w:cs="Arial" w:eastAsia="Arial" w:hAnsi="Arial"/>
          <w:sz w:val="13"/>
          <w:szCs w:val="13"/>
          <w:color w:val="auto"/>
        </w:rPr>
        <w:t>Indenture, dated as of February 4, 1997, by and between First Maryland Bancorp and The Bank of New York. Incorporated by reference to Exhibit 4.2 to the Registration Statement on Form S-4 of First Maryland Bancorp, First Maryland Capital I and First Maryland Capital II dated March 6, 1997 (File No. 333-22871).</w:t>
      </w:r>
    </w:p>
    <w:p>
      <w:pPr>
        <w:ind w:left="1360" w:right="200" w:hanging="456"/>
        <w:spacing w:after="0" w:line="263" w:lineRule="auto"/>
        <w:tabs>
          <w:tab w:leader="none" w:pos="1340" w:val="left"/>
        </w:tabs>
        <w:rPr>
          <w:sz w:val="20"/>
          <w:szCs w:val="20"/>
          <w:color w:val="auto"/>
        </w:rPr>
      </w:pPr>
      <w:r>
        <w:rPr>
          <w:rFonts w:ascii="Arial" w:cs="Arial" w:eastAsia="Arial" w:hAnsi="Arial"/>
          <w:sz w:val="14"/>
          <w:szCs w:val="14"/>
          <w:color w:val="auto"/>
        </w:rPr>
        <w:t>4.23</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The Bank of New York. Incorporated by reference to Exhibit 4.3 to the Form 8-K of Allfirst Financial Inc. dated September 15, 1999 (File No. 2-50235).</w:t>
      </w:r>
    </w:p>
    <w:p>
      <w:pPr>
        <w:ind w:left="1360" w:right="80" w:hanging="456"/>
        <w:spacing w:after="0" w:line="244" w:lineRule="auto"/>
        <w:tabs>
          <w:tab w:leader="none" w:pos="1340" w:val="left"/>
        </w:tabs>
        <w:rPr>
          <w:sz w:val="20"/>
          <w:szCs w:val="20"/>
          <w:color w:val="auto"/>
        </w:rPr>
      </w:pPr>
      <w:r>
        <w:rPr>
          <w:rFonts w:ascii="Arial" w:cs="Arial" w:eastAsia="Arial" w:hAnsi="Arial"/>
          <w:sz w:val="14"/>
          <w:szCs w:val="14"/>
          <w:color w:val="auto"/>
        </w:rPr>
        <w:t>4.24</w:t>
        <w:tab/>
        <w:t>Supplemental Indenture No. 2, dated as of April 1, 2003, by and between M&amp;T Bank Corporation (successor by merger to Allfirst Financial Inc.) and The Bank of New York. Incorporated by reference to Exhibit 4.34 to the Form 10-K for the year ended December 31, 2003 (File No. 1-9861).</w:t>
      </w:r>
    </w:p>
    <w:p>
      <w:pPr>
        <w:spacing w:after="0" w:line="1" w:lineRule="exact"/>
        <w:rPr>
          <w:sz w:val="20"/>
          <w:szCs w:val="20"/>
          <w:color w:val="auto"/>
        </w:rPr>
      </w:pPr>
    </w:p>
    <w:p>
      <w:pPr>
        <w:jc w:val="both"/>
        <w:ind w:left="1360" w:right="20" w:hanging="456"/>
        <w:spacing w:after="0" w:line="249" w:lineRule="auto"/>
        <w:tabs>
          <w:tab w:leader="none" w:pos="1340" w:val="left"/>
        </w:tabs>
        <w:rPr>
          <w:sz w:val="20"/>
          <w:szCs w:val="20"/>
          <w:color w:val="auto"/>
        </w:rPr>
      </w:pPr>
      <w:r>
        <w:rPr>
          <w:rFonts w:ascii="Arial" w:cs="Arial" w:eastAsia="Arial" w:hAnsi="Arial"/>
          <w:sz w:val="14"/>
          <w:szCs w:val="14"/>
          <w:color w:val="auto"/>
        </w:rPr>
        <w:t>4.25</w:t>
        <w:tab/>
        <w:t>Amended and Restated Declaration of Trust, dated as of February 4, 1997, by and among First Maryland Bancorp, The Bank of New York, The Bank of New York (Delaware) and the Regular Trustees named therein. Incorporated by reference to Exhibit 4.3 to the Registration Statement on Form S-4 of First Maryland Bancorp, First Maryland Capital I and First Maryland Capital II dated March 6, 1997 (File No. 333-22871).</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1420" w:right="460" w:hanging="456"/>
        <w:spacing w:after="0" w:line="250" w:lineRule="auto"/>
        <w:tabs>
          <w:tab w:leader="none" w:pos="1400" w:val="left"/>
        </w:tabs>
        <w:rPr>
          <w:sz w:val="20"/>
          <w:szCs w:val="20"/>
          <w:color w:val="auto"/>
        </w:rPr>
      </w:pPr>
      <w:r>
        <w:rPr>
          <w:rFonts w:ascii="Arial" w:cs="Arial" w:eastAsia="Arial" w:hAnsi="Arial"/>
          <w:sz w:val="14"/>
          <w:szCs w:val="14"/>
          <w:color w:val="auto"/>
        </w:rPr>
        <w:t>4.26</w:t>
        <w:tab/>
        <w:t>Indenture, dated as of July 13, 1999, by and between First Maryland Bancorp and The Bank of New York. Incorporated by reference to Exhibit 4.2 to the Registration Statement on Form S-4 of Allfirst Financial Inc., Allfirst Preferred Capital Trust and Allfirst Preferred Asset Trust dated October 5, 1999 (File No. 333-88484).</w:t>
      </w:r>
    </w:p>
    <w:p>
      <w:pPr>
        <w:spacing w:after="0" w:line="1" w:lineRule="exact"/>
        <w:rPr>
          <w:sz w:val="20"/>
          <w:szCs w:val="20"/>
          <w:color w:val="auto"/>
        </w:rPr>
      </w:pPr>
    </w:p>
    <w:p>
      <w:pPr>
        <w:jc w:val="both"/>
        <w:ind w:left="1420" w:right="160" w:hanging="456"/>
        <w:spacing w:after="0" w:line="244" w:lineRule="auto"/>
        <w:tabs>
          <w:tab w:leader="none" w:pos="1400" w:val="left"/>
        </w:tabs>
        <w:rPr>
          <w:sz w:val="20"/>
          <w:szCs w:val="20"/>
          <w:color w:val="auto"/>
        </w:rPr>
      </w:pPr>
      <w:r>
        <w:rPr>
          <w:rFonts w:ascii="Arial" w:cs="Arial" w:eastAsia="Arial" w:hAnsi="Arial"/>
          <w:sz w:val="14"/>
          <w:szCs w:val="14"/>
          <w:color w:val="auto"/>
        </w:rPr>
        <w:t>4.27</w:t>
        <w:tab/>
        <w:t>Supplemental Indenture No. 1, dated as of September 15, 1999, by and between Allfirst Financial Inc. (successor by merger to First Maryland Bancorp) and The Bank of New York. Incorporated by reference to Exhibit 4.1 to the Registration Statement on Form S-4 of Allfirst Financial Inc., Allfirst Preferred Capital Trust and Allfirst Preferred Asset Trust dated October 5, 1999 (File No. 333-88484).</w:t>
      </w:r>
    </w:p>
    <w:p>
      <w:pPr>
        <w:spacing w:after="0" w:line="1" w:lineRule="exact"/>
        <w:rPr>
          <w:sz w:val="20"/>
          <w:szCs w:val="20"/>
          <w:color w:val="auto"/>
        </w:rPr>
      </w:pPr>
    </w:p>
    <w:p>
      <w:pPr>
        <w:ind w:left="1420" w:right="40" w:hanging="456"/>
        <w:spacing w:after="0" w:line="244" w:lineRule="auto"/>
        <w:tabs>
          <w:tab w:leader="none" w:pos="1400" w:val="left"/>
        </w:tabs>
        <w:rPr>
          <w:sz w:val="20"/>
          <w:szCs w:val="20"/>
          <w:color w:val="auto"/>
        </w:rPr>
      </w:pPr>
      <w:r>
        <w:rPr>
          <w:rFonts w:ascii="Arial" w:cs="Arial" w:eastAsia="Arial" w:hAnsi="Arial"/>
          <w:sz w:val="14"/>
          <w:szCs w:val="14"/>
          <w:color w:val="auto"/>
        </w:rPr>
        <w:t>4.28</w:t>
        <w:tab/>
        <w:t>Supplemental Indenture No. 2, dated as of April 1, 2003, by and between M&amp;T Bank Corporation (successor by merger to Allfirst Financial Inc.) and The Bank of New York. Incorporated by reference to Exhibit 4.40 to the Form 10-K for the year ended December 31, 2003 (File No. 1-9861).</w:t>
      </w:r>
    </w:p>
    <w:p>
      <w:pPr>
        <w:spacing w:after="0" w:line="1" w:lineRule="exact"/>
        <w:rPr>
          <w:sz w:val="20"/>
          <w:szCs w:val="20"/>
          <w:color w:val="auto"/>
        </w:rPr>
      </w:pPr>
    </w:p>
    <w:p>
      <w:pPr>
        <w:ind w:left="1420" w:hanging="456"/>
        <w:spacing w:after="0" w:line="263" w:lineRule="auto"/>
        <w:tabs>
          <w:tab w:leader="none" w:pos="1400" w:val="left"/>
        </w:tabs>
        <w:rPr>
          <w:sz w:val="20"/>
          <w:szCs w:val="20"/>
          <w:color w:val="auto"/>
        </w:rPr>
      </w:pPr>
      <w:r>
        <w:rPr>
          <w:rFonts w:ascii="Arial" w:cs="Arial" w:eastAsia="Arial" w:hAnsi="Arial"/>
          <w:sz w:val="14"/>
          <w:szCs w:val="14"/>
          <w:color w:val="auto"/>
        </w:rPr>
        <w:t>4.29</w:t>
      </w:r>
      <w:r>
        <w:rPr>
          <w:sz w:val="20"/>
          <w:szCs w:val="20"/>
          <w:color w:val="auto"/>
        </w:rPr>
        <w:tab/>
      </w:r>
      <w:r>
        <w:rPr>
          <w:rFonts w:ascii="Arial" w:cs="Arial" w:eastAsia="Arial" w:hAnsi="Arial"/>
          <w:sz w:val="13"/>
          <w:szCs w:val="13"/>
          <w:color w:val="auto"/>
        </w:rPr>
        <w:t>Amended and Restated Declaration of Trust of Allfirst Preferred Capital Trust, dated as of July 13, 1999, by and among First Maryland Bancorp, The Bank of New York, The Bank of New York (Delaware) and the Administrators named therein. Incorporated by reference to Exhibit 4.3 to the Registration Statement on</w:t>
      </w:r>
    </w:p>
    <w:p>
      <w:pPr>
        <w:ind w:left="1420"/>
        <w:spacing w:after="0"/>
        <w:rPr>
          <w:sz w:val="20"/>
          <w:szCs w:val="20"/>
          <w:color w:val="auto"/>
        </w:rPr>
      </w:pPr>
      <w:r>
        <w:rPr>
          <w:rFonts w:ascii="Arial" w:cs="Arial" w:eastAsia="Arial" w:hAnsi="Arial"/>
          <w:sz w:val="14"/>
          <w:szCs w:val="14"/>
          <w:color w:val="auto"/>
        </w:rPr>
        <w:t>Form S-4 of Allfirst Financial Inc., Allfirst Preferred Capital Trust and Allfirst Preferred Asset Trust dated October 5, 1999 (File No. 333-88484).</w:t>
      </w:r>
    </w:p>
    <w:p>
      <w:pPr>
        <w:spacing w:after="0" w:line="3"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4"/>
          <w:szCs w:val="14"/>
          <w:color w:val="auto"/>
        </w:rPr>
        <w:t>4.30</w:t>
      </w:r>
      <w:r>
        <w:rPr>
          <w:sz w:val="20"/>
          <w:szCs w:val="20"/>
          <w:color w:val="auto"/>
        </w:rPr>
        <w:tab/>
      </w:r>
      <w:r>
        <w:rPr>
          <w:rFonts w:ascii="Arial" w:cs="Arial" w:eastAsia="Arial" w:hAnsi="Arial"/>
          <w:sz w:val="12"/>
          <w:szCs w:val="12"/>
          <w:color w:val="auto"/>
        </w:rPr>
        <w:t>Amended and Restated Declaration of Trust of Allfirst Preferred Asset Trust, dated as of July 13, 1999, by and among First Maryland Bancorp, The Bank of New</w:t>
      </w:r>
    </w:p>
    <w:p>
      <w:pPr>
        <w:spacing w:after="0" w:line="3" w:lineRule="exact"/>
        <w:rPr>
          <w:sz w:val="20"/>
          <w:szCs w:val="20"/>
          <w:color w:val="auto"/>
        </w:rPr>
      </w:pPr>
    </w:p>
    <w:p>
      <w:pPr>
        <w:ind w:left="1420" w:right="540"/>
        <w:spacing w:after="0" w:line="263" w:lineRule="auto"/>
        <w:rPr>
          <w:sz w:val="20"/>
          <w:szCs w:val="20"/>
          <w:color w:val="auto"/>
        </w:rPr>
      </w:pPr>
      <w:r>
        <w:rPr>
          <w:rFonts w:ascii="Arial" w:cs="Arial" w:eastAsia="Arial" w:hAnsi="Arial"/>
          <w:sz w:val="13"/>
          <w:szCs w:val="13"/>
          <w:color w:val="auto"/>
        </w:rPr>
        <w:t>York, The Bank of New York (Delaware) and the Administrators named therein. Incorporated by reference to Exhibit 4.4 to the Registration Statement on Form S-4 of Allfirst Financial Inc., Allfirst Preferred Capital Trust and Allfirst Preferred Asset Trust dated October 5, 1999 (File No. 333-88484).</w:t>
      </w:r>
    </w:p>
    <w:p>
      <w:pPr>
        <w:ind w:left="1420" w:right="500" w:hanging="456"/>
        <w:spacing w:after="0" w:line="244" w:lineRule="auto"/>
        <w:tabs>
          <w:tab w:leader="none" w:pos="1400" w:val="left"/>
        </w:tabs>
        <w:rPr>
          <w:sz w:val="20"/>
          <w:szCs w:val="20"/>
          <w:color w:val="auto"/>
        </w:rPr>
      </w:pPr>
      <w:r>
        <w:rPr>
          <w:rFonts w:ascii="Arial" w:cs="Arial" w:eastAsia="Arial" w:hAnsi="Arial"/>
          <w:sz w:val="14"/>
          <w:szCs w:val="14"/>
          <w:color w:val="auto"/>
        </w:rPr>
        <w:t>4.31</w:t>
        <w:tab/>
        <w:t>Indenture, dated as of May 15, 1992, by and between First Maryland Bancorp and Bankers Trust Company. Incorporated by reference to Exhibit 4.2 to the Registration Statement on Form S-1 of First Maryland Bancorp (File No. 33-46277).</w:t>
      </w:r>
    </w:p>
    <w:p>
      <w:pPr>
        <w:spacing w:after="0" w:line="1" w:lineRule="exact"/>
        <w:rPr>
          <w:sz w:val="20"/>
          <w:szCs w:val="20"/>
          <w:color w:val="auto"/>
        </w:rPr>
      </w:pPr>
    </w:p>
    <w:p>
      <w:pPr>
        <w:ind w:left="1420" w:right="420" w:hanging="456"/>
        <w:spacing w:after="0" w:line="285" w:lineRule="auto"/>
        <w:tabs>
          <w:tab w:leader="none" w:pos="1400" w:val="left"/>
        </w:tabs>
        <w:rPr>
          <w:sz w:val="20"/>
          <w:szCs w:val="20"/>
          <w:color w:val="auto"/>
        </w:rPr>
      </w:pPr>
      <w:r>
        <w:rPr>
          <w:rFonts w:ascii="Arial" w:cs="Arial" w:eastAsia="Arial" w:hAnsi="Arial"/>
          <w:sz w:val="14"/>
          <w:szCs w:val="14"/>
          <w:color w:val="auto"/>
        </w:rPr>
        <w:t>4.32</w:t>
      </w:r>
      <w:r>
        <w:rPr>
          <w:sz w:val="20"/>
          <w:szCs w:val="20"/>
          <w:color w:val="auto"/>
        </w:rPr>
        <w:tab/>
      </w:r>
      <w:r>
        <w:rPr>
          <w:rFonts w:ascii="Arial" w:cs="Arial" w:eastAsia="Arial" w:hAnsi="Arial"/>
          <w:sz w:val="12"/>
          <w:szCs w:val="12"/>
          <w:color w:val="auto"/>
        </w:rPr>
        <w:t>Supplemental Indenture No. 1, dated as of September 15, 1999, by and between Allfirst Financial Inc. (successor by merger to First Maryland Bancorp) and Bankers Trust Company. Incorporated by reference to Exhibit 4.1 to the Form 8-K of Allfirst Financial Inc. dated September 15, 1999 (File No. 2-50235).</w:t>
      </w:r>
    </w:p>
    <w:p>
      <w:pPr>
        <w:ind w:left="1420" w:right="220" w:hanging="456"/>
        <w:spacing w:after="0" w:line="244" w:lineRule="auto"/>
        <w:tabs>
          <w:tab w:leader="none" w:pos="1400" w:val="left"/>
        </w:tabs>
        <w:rPr>
          <w:sz w:val="20"/>
          <w:szCs w:val="20"/>
          <w:color w:val="auto"/>
        </w:rPr>
      </w:pPr>
      <w:r>
        <w:rPr>
          <w:rFonts w:ascii="Arial" w:cs="Arial" w:eastAsia="Arial" w:hAnsi="Arial"/>
          <w:sz w:val="14"/>
          <w:szCs w:val="14"/>
          <w:color w:val="auto"/>
        </w:rPr>
        <w:t>4.33</w:t>
        <w:tab/>
        <w:t>Supplemental Indenture No. 2, dated as of April 1, 2003, by and between M&amp;T Bank Corporation (successor by merger to Allfirst Financial Inc.) and Deutsche Bank Trust Company Americas (formerly known as Bankers Trust Company). Incorporated by reference to Exhibit 4.48 to the Form 10-K for the year ended December 31, 2003 (File No. 1-9861).</w:t>
      </w:r>
    </w:p>
    <w:p>
      <w:pPr>
        <w:spacing w:after="0" w:line="1" w:lineRule="exact"/>
        <w:rPr>
          <w:sz w:val="20"/>
          <w:szCs w:val="20"/>
          <w:color w:val="auto"/>
        </w:rPr>
      </w:pPr>
    </w:p>
    <w:p>
      <w:pPr>
        <w:ind w:left="1420" w:right="540" w:hanging="456"/>
        <w:spacing w:after="0" w:line="244" w:lineRule="auto"/>
        <w:tabs>
          <w:tab w:leader="none" w:pos="1400" w:val="left"/>
        </w:tabs>
        <w:rPr>
          <w:sz w:val="20"/>
          <w:szCs w:val="20"/>
          <w:color w:val="auto"/>
        </w:rPr>
      </w:pPr>
      <w:r>
        <w:rPr>
          <w:rFonts w:ascii="Arial" w:cs="Arial" w:eastAsia="Arial" w:hAnsi="Arial"/>
          <w:sz w:val="14"/>
          <w:szCs w:val="14"/>
          <w:color w:val="auto"/>
        </w:rPr>
        <w:t>4.34</w:t>
        <w:tab/>
        <w:t>Indenture, dated as of May 24, 2007, by and between M&amp;T Bank Corporation and The Bank of New York. Incorporated by reference to Exhibit 4.2 to the Form 8-K dated May 24, 2007 (File No. 1-9861).</w:t>
      </w:r>
    </w:p>
    <w:p>
      <w:pPr>
        <w:spacing w:after="0" w:line="1" w:lineRule="exact"/>
        <w:rPr>
          <w:sz w:val="20"/>
          <w:szCs w:val="20"/>
          <w:color w:val="auto"/>
        </w:rPr>
      </w:pPr>
    </w:p>
    <w:p>
      <w:pPr>
        <w:ind w:left="1420" w:right="440" w:hanging="456"/>
        <w:spacing w:after="0" w:line="244" w:lineRule="auto"/>
        <w:tabs>
          <w:tab w:leader="none" w:pos="1400" w:val="left"/>
        </w:tabs>
        <w:rPr>
          <w:sz w:val="20"/>
          <w:szCs w:val="20"/>
          <w:color w:val="auto"/>
        </w:rPr>
      </w:pPr>
      <w:r>
        <w:rPr>
          <w:rFonts w:ascii="Arial" w:cs="Arial" w:eastAsia="Arial" w:hAnsi="Arial"/>
          <w:sz w:val="14"/>
          <w:szCs w:val="14"/>
          <w:color w:val="auto"/>
        </w:rPr>
        <w:t>4.35</w:t>
        <w:tab/>
        <w:t>First Supplemental Indenture, dated as of May 24, 2007, by and between M&amp;T Bank Corporation and The Bank of New York. Incorporated by reference to Exhibit 4.1 to the Form 8-K dated May 24, 2007 (File No. 1-9861).</w:t>
      </w:r>
    </w:p>
    <w:p>
      <w:pPr>
        <w:spacing w:after="0" w:line="1" w:lineRule="exact"/>
        <w:rPr>
          <w:sz w:val="20"/>
          <w:szCs w:val="20"/>
          <w:color w:val="auto"/>
        </w:rPr>
      </w:pPr>
    </w:p>
    <w:p>
      <w:pPr>
        <w:ind w:left="1420" w:right="180" w:hanging="456"/>
        <w:spacing w:after="0" w:line="244" w:lineRule="auto"/>
        <w:tabs>
          <w:tab w:leader="none" w:pos="1400" w:val="left"/>
        </w:tabs>
        <w:rPr>
          <w:sz w:val="20"/>
          <w:szCs w:val="20"/>
          <w:color w:val="auto"/>
        </w:rPr>
      </w:pPr>
      <w:r>
        <w:rPr>
          <w:rFonts w:ascii="Arial" w:cs="Arial" w:eastAsia="Arial" w:hAnsi="Arial"/>
          <w:sz w:val="14"/>
          <w:szCs w:val="14"/>
          <w:color w:val="auto"/>
        </w:rPr>
        <w:t>4.36</w:t>
        <w:tab/>
        <w:t>Registration Rights Agreement, dated April 1, 2003, between M&amp;T Bank Corporation and Allied Irish Banks, p.l.c. Incorporated by reference to Exhibit 4.23 to the Form 10-Q for the quarter ended March 31, 2003 (File No. 1-9861).</w:t>
      </w:r>
    </w:p>
    <w:p>
      <w:pPr>
        <w:spacing w:after="0" w:line="1" w:lineRule="exact"/>
        <w:rPr>
          <w:sz w:val="20"/>
          <w:szCs w:val="20"/>
          <w:color w:val="auto"/>
        </w:rPr>
      </w:pPr>
    </w:p>
    <w:p>
      <w:pPr>
        <w:ind w:left="1420" w:right="620" w:hanging="526"/>
        <w:spacing w:after="0" w:line="244" w:lineRule="auto"/>
        <w:tabs>
          <w:tab w:leader="none" w:pos="140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Credit Agreement, dated as of December 15, 2000, between M&amp;T Bank Corporation and Citibank, N.A. Incorporated by reference to Exhibit 10.1 to the Form 10-K for the year ended December 31, 2000 (File No. 1-9861).</w:t>
      </w:r>
    </w:p>
    <w:p>
      <w:pPr>
        <w:spacing w:after="0" w:line="1" w:lineRule="exact"/>
        <w:rPr>
          <w:sz w:val="20"/>
          <w:szCs w:val="20"/>
          <w:color w:val="auto"/>
        </w:rPr>
      </w:pPr>
    </w:p>
    <w:p>
      <w:pPr>
        <w:ind w:left="1420" w:right="140" w:hanging="526"/>
        <w:spacing w:after="0" w:line="244" w:lineRule="auto"/>
        <w:tabs>
          <w:tab w:leader="none" w:pos="140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Waiver, dated as of January 15, 2003, to Credit Agreement dated as of December 15, 2000, between M&amp;T Bank Corporation and Citibank, N.A. Incorporated by reference to Exhibit 10.2 to the Form 10-K for the year ended December 31, 2002 (File No. 1-9861).</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2"/>
          <w:szCs w:val="12"/>
          <w:color w:val="auto"/>
        </w:rPr>
        <w:t>Amendment No. 1, dated December 9, 2003, to the Credit Agreement, dated as of December 15, 2000, between M&amp;T Bank Corporation and Citibank, N.A.</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Incorporated by reference to Exhibit 10.3 to the Form 10-K for the year ended December 31, 2003 (File No. 1-9861).</w:t>
      </w:r>
    </w:p>
    <w:p>
      <w:pPr>
        <w:spacing w:after="0" w:line="3" w:lineRule="exact"/>
        <w:rPr>
          <w:sz w:val="20"/>
          <w:szCs w:val="20"/>
          <w:color w:val="auto"/>
        </w:rPr>
      </w:pPr>
    </w:p>
    <w:p>
      <w:pPr>
        <w:ind w:left="1420" w:right="240" w:hanging="526"/>
        <w:spacing w:after="0" w:line="244" w:lineRule="auto"/>
        <w:tabs>
          <w:tab w:leader="none" w:pos="14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M&amp;T Bank Corporation 1983 Stock Option Plan as last amended on April 20, 1999. Incorporated by reference to Exhibit 10.3 to the Form 10-Q for the quarter ended March 31, 1999 (File No. 1-9861).*</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3"/>
          <w:szCs w:val="13"/>
          <w:color w:val="auto"/>
        </w:rPr>
        <w:t>M&amp;T Bank Corporation 2001 Stock Option Plan. Incorporated by reference to Appendix A to the Proxy Statement of M&amp;T Bank Corporation dated March 6,</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2001 (File No. 1-9861).*</w:t>
      </w:r>
    </w:p>
    <w:p>
      <w:pPr>
        <w:spacing w:after="0" w:line="3" w:lineRule="exact"/>
        <w:rPr>
          <w:sz w:val="20"/>
          <w:szCs w:val="20"/>
          <w:color w:val="auto"/>
        </w:rPr>
      </w:pPr>
    </w:p>
    <w:p>
      <w:pPr>
        <w:ind w:left="1420" w:right="260" w:hanging="526"/>
        <w:spacing w:after="0" w:line="255" w:lineRule="auto"/>
        <w:tabs>
          <w:tab w:leader="none" w:pos="140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M&amp;T Bank Corporation Annual Executive Incentive Plan. Incorporated by reference to Exhibit No. 10.3 to the Form 10-Q for the quarter ended June 30, 1998 (File No. 1-9861).*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1420" w:right="520" w:hanging="526"/>
        <w:spacing w:after="0" w:line="253" w:lineRule="auto"/>
        <w:tabs>
          <w:tab w:leader="none" w:pos="140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Supplemental Deferred Compensation Agreement between Manufacturers and Traders Trust Company and Robert E. Sadler, Jr. dated as of March 7,1985. Incorporated by reference to Exhibit (10)(d)(A) to the Form 10-K for the year ended December 31, 1984 (File No. 0-4561).*</w:t>
      </w:r>
    </w:p>
    <w:p>
      <w:pPr>
        <w:spacing w:after="0" w:line="1" w:lineRule="exact"/>
        <w:rPr>
          <w:sz w:val="20"/>
          <w:szCs w:val="20"/>
          <w:color w:val="auto"/>
        </w:rPr>
      </w:pPr>
    </w:p>
    <w:p>
      <w:pPr>
        <w:ind w:left="1420" w:right="220" w:hanging="526"/>
        <w:spacing w:after="0" w:line="244" w:lineRule="auto"/>
        <w:tabs>
          <w:tab w:leader="none" w:pos="140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First amendment, dated as of August 1, 2006, to the Supplemental Deferred Compensation Agreement between Manufacturers and Traders Trust Company and Robert E. Sadler, Jr. dated as of March 7, 1985. Incorporated by reference to Exhibit 10.1 to the Form 10-Q for the quarter ended September 30, 2006 (File No. 1-9861).*</w:t>
      </w:r>
    </w:p>
    <w:p>
      <w:pPr>
        <w:spacing w:after="0" w:line="1" w:lineRule="exact"/>
        <w:rPr>
          <w:sz w:val="20"/>
          <w:szCs w:val="20"/>
          <w:color w:val="auto"/>
        </w:rPr>
      </w:pPr>
    </w:p>
    <w:p>
      <w:pPr>
        <w:ind w:left="1420" w:hanging="526"/>
        <w:spacing w:after="0" w:line="244" w:lineRule="auto"/>
        <w:tabs>
          <w:tab w:leader="none" w:pos="140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Supplemental Deferred Compensation Agreement between Manufacturers and Traders Trust Company and Brian E. Hickey dated as of July 21, 1994. Incorporated by reference to Exhibit 10.8 to the Form 10-K for the year ended December 31, 1995 (File No. 1-9861).*</w:t>
      </w:r>
    </w:p>
    <w:p>
      <w:pPr>
        <w:spacing w:after="0" w:line="1" w:lineRule="exact"/>
        <w:rPr>
          <w:sz w:val="20"/>
          <w:szCs w:val="20"/>
          <w:color w:val="auto"/>
        </w:rPr>
      </w:pPr>
    </w:p>
    <w:p>
      <w:pPr>
        <w:jc w:val="center"/>
        <w:ind w:right="-659"/>
        <w:spacing w:after="0"/>
        <w:tabs>
          <w:tab w:leader="none" w:pos="20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2"/>
          <w:szCs w:val="12"/>
          <w:color w:val="auto"/>
        </w:rPr>
        <w:t>First amendment, dated as of August 1, 2006, to the Supplemental Deferred Compensation Agreement between Manufacturers and Traders Trust Company and</w:t>
      </w:r>
    </w:p>
    <w:p>
      <w:pPr>
        <w:spacing w:after="0" w:line="3" w:lineRule="exact"/>
        <w:rPr>
          <w:sz w:val="20"/>
          <w:szCs w:val="20"/>
          <w:color w:val="auto"/>
        </w:rPr>
      </w:pPr>
    </w:p>
    <w:p>
      <w:pPr>
        <w:ind w:left="1420" w:right="760"/>
        <w:spacing w:after="0" w:line="244" w:lineRule="auto"/>
        <w:rPr>
          <w:sz w:val="20"/>
          <w:szCs w:val="20"/>
          <w:color w:val="auto"/>
        </w:rPr>
      </w:pPr>
      <w:r>
        <w:rPr>
          <w:rFonts w:ascii="Arial" w:cs="Arial" w:eastAsia="Arial" w:hAnsi="Arial"/>
          <w:sz w:val="14"/>
          <w:szCs w:val="14"/>
          <w:color w:val="auto"/>
        </w:rPr>
        <w:t>Brian E. Hickey dated as of July 21, 1994. Incorporated by reference to Exhibit 10.2 to the Form 10-Q for the quarter ended September 30, 2006 (File No. 1-9861).*</w:t>
      </w:r>
    </w:p>
    <w:p>
      <w:pPr>
        <w:spacing w:after="0" w:line="1" w:lineRule="exact"/>
        <w:rPr>
          <w:sz w:val="20"/>
          <w:szCs w:val="20"/>
          <w:color w:val="auto"/>
        </w:rPr>
      </w:pPr>
    </w:p>
    <w:p>
      <w:pPr>
        <w:ind w:left="1420" w:right="380" w:hanging="526"/>
        <w:spacing w:after="0" w:line="244" w:lineRule="auto"/>
        <w:tabs>
          <w:tab w:leader="none" w:pos="1400" w:val="left"/>
        </w:tabs>
        <w:rPr>
          <w:sz w:val="20"/>
          <w:szCs w:val="20"/>
          <w:color w:val="auto"/>
        </w:rPr>
      </w:pPr>
      <w:r>
        <w:rPr>
          <w:rFonts w:ascii="Arial" w:cs="Arial" w:eastAsia="Arial" w:hAnsi="Arial"/>
          <w:sz w:val="14"/>
          <w:szCs w:val="14"/>
          <w:color w:val="auto"/>
        </w:rPr>
        <w:t>10.11</w:t>
        <w:tab/>
        <w:t>Supplemental Deferred Compensation Agreement, dated July 17, 1989, between The East New York Savings Bank and Atwood Collins, III. Incorporated by reference to Exhibit 10.11 to the Form 10-K for the year ended December 31, 1991 (File No. 1-9861).*</w:t>
      </w:r>
    </w:p>
    <w:p>
      <w:pPr>
        <w:spacing w:after="0" w:line="1" w:lineRule="exact"/>
        <w:rPr>
          <w:sz w:val="20"/>
          <w:szCs w:val="20"/>
          <w:color w:val="auto"/>
        </w:rPr>
      </w:pPr>
    </w:p>
    <w:p>
      <w:pPr>
        <w:jc w:val="center"/>
        <w:ind w:right="-779"/>
        <w:spacing w:after="0"/>
        <w:tabs>
          <w:tab w:leader="none" w:pos="20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2"/>
          <w:szCs w:val="12"/>
          <w:color w:val="auto"/>
        </w:rPr>
        <w:t>First amendment, dated as of August 1, 2006, to the Supplemental Deferred Compensation Agreement, dated July 17, 1989, between The East New York Savings</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Bank and Atwood Collins, III. Incorporated by reference to Exhibit 10.3 to the Form 10-Q for the quarter ended September 30, 2006 (File No. 1-9861).*</w:t>
      </w:r>
    </w:p>
    <w:p>
      <w:pPr>
        <w:spacing w:after="0" w:line="1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2"/>
          <w:szCs w:val="12"/>
          <w:color w:val="auto"/>
        </w:rPr>
        <w:t>M&amp;T Bank Corporation Supplemental Pension Plan, as amended and restated. Incorporated by reference to Exhibit 10.1 to the Form 8-K dated November 15,</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2005 (File No. 1-9861).*</w:t>
      </w:r>
    </w:p>
    <w:p>
      <w:pPr>
        <w:spacing w:after="0" w:line="3" w:lineRule="exact"/>
        <w:rPr>
          <w:sz w:val="20"/>
          <w:szCs w:val="20"/>
          <w:color w:val="auto"/>
        </w:rPr>
      </w:pPr>
    </w:p>
    <w:p>
      <w:pPr>
        <w:ind w:left="1420" w:right="460" w:hanging="526"/>
        <w:spacing w:after="0" w:line="244" w:lineRule="auto"/>
        <w:tabs>
          <w:tab w:leader="none" w:pos="1400" w:val="left"/>
        </w:tabs>
        <w:rPr>
          <w:sz w:val="20"/>
          <w:szCs w:val="20"/>
          <w:color w:val="auto"/>
        </w:rPr>
      </w:pPr>
      <w:r>
        <w:rPr>
          <w:rFonts w:ascii="Arial" w:cs="Arial" w:eastAsia="Arial" w:hAnsi="Arial"/>
          <w:sz w:val="14"/>
          <w:szCs w:val="14"/>
          <w:color w:val="auto"/>
        </w:rPr>
        <w:t>10.14</w:t>
        <w:tab/>
        <w:t>M&amp;T Bank Corporation Supplemental Retirement Savings Plan. Incorporated by reference to Exhibit 10.2 to the Form 8-K dated November 15, 2005 (File No. 1-9861).*</w:t>
      </w:r>
    </w:p>
    <w:p>
      <w:pPr>
        <w:spacing w:after="0" w:line="1" w:lineRule="exact"/>
        <w:rPr>
          <w:sz w:val="20"/>
          <w:szCs w:val="20"/>
          <w:color w:val="auto"/>
        </w:rPr>
      </w:pPr>
    </w:p>
    <w:p>
      <w:pPr>
        <w:ind w:left="1420" w:right="640" w:hanging="526"/>
        <w:spacing w:after="0" w:line="244" w:lineRule="auto"/>
        <w:tabs>
          <w:tab w:leader="none" w:pos="1400" w:val="left"/>
        </w:tabs>
        <w:rPr>
          <w:sz w:val="20"/>
          <w:szCs w:val="20"/>
          <w:color w:val="auto"/>
        </w:rPr>
      </w:pPr>
      <w:r>
        <w:rPr>
          <w:rFonts w:ascii="Arial" w:cs="Arial" w:eastAsia="Arial" w:hAnsi="Arial"/>
          <w:sz w:val="14"/>
          <w:szCs w:val="14"/>
          <w:color w:val="auto"/>
        </w:rPr>
        <w:t>10.15</w:t>
        <w:tab/>
        <w:t>M&amp;T Bank Corporation Deferred Bonus Plan, as amended and restated. Incorporated by reference to Exhibit 10.12 to the Form 10-K for the year ended December 31, 2004 (File No. 1-9861).*</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10.16</w:t>
      </w:r>
      <w:r>
        <w:rPr>
          <w:sz w:val="20"/>
          <w:szCs w:val="20"/>
          <w:color w:val="auto"/>
        </w:rPr>
        <w:tab/>
      </w:r>
      <w:r>
        <w:rPr>
          <w:rFonts w:ascii="Arial" w:cs="Arial" w:eastAsia="Arial" w:hAnsi="Arial"/>
          <w:sz w:val="12"/>
          <w:szCs w:val="12"/>
          <w:color w:val="auto"/>
        </w:rPr>
        <w:t>M&amp;T Bank Corporation Directors’ Stock Plan, as amended and restated. Incorporated by reference to Exhibit 10.1 to the Form 10-Q for the quarter ended June 30,</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2006 (File No. 1-9361).*</w:t>
      </w:r>
    </w:p>
    <w:p>
      <w:pPr>
        <w:spacing w:after="0" w:line="3" w:lineRule="exact"/>
        <w:rPr>
          <w:sz w:val="20"/>
          <w:szCs w:val="20"/>
          <w:color w:val="auto"/>
        </w:rPr>
      </w:pPr>
    </w:p>
    <w:p>
      <w:pPr>
        <w:ind w:left="1420" w:right="360" w:hanging="526"/>
        <w:spacing w:after="0" w:line="244" w:lineRule="auto"/>
        <w:tabs>
          <w:tab w:leader="none" w:pos="1400" w:val="left"/>
        </w:tabs>
        <w:rPr>
          <w:sz w:val="20"/>
          <w:szCs w:val="20"/>
          <w:color w:val="auto"/>
        </w:rPr>
      </w:pPr>
      <w:r>
        <w:rPr>
          <w:rFonts w:ascii="Arial" w:cs="Arial" w:eastAsia="Arial" w:hAnsi="Arial"/>
          <w:sz w:val="14"/>
          <w:szCs w:val="14"/>
          <w:color w:val="auto"/>
        </w:rPr>
        <w:t>10.17</w:t>
        <w:tab/>
        <w:t>Restated 1987 Stock Option and Appreciation Rights Plan of ONBAN Corp, Inc. Incorporated by reference to Exhibit 10.11 to the Form 10-Q for the quarter ended June 30, 1998 (File No. 1-9861).*</w:t>
      </w:r>
    </w:p>
    <w:p>
      <w:pPr>
        <w:spacing w:after="0" w:line="1" w:lineRule="exact"/>
        <w:rPr>
          <w:sz w:val="20"/>
          <w:szCs w:val="20"/>
          <w:color w:val="auto"/>
        </w:rPr>
      </w:pPr>
    </w:p>
    <w:p>
      <w:pPr>
        <w:ind w:left="1420" w:right="580" w:hanging="526"/>
        <w:spacing w:after="0" w:line="244" w:lineRule="auto"/>
        <w:tabs>
          <w:tab w:leader="none" w:pos="1400" w:val="left"/>
        </w:tabs>
        <w:rPr>
          <w:sz w:val="20"/>
          <w:szCs w:val="20"/>
          <w:color w:val="auto"/>
        </w:rPr>
      </w:pPr>
      <w:r>
        <w:rPr>
          <w:rFonts w:ascii="Arial" w:cs="Arial" w:eastAsia="Arial" w:hAnsi="Arial"/>
          <w:sz w:val="14"/>
          <w:szCs w:val="14"/>
          <w:color w:val="auto"/>
        </w:rPr>
        <w:t>10.18</w:t>
        <w:tab/>
        <w:t>1992 ONBAN Corp Directors’ Stock Option Plan. Incorporated by reference to Exhibit 10.12 to the Form 10-Q for the quarter ended June 30, 1998 (File No. 1-9861).*</w:t>
      </w:r>
    </w:p>
    <w:p>
      <w:pPr>
        <w:spacing w:after="0" w:line="1" w:lineRule="exact"/>
        <w:rPr>
          <w:sz w:val="20"/>
          <w:szCs w:val="20"/>
          <w:color w:val="auto"/>
        </w:rPr>
      </w:pPr>
    </w:p>
    <w:p>
      <w:pPr>
        <w:ind w:left="1420" w:right="220" w:hanging="526"/>
        <w:spacing w:after="0" w:line="244" w:lineRule="auto"/>
        <w:tabs>
          <w:tab w:leader="none" w:pos="1400" w:val="left"/>
        </w:tabs>
        <w:rPr>
          <w:sz w:val="20"/>
          <w:szCs w:val="20"/>
          <w:color w:val="auto"/>
        </w:rPr>
      </w:pPr>
      <w:r>
        <w:rPr>
          <w:rFonts w:ascii="Arial" w:cs="Arial" w:eastAsia="Arial" w:hAnsi="Arial"/>
          <w:sz w:val="14"/>
          <w:szCs w:val="14"/>
          <w:color w:val="auto"/>
        </w:rPr>
        <w:t>10.19</w:t>
        <w:tab/>
        <w:t>Keystone Financial, Inc. 1997 Stock Incentive Plan, as amended November 19, 1998. Incorporated by reference to Exhibit 10.16 to the Form 10-K of Keystone Financial, Inc. for the year ended December 31, 1998 (File No. 000-11460).*</w:t>
      </w:r>
    </w:p>
    <w:p>
      <w:pPr>
        <w:spacing w:after="0" w:line="1" w:lineRule="exact"/>
        <w:rPr>
          <w:sz w:val="20"/>
          <w:szCs w:val="20"/>
          <w:color w:val="auto"/>
        </w:rPr>
      </w:pPr>
    </w:p>
    <w:p>
      <w:pPr>
        <w:ind w:left="1420" w:right="200" w:hanging="526"/>
        <w:spacing w:after="0" w:line="244" w:lineRule="auto"/>
        <w:tabs>
          <w:tab w:leader="none" w:pos="1400" w:val="left"/>
        </w:tabs>
        <w:rPr>
          <w:sz w:val="20"/>
          <w:szCs w:val="20"/>
          <w:color w:val="auto"/>
        </w:rPr>
      </w:pPr>
      <w:r>
        <w:rPr>
          <w:rFonts w:ascii="Arial" w:cs="Arial" w:eastAsia="Arial" w:hAnsi="Arial"/>
          <w:sz w:val="14"/>
          <w:szCs w:val="14"/>
          <w:color w:val="auto"/>
        </w:rPr>
        <w:t>10.20</w:t>
        <w:tab/>
        <w:t>Keystone Financial, Inc. 1992 Stock Incentive Plan. Incorporated by reference to Exhibit 10.10 to the Form 10-K of Keystone Financial, Inc. for the year ended December 31, 1997 (File No. 000-11460).*</w:t>
      </w:r>
    </w:p>
    <w:p>
      <w:pPr>
        <w:spacing w:after="0" w:line="1" w:lineRule="exact"/>
        <w:rPr>
          <w:sz w:val="20"/>
          <w:szCs w:val="20"/>
          <w:color w:val="auto"/>
        </w:rPr>
      </w:pPr>
    </w:p>
    <w:p>
      <w:pPr>
        <w:ind w:left="1420" w:right="280" w:hanging="526"/>
        <w:spacing w:after="0" w:line="244" w:lineRule="auto"/>
        <w:tabs>
          <w:tab w:leader="none" w:pos="1400" w:val="left"/>
        </w:tabs>
        <w:rPr>
          <w:sz w:val="20"/>
          <w:szCs w:val="20"/>
          <w:color w:val="auto"/>
        </w:rPr>
      </w:pPr>
      <w:r>
        <w:rPr>
          <w:rFonts w:ascii="Arial" w:cs="Arial" w:eastAsia="Arial" w:hAnsi="Arial"/>
          <w:sz w:val="14"/>
          <w:szCs w:val="14"/>
          <w:color w:val="auto"/>
        </w:rPr>
        <w:t>10.21</w:t>
        <w:tab/>
        <w:t>Keystone Financial, Inc. 1988 Stock Incentive Plan. Incorporated by reference to Exhibit 10.2 to the Form 10-K of Keystone Financial, Inc. for the year ended December 31, 1998 (File No. 000-11460).*</w:t>
      </w:r>
    </w:p>
    <w:p>
      <w:pPr>
        <w:spacing w:after="0" w:line="1" w:lineRule="exact"/>
        <w:rPr>
          <w:sz w:val="20"/>
          <w:szCs w:val="20"/>
          <w:color w:val="auto"/>
        </w:rPr>
      </w:pPr>
    </w:p>
    <w:p>
      <w:pPr>
        <w:ind w:left="1420" w:right="60" w:hanging="526"/>
        <w:spacing w:after="0" w:line="244" w:lineRule="auto"/>
        <w:tabs>
          <w:tab w:leader="none" w:pos="1400" w:val="left"/>
        </w:tabs>
        <w:rPr>
          <w:sz w:val="20"/>
          <w:szCs w:val="20"/>
          <w:color w:val="auto"/>
        </w:rPr>
      </w:pPr>
      <w:r>
        <w:rPr>
          <w:rFonts w:ascii="Arial" w:cs="Arial" w:eastAsia="Arial" w:hAnsi="Arial"/>
          <w:sz w:val="14"/>
          <w:szCs w:val="14"/>
          <w:color w:val="auto"/>
        </w:rPr>
        <w:t>10.22</w:t>
        <w:tab/>
        <w:t>Keystone Financial, Inc. 1995 Non-Employee Directors’ Stock Option Plan. Incorporated by reference to Exhibit B to the Proxy Statement of Keystone Financial, Inc. dated April 7, 1995 (File No. 000-11460).*</w:t>
      </w:r>
    </w:p>
    <w:p>
      <w:pPr>
        <w:spacing w:after="0" w:line="1" w:lineRule="exact"/>
        <w:rPr>
          <w:sz w:val="20"/>
          <w:szCs w:val="20"/>
          <w:color w:val="auto"/>
        </w:rPr>
      </w:pPr>
    </w:p>
    <w:p>
      <w:pPr>
        <w:ind w:left="1420" w:right="80" w:hanging="526"/>
        <w:spacing w:after="0" w:line="244" w:lineRule="auto"/>
        <w:tabs>
          <w:tab w:leader="none" w:pos="1400" w:val="left"/>
        </w:tabs>
        <w:rPr>
          <w:sz w:val="20"/>
          <w:szCs w:val="20"/>
          <w:color w:val="auto"/>
        </w:rPr>
      </w:pPr>
      <w:r>
        <w:rPr>
          <w:rFonts w:ascii="Arial" w:cs="Arial" w:eastAsia="Arial" w:hAnsi="Arial"/>
          <w:sz w:val="14"/>
          <w:szCs w:val="14"/>
          <w:color w:val="auto"/>
        </w:rPr>
        <w:t>10.23</w:t>
        <w:tab/>
        <w:t>Keystone Financial, Inc. 1990 Non-Employee Directors’ Stock Option Plan, as amended. Incorporated by reference to Exhibit 10.9 to the Form 10-K of Keystone Financial, Inc. for the year ended December 31, 1998 (File No. 000-11460).*</w:t>
      </w:r>
    </w:p>
    <w:p>
      <w:pPr>
        <w:spacing w:after="0" w:line="1" w:lineRule="exact"/>
        <w:rPr>
          <w:sz w:val="20"/>
          <w:szCs w:val="20"/>
          <w:color w:val="auto"/>
        </w:rPr>
      </w:pPr>
    </w:p>
    <w:p>
      <w:pPr>
        <w:ind w:left="1420" w:right="380" w:hanging="526"/>
        <w:spacing w:after="0" w:line="244" w:lineRule="auto"/>
        <w:tabs>
          <w:tab w:leader="none" w:pos="1400" w:val="left"/>
        </w:tabs>
        <w:rPr>
          <w:sz w:val="20"/>
          <w:szCs w:val="20"/>
          <w:color w:val="auto"/>
        </w:rPr>
      </w:pPr>
      <w:r>
        <w:rPr>
          <w:rFonts w:ascii="Arial" w:cs="Arial" w:eastAsia="Arial" w:hAnsi="Arial"/>
          <w:sz w:val="14"/>
          <w:szCs w:val="14"/>
          <w:color w:val="auto"/>
        </w:rPr>
        <w:t>10.24</w:t>
        <w:tab/>
        <w:t>Keystone Financial, Inc. 1992 Director Fee Plan. Incorporated by reference to Exhibit 10.11 to the Form 10-K of Keystone Financial, Inc. for the year ended December 31, 1999 (File No. 000-11460).*</w:t>
      </w:r>
    </w:p>
    <w:p>
      <w:pPr>
        <w:spacing w:after="0" w:line="1" w:lineRule="exact"/>
        <w:rPr>
          <w:sz w:val="20"/>
          <w:szCs w:val="20"/>
          <w:color w:val="auto"/>
        </w:rPr>
      </w:pPr>
    </w:p>
    <w:p>
      <w:pPr>
        <w:ind w:left="1420" w:right="200" w:hanging="526"/>
        <w:spacing w:after="0" w:line="244" w:lineRule="auto"/>
        <w:tabs>
          <w:tab w:leader="none" w:pos="1400" w:val="left"/>
        </w:tabs>
        <w:rPr>
          <w:sz w:val="20"/>
          <w:szCs w:val="20"/>
          <w:color w:val="auto"/>
        </w:rPr>
      </w:pPr>
      <w:r>
        <w:rPr>
          <w:rFonts w:ascii="Arial" w:cs="Arial" w:eastAsia="Arial" w:hAnsi="Arial"/>
          <w:sz w:val="14"/>
          <w:szCs w:val="14"/>
          <w:color w:val="auto"/>
        </w:rPr>
        <w:t>10.25</w:t>
        <w:tab/>
        <w:t>Financial Trust Corp Non-Employee Director Stock Option Plan of 1994. Incorporated by reference to Exhibit 4.1 to the Registration Statement on Form S-8 of Financial Trust Corp, dated March 26, 1996 (File No. 333-01989).*</w:t>
      </w:r>
    </w:p>
    <w:p>
      <w:pPr>
        <w:spacing w:after="0" w:line="1" w:lineRule="exact"/>
        <w:rPr>
          <w:sz w:val="20"/>
          <w:szCs w:val="20"/>
          <w:color w:val="auto"/>
        </w:rPr>
      </w:pPr>
    </w:p>
    <w:p>
      <w:pPr>
        <w:ind w:left="1420" w:hanging="526"/>
        <w:spacing w:after="0" w:line="244" w:lineRule="auto"/>
        <w:tabs>
          <w:tab w:leader="none" w:pos="1400" w:val="left"/>
        </w:tabs>
        <w:rPr>
          <w:sz w:val="20"/>
          <w:szCs w:val="20"/>
          <w:color w:val="auto"/>
        </w:rPr>
      </w:pPr>
      <w:r>
        <w:rPr>
          <w:rFonts w:ascii="Arial" w:cs="Arial" w:eastAsia="Arial" w:hAnsi="Arial"/>
          <w:sz w:val="14"/>
          <w:szCs w:val="14"/>
          <w:color w:val="auto"/>
        </w:rPr>
        <w:t>10.26</w:t>
        <w:tab/>
        <w:t>Progressive Bank, Inc. 1993 Non-Qualified Stock Option Plan for Directors. Incorporated by reference to Exhibit 10.9 to the Progressive Bank, Inc. Form 10-K for the year ended December 31, 1993 (File No. 0-15025).*</w:t>
      </w:r>
    </w:p>
    <w:p>
      <w:pPr>
        <w:spacing w:after="0" w:line="1" w:lineRule="exact"/>
        <w:rPr>
          <w:sz w:val="20"/>
          <w:szCs w:val="20"/>
          <w:color w:val="auto"/>
        </w:rPr>
      </w:pPr>
    </w:p>
    <w:p>
      <w:pPr>
        <w:ind w:left="1420" w:right="320" w:hanging="526"/>
        <w:spacing w:after="0" w:line="255" w:lineRule="auto"/>
        <w:tabs>
          <w:tab w:leader="none" w:pos="1400" w:val="left"/>
        </w:tabs>
        <w:rPr>
          <w:sz w:val="20"/>
          <w:szCs w:val="20"/>
          <w:color w:val="auto"/>
        </w:rPr>
      </w:pPr>
      <w:r>
        <w:rPr>
          <w:rFonts w:ascii="Arial" w:cs="Arial" w:eastAsia="Arial" w:hAnsi="Arial"/>
          <w:sz w:val="14"/>
          <w:szCs w:val="14"/>
          <w:color w:val="auto"/>
        </w:rPr>
        <w:t>10.27</w:t>
        <w:tab/>
        <w:t>Premier National Bancorp, Inc. 1995 Incentive Stock Plan (as amended and restated effective May 13, 1999). Incorporated by reference to Exhibit 10.4 to the Premier National Bancorp, Inc. Form 10-K for the year ended December 31, 1999 (File No. 1-13213).*</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ind w:left="1420" w:right="140" w:hanging="526"/>
        <w:spacing w:after="0" w:line="253" w:lineRule="auto"/>
        <w:tabs>
          <w:tab w:leader="none" w:pos="1400" w:val="left"/>
        </w:tabs>
        <w:rPr>
          <w:sz w:val="20"/>
          <w:szCs w:val="20"/>
          <w:color w:val="auto"/>
        </w:rPr>
      </w:pPr>
      <w:r>
        <w:rPr>
          <w:rFonts w:ascii="Arial" w:cs="Arial" w:eastAsia="Arial" w:hAnsi="Arial"/>
          <w:sz w:val="14"/>
          <w:szCs w:val="14"/>
          <w:color w:val="auto"/>
        </w:rPr>
        <w:t>10.28</w:t>
        <w:tab/>
        <w:t>M&amp;T Bank Corporation Employee Stock Purchase Plan. Incorporated by reference to Exhibit 10.28 to the Form 10-Q for the quarter ended September 30, 2002 (File No. 1-9861).*</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10.29</w:t>
      </w:r>
      <w:r>
        <w:rPr>
          <w:sz w:val="20"/>
          <w:szCs w:val="20"/>
          <w:color w:val="auto"/>
        </w:rPr>
        <w:tab/>
      </w:r>
      <w:r>
        <w:rPr>
          <w:rFonts w:ascii="Arial" w:cs="Arial" w:eastAsia="Arial" w:hAnsi="Arial"/>
          <w:sz w:val="13"/>
          <w:szCs w:val="13"/>
          <w:color w:val="auto"/>
        </w:rPr>
        <w:t>M&amp;T Bank Corporation 2005 Incentive Compensation Plan. Incorporated by reference to Exhibit 10 to the Form 8-K dated April 19, 2005 (File No. 1-9861).*</w:t>
      </w:r>
    </w:p>
    <w:p>
      <w:pPr>
        <w:spacing w:after="0" w:line="3" w:lineRule="exact"/>
        <w:rPr>
          <w:sz w:val="20"/>
          <w:szCs w:val="20"/>
          <w:color w:val="auto"/>
        </w:rPr>
      </w:pPr>
    </w:p>
    <w:p>
      <w:pPr>
        <w:ind w:left="1420" w:right="440" w:hanging="526"/>
        <w:spacing w:after="0" w:line="244" w:lineRule="auto"/>
        <w:tabs>
          <w:tab w:leader="none" w:pos="1400" w:val="left"/>
        </w:tabs>
        <w:rPr>
          <w:sz w:val="20"/>
          <w:szCs w:val="20"/>
          <w:color w:val="auto"/>
        </w:rPr>
      </w:pPr>
      <w:r>
        <w:rPr>
          <w:rFonts w:ascii="Arial" w:cs="Arial" w:eastAsia="Arial" w:hAnsi="Arial"/>
          <w:sz w:val="14"/>
          <w:szCs w:val="14"/>
          <w:color w:val="auto"/>
        </w:rPr>
        <w:t>10.30</w:t>
        <w:tab/>
        <w:t>M&amp;T Bank Corporation Employee Severance Plan. Incorporated by reference to Exhibit 10.2 to the Form 10-Q for the quarter ended March 31, 2005 (File No. 1-9861).*</w:t>
      </w:r>
    </w:p>
    <w:p>
      <w:pPr>
        <w:spacing w:after="0" w:line="1" w:lineRule="exact"/>
        <w:rPr>
          <w:sz w:val="20"/>
          <w:szCs w:val="20"/>
          <w:color w:val="auto"/>
        </w:rPr>
      </w:pPr>
    </w:p>
    <w:p>
      <w:pPr>
        <w:ind w:left="1420" w:hanging="521"/>
        <w:spacing w:after="0" w:line="244" w:lineRule="auto"/>
        <w:tabs>
          <w:tab w:leader="none" w:pos="14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Statement re: Computation of Earnings Per Common Share. Incorporated by reference to note 13 of Notes to Financial Statements filed herewith in Part II, Item 8, “Financial Statements and Supplementary Data.”</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2"/>
          <w:szCs w:val="12"/>
          <w:color w:val="auto"/>
        </w:rPr>
        <w:t>Ratio of Earnings to Fixed Charges. Filed herewith.</w:t>
      </w:r>
    </w:p>
    <w:p>
      <w:pPr>
        <w:spacing w:after="0" w:line="3" w:lineRule="exact"/>
        <w:rPr>
          <w:sz w:val="20"/>
          <w:szCs w:val="20"/>
          <w:color w:val="auto"/>
        </w:rPr>
      </w:pPr>
    </w:p>
    <w:p>
      <w:pPr>
        <w:ind w:left="1420" w:right="240" w:hanging="526"/>
        <w:spacing w:after="0" w:line="244" w:lineRule="auto"/>
        <w:tabs>
          <w:tab w:leader="none" w:pos="140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4"/>
          <w:szCs w:val="14"/>
          <w:color w:val="auto"/>
        </w:rPr>
        <w:t>M&amp;T Bank Corporation Code of Ethics for CEO and Senior Financial Officers. Incorporated by reference to Exhibit 14.1 to the Form 10-K for the year ended December 31, 2003 (File No. 1-9861).</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2"/>
          <w:szCs w:val="12"/>
          <w:color w:val="auto"/>
        </w:rPr>
        <w:t>Subsidiaries of the Registrant. Incorporated by reference to the caption “Subsidiaries” contained in Part I, Item 1 hereof.</w:t>
      </w:r>
    </w:p>
    <w:p>
      <w:pPr>
        <w:spacing w:after="0" w:line="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2"/>
          <w:szCs w:val="12"/>
          <w:color w:val="auto"/>
        </w:rPr>
        <w:t>Consent of PricewaterhouseCoopers LLP re: Registration Statement Nos. 333-57330, 333-63660, 33-12207, 33-58500, 33-63917, 333-43171, 333-43175,</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333-63985, 333-97031, 33-32044, 333-16077, 333-84384, 333-127406 and 333-122147. Filed herewith.</w:t>
      </w:r>
    </w:p>
    <w:p>
      <w:pPr>
        <w:spacing w:after="0" w:line="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of Chief Executive Officer under Section 302 of the Sarbanes-Oxley Act of 2002. Filed herewith.</w:t>
      </w:r>
    </w:p>
    <w:p>
      <w:pPr>
        <w:spacing w:after="0" w:line="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of Chief Financial Officer under Section 302 of the Sarbanes-Oxley Act of 2002. Filed herewith.</w:t>
      </w:r>
    </w:p>
    <w:p>
      <w:pPr>
        <w:spacing w:after="0" w:line="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2"/>
          <w:szCs w:val="12"/>
          <w:color w:val="auto"/>
        </w:rPr>
        <w:t>Certification of Chief Executive Officer under 18 U.S.C. §1350 pursuant to Section 906 of the Sarbanes-Oxley Act of 2002. Filed herewith.</w:t>
      </w:r>
    </w:p>
    <w:p>
      <w:pPr>
        <w:spacing w:after="0" w:line="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2"/>
          <w:szCs w:val="12"/>
          <w:color w:val="auto"/>
        </w:rPr>
        <w:t>Certification of Chief Financial Officer under 18 U.S.C. §1350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63500</wp:posOffset>
            </wp:positionV>
            <wp:extent cx="82740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9" w:lineRule="exact"/>
        <w:rPr>
          <w:sz w:val="20"/>
          <w:szCs w:val="20"/>
          <w:color w:val="auto"/>
        </w:rPr>
      </w:pPr>
    </w:p>
    <w:p>
      <w:pPr>
        <w:ind w:left="880" w:hanging="195"/>
        <w:spacing w:after="0"/>
        <w:tabs>
          <w:tab w:leader="none" w:pos="88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Management contract or compensatory plan or arrangement.</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620"/>
          </w:cols>
          <w:pgMar w:left="220" w:top="339" w:right="1059" w:bottom="1440" w:gutter="0" w:footer="0" w:header="0"/>
        </w:sectPr>
      </w:pPr>
    </w:p>
    <w:bookmarkStart w:id="151" w:name="page152"/>
    <w:bookmarkEnd w:id="151"/>
    <w:tbl>
      <w:tblPr>
        <w:tblLayout w:type="fixed"/>
        <w:tblInd w:w="3" w:type="dxa"/>
        <w:tblCellMar>
          <w:top w:w="0" w:type="dxa"/>
          <w:left w:w="0" w:type="dxa"/>
          <w:bottom w:w="0" w:type="dxa"/>
          <w:right w:w="0" w:type="dxa"/>
        </w:tblCellMar>
      </w:tblPr>
      <w:tr>
        <w:trPr>
          <w:trHeight w:val="154"/>
        </w:trPr>
        <w:tc>
          <w:tcPr>
            <w:tcW w:w="4380" w:type="dxa"/>
            <w:vAlign w:val="bottom"/>
            <w:gridSpan w:val="3"/>
          </w:tcPr>
          <w:p>
            <w:pPr>
              <w:spacing w:after="0"/>
              <w:rPr>
                <w:sz w:val="20"/>
                <w:szCs w:val="20"/>
                <w:color w:val="auto"/>
              </w:rPr>
            </w:pPr>
            <w:r>
              <w:rPr>
                <w:rFonts w:ascii="Arial" w:cs="Arial" w:eastAsia="Arial" w:hAnsi="Arial"/>
                <w:sz w:val="13"/>
                <w:szCs w:val="13"/>
                <w:b w:val="1"/>
                <w:bCs w:val="1"/>
                <w:color w:val="auto"/>
              </w:rPr>
              <w:t>M&amp;T Bank Corporation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Exhibit 12.1</w:t>
            </w:r>
          </w:p>
        </w:tc>
      </w:tr>
      <w:tr>
        <w:trPr>
          <w:trHeight w:val="154"/>
        </w:trPr>
        <w:tc>
          <w:tcPr>
            <w:tcW w:w="4380" w:type="dxa"/>
            <w:vAlign w:val="bottom"/>
            <w:gridSpan w:val="3"/>
          </w:tcPr>
          <w:p>
            <w:pPr>
              <w:spacing w:after="0"/>
              <w:rPr>
                <w:sz w:val="20"/>
                <w:szCs w:val="20"/>
                <w:color w:val="auto"/>
              </w:rPr>
            </w:pPr>
            <w:r>
              <w:rPr>
                <w:rFonts w:ascii="Arial" w:cs="Arial" w:eastAsia="Arial" w:hAnsi="Arial"/>
                <w:sz w:val="13"/>
                <w:szCs w:val="13"/>
                <w:b w:val="1"/>
                <w:bCs w:val="1"/>
                <w:color w:val="auto"/>
              </w:rPr>
              <w:t>Computations of Consolidated Ratios of Earnings to Fixed Charges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38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61"/>
        </w:trPr>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Year Ended December 31,</w:t>
            </w:r>
          </w:p>
        </w:tc>
        <w:tc>
          <w:tcPr>
            <w:tcW w:w="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96"/>
        </w:trPr>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ind w:right="197"/>
              <w:spacing w:after="0" w:line="96" w:lineRule="exact"/>
              <w:rPr>
                <w:sz w:val="20"/>
                <w:szCs w:val="20"/>
                <w:color w:val="auto"/>
              </w:rPr>
            </w:pPr>
            <w:r>
              <w:rPr>
                <w:rFonts w:ascii="Arial" w:cs="Arial" w:eastAsia="Arial" w:hAnsi="Arial"/>
                <w:sz w:val="10"/>
                <w:szCs w:val="10"/>
                <w:b w:val="1"/>
                <w:bCs w:val="1"/>
                <w:color w:val="auto"/>
              </w:rPr>
              <w:t>2007</w:t>
            </w:r>
          </w:p>
        </w:tc>
        <w:tc>
          <w:tcPr>
            <w:tcW w:w="680" w:type="dxa"/>
            <w:vAlign w:val="bottom"/>
          </w:tcPr>
          <w:p>
            <w:pPr>
              <w:spacing w:after="0"/>
              <w:rPr>
                <w:sz w:val="8"/>
                <w:szCs w:val="8"/>
                <w:color w:val="auto"/>
              </w:rPr>
            </w:pPr>
          </w:p>
        </w:tc>
        <w:tc>
          <w:tcPr>
            <w:tcW w:w="700" w:type="dxa"/>
            <w:vAlign w:val="bottom"/>
          </w:tcPr>
          <w:p>
            <w:pPr>
              <w:jc w:val="right"/>
              <w:ind w:right="177"/>
              <w:spacing w:after="0" w:line="96" w:lineRule="exact"/>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8"/>
                <w:szCs w:val="8"/>
                <w:color w:val="auto"/>
              </w:rPr>
            </w:pPr>
          </w:p>
        </w:tc>
        <w:tc>
          <w:tcPr>
            <w:tcW w:w="1180" w:type="dxa"/>
            <w:vAlign w:val="bottom"/>
            <w:gridSpan w:val="2"/>
          </w:tcPr>
          <w:p>
            <w:pPr>
              <w:jc w:val="right"/>
              <w:ind w:right="260"/>
              <w:spacing w:after="0" w:line="96" w:lineRule="exact"/>
              <w:rPr>
                <w:sz w:val="20"/>
                <w:szCs w:val="20"/>
                <w:color w:val="auto"/>
              </w:rPr>
            </w:pPr>
            <w:r>
              <w:rPr>
                <w:rFonts w:ascii="Arial" w:cs="Arial" w:eastAsia="Arial" w:hAnsi="Arial"/>
                <w:sz w:val="10"/>
                <w:szCs w:val="10"/>
                <w:b w:val="1"/>
                <w:bCs w:val="1"/>
                <w:color w:val="auto"/>
              </w:rPr>
              <w:t>2005</w:t>
            </w:r>
          </w:p>
        </w:tc>
        <w:tc>
          <w:tcPr>
            <w:tcW w:w="680" w:type="dxa"/>
            <w:vAlign w:val="bottom"/>
          </w:tcPr>
          <w:p>
            <w:pPr>
              <w:spacing w:after="0"/>
              <w:rPr>
                <w:sz w:val="8"/>
                <w:szCs w:val="8"/>
                <w:color w:val="auto"/>
              </w:rPr>
            </w:pPr>
          </w:p>
        </w:tc>
        <w:tc>
          <w:tcPr>
            <w:tcW w:w="680" w:type="dxa"/>
            <w:vAlign w:val="bottom"/>
          </w:tcPr>
          <w:p>
            <w:pPr>
              <w:jc w:val="right"/>
              <w:ind w:right="177"/>
              <w:spacing w:after="0" w:line="96" w:lineRule="exact"/>
              <w:rPr>
                <w:sz w:val="20"/>
                <w:szCs w:val="20"/>
                <w:color w:val="auto"/>
              </w:rPr>
            </w:pPr>
            <w:r>
              <w:rPr>
                <w:rFonts w:ascii="Arial" w:cs="Arial" w:eastAsia="Arial" w:hAnsi="Arial"/>
                <w:sz w:val="10"/>
                <w:szCs w:val="10"/>
                <w:b w:val="1"/>
                <w:bCs w:val="1"/>
                <w:color w:val="auto"/>
              </w:rPr>
              <w:t>2004</w:t>
            </w:r>
          </w:p>
        </w:tc>
        <w:tc>
          <w:tcPr>
            <w:tcW w:w="660" w:type="dxa"/>
            <w:vAlign w:val="bottom"/>
          </w:tcPr>
          <w:p>
            <w:pPr>
              <w:spacing w:after="0"/>
              <w:rPr>
                <w:sz w:val="8"/>
                <w:szCs w:val="8"/>
                <w:color w:val="auto"/>
              </w:rPr>
            </w:pPr>
          </w:p>
        </w:tc>
        <w:tc>
          <w:tcPr>
            <w:tcW w:w="680" w:type="dxa"/>
            <w:vAlign w:val="bottom"/>
          </w:tcPr>
          <w:p>
            <w:pPr>
              <w:jc w:val="right"/>
              <w:ind w:right="176"/>
              <w:spacing w:after="0" w:line="96" w:lineRule="exact"/>
              <w:rPr>
                <w:sz w:val="20"/>
                <w:szCs w:val="20"/>
                <w:color w:val="auto"/>
              </w:rPr>
            </w:pPr>
            <w:r>
              <w:rPr>
                <w:rFonts w:ascii="Arial" w:cs="Arial" w:eastAsia="Arial" w:hAnsi="Arial"/>
                <w:sz w:val="10"/>
                <w:szCs w:val="10"/>
                <w:b w:val="1"/>
                <w:bCs w:val="1"/>
                <w:color w:val="auto"/>
              </w:rPr>
              <w:t>2003</w:t>
            </w:r>
          </w:p>
        </w:tc>
        <w:tc>
          <w:tcPr>
            <w:tcW w:w="120" w:type="dxa"/>
            <w:vAlign w:val="bottom"/>
          </w:tcPr>
          <w:p>
            <w:pPr>
              <w:spacing w:after="0"/>
              <w:rPr>
                <w:sz w:val="8"/>
                <w:szCs w:val="8"/>
                <w:color w:val="auto"/>
              </w:rPr>
            </w:pPr>
          </w:p>
        </w:tc>
      </w:tr>
      <w:tr>
        <w:trPr>
          <w:trHeight w:val="124"/>
        </w:trPr>
        <w:tc>
          <w:tcPr>
            <w:tcW w:w="4380" w:type="dxa"/>
            <w:vAlign w:val="bottom"/>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Excluding Interest on Deposits:</w:t>
            </w:r>
          </w:p>
        </w:tc>
        <w:tc>
          <w:tcPr>
            <w:tcW w:w="8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308"/>
        </w:trPr>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Fixed Charges:</w:t>
            </w:r>
          </w:p>
        </w:tc>
        <w:tc>
          <w:tcPr>
            <w:tcW w:w="26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55"/>
        </w:trPr>
        <w:tc>
          <w:tcPr>
            <w:tcW w:w="43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Interest Expense (excluding interest on deposits)</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735,257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561,686</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437,820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272,538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247,316</w:t>
            </w:r>
          </w:p>
        </w:tc>
      </w:tr>
      <w:tr>
        <w:trPr>
          <w:trHeight w:val="163"/>
        </w:trPr>
        <w:tc>
          <w:tcPr>
            <w:tcW w:w="4380" w:type="dxa"/>
            <w:vAlign w:val="bottom"/>
            <w:gridSpan w:val="3"/>
          </w:tcPr>
          <w:p>
            <w:pPr>
              <w:ind w:left="140"/>
              <w:spacing w:after="0"/>
              <w:rPr>
                <w:sz w:val="20"/>
                <w:szCs w:val="20"/>
                <w:color w:val="auto"/>
              </w:rPr>
            </w:pPr>
            <w:r>
              <w:rPr>
                <w:rFonts w:ascii="Arial" w:cs="Arial" w:eastAsia="Arial" w:hAnsi="Arial"/>
                <w:sz w:val="13"/>
                <w:szCs w:val="13"/>
                <w:color w:val="auto"/>
              </w:rPr>
              <w:t>Interest Factor Within Rent Expense (a)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3"/>
                <w:szCs w:val="13"/>
                <w:color w:val="auto"/>
              </w:rPr>
              <w:t>21,608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20,135</w:t>
            </w:r>
          </w:p>
        </w:tc>
        <w:tc>
          <w:tcPr>
            <w:tcW w:w="1860" w:type="dxa"/>
            <w:vAlign w:val="bottom"/>
            <w:gridSpan w:val="3"/>
          </w:tcPr>
          <w:p>
            <w:pPr>
              <w:jc w:val="right"/>
              <w:ind w:right="680"/>
              <w:spacing w:after="0"/>
              <w:rPr>
                <w:sz w:val="20"/>
                <w:szCs w:val="20"/>
                <w:color w:val="auto"/>
              </w:rPr>
            </w:pPr>
            <w:r>
              <w:rPr>
                <w:rFonts w:ascii="Arial" w:cs="Arial" w:eastAsia="Arial" w:hAnsi="Arial"/>
                <w:sz w:val="13"/>
                <w:szCs w:val="13"/>
                <w:color w:val="auto"/>
              </w:rPr>
              <w:t>19,217</w:t>
            </w:r>
          </w:p>
        </w:tc>
        <w:tc>
          <w:tcPr>
            <w:tcW w:w="1340" w:type="dxa"/>
            <w:vAlign w:val="bottom"/>
            <w:gridSpan w:val="2"/>
          </w:tcPr>
          <w:p>
            <w:pPr>
              <w:jc w:val="right"/>
              <w:ind w:right="660"/>
              <w:spacing w:after="0"/>
              <w:rPr>
                <w:sz w:val="20"/>
                <w:szCs w:val="20"/>
                <w:color w:val="auto"/>
              </w:rPr>
            </w:pPr>
            <w:r>
              <w:rPr>
                <w:rFonts w:ascii="Arial" w:cs="Arial" w:eastAsia="Arial" w:hAnsi="Arial"/>
                <w:sz w:val="13"/>
                <w:szCs w:val="13"/>
                <w:color w:val="auto"/>
              </w:rPr>
              <w:t>19,570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17,170</w:t>
            </w:r>
          </w:p>
        </w:tc>
      </w:tr>
      <w:tr>
        <w:trPr>
          <w:trHeight w:val="146"/>
        </w:trPr>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163"/>
        </w:trPr>
        <w:tc>
          <w:tcPr>
            <w:tcW w:w="438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Fixed Charges</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756,865</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581,821</w:t>
            </w:r>
          </w:p>
        </w:tc>
        <w:tc>
          <w:tcPr>
            <w:tcW w:w="1860" w:type="dxa"/>
            <w:vAlign w:val="bottom"/>
            <w:tcBorders>
              <w:bottom w:val="single" w:sz="8" w:color="auto"/>
            </w:tcBorders>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457,037</w:t>
            </w:r>
          </w:p>
        </w:tc>
        <w:tc>
          <w:tcPr>
            <w:tcW w:w="134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292,108</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264,486</w:t>
            </w:r>
          </w:p>
        </w:tc>
      </w:tr>
      <w:tr>
        <w:trPr>
          <w:trHeight w:val="318"/>
        </w:trPr>
        <w:tc>
          <w:tcPr>
            <w:tcW w:w="4380" w:type="dxa"/>
            <w:vAlign w:val="bottom"/>
            <w:gridSpan w:val="3"/>
          </w:tcPr>
          <w:p>
            <w:pPr>
              <w:spacing w:after="0"/>
              <w:rPr>
                <w:sz w:val="20"/>
                <w:szCs w:val="20"/>
                <w:color w:val="auto"/>
              </w:rPr>
            </w:pPr>
            <w:r>
              <w:rPr>
                <w:rFonts w:ascii="Arial" w:cs="Arial" w:eastAsia="Arial" w:hAnsi="Arial"/>
                <w:sz w:val="13"/>
                <w:szCs w:val="13"/>
                <w:color w:val="auto"/>
              </w:rPr>
              <w:t>Earnings: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43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Income Before Income Taxes</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963,537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1,231,642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1,170,919</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1,066,523</w:t>
            </w:r>
          </w:p>
        </w:tc>
        <w:tc>
          <w:tcPr>
            <w:tcW w:w="6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850,670</w:t>
            </w:r>
          </w:p>
        </w:tc>
      </w:tr>
      <w:tr>
        <w:trPr>
          <w:trHeight w:val="163"/>
        </w:trPr>
        <w:tc>
          <w:tcPr>
            <w:tcW w:w="4380" w:type="dxa"/>
            <w:vAlign w:val="bottom"/>
            <w:gridSpan w:val="3"/>
          </w:tcPr>
          <w:p>
            <w:pPr>
              <w:ind w:left="140"/>
              <w:spacing w:after="0"/>
              <w:rPr>
                <w:sz w:val="20"/>
                <w:szCs w:val="20"/>
                <w:color w:val="auto"/>
              </w:rPr>
            </w:pPr>
            <w:r>
              <w:rPr>
                <w:rFonts w:ascii="Arial" w:cs="Arial" w:eastAsia="Arial" w:hAnsi="Arial"/>
                <w:sz w:val="13"/>
                <w:szCs w:val="13"/>
                <w:color w:val="auto"/>
              </w:rPr>
              <w:t>Fixed Charges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3"/>
                <w:szCs w:val="13"/>
                <w:color w:val="auto"/>
              </w:rPr>
              <w:t>756,865</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581,821</w:t>
            </w:r>
          </w:p>
        </w:tc>
        <w:tc>
          <w:tcPr>
            <w:tcW w:w="1860" w:type="dxa"/>
            <w:vAlign w:val="bottom"/>
            <w:gridSpan w:val="3"/>
          </w:tcPr>
          <w:p>
            <w:pPr>
              <w:jc w:val="right"/>
              <w:ind w:right="680"/>
              <w:spacing w:after="0"/>
              <w:rPr>
                <w:sz w:val="20"/>
                <w:szCs w:val="20"/>
                <w:color w:val="auto"/>
              </w:rPr>
            </w:pPr>
            <w:r>
              <w:rPr>
                <w:rFonts w:ascii="Arial" w:cs="Arial" w:eastAsia="Arial" w:hAnsi="Arial"/>
                <w:sz w:val="13"/>
                <w:szCs w:val="13"/>
                <w:color w:val="auto"/>
              </w:rPr>
              <w:t>457,037</w:t>
            </w:r>
          </w:p>
        </w:tc>
        <w:tc>
          <w:tcPr>
            <w:tcW w:w="1340" w:type="dxa"/>
            <w:vAlign w:val="bottom"/>
            <w:gridSpan w:val="2"/>
          </w:tcPr>
          <w:p>
            <w:pPr>
              <w:jc w:val="right"/>
              <w:ind w:right="660"/>
              <w:spacing w:after="0"/>
              <w:rPr>
                <w:sz w:val="20"/>
                <w:szCs w:val="20"/>
                <w:color w:val="auto"/>
              </w:rPr>
            </w:pPr>
            <w:r>
              <w:rPr>
                <w:rFonts w:ascii="Arial" w:cs="Arial" w:eastAsia="Arial" w:hAnsi="Arial"/>
                <w:sz w:val="13"/>
                <w:szCs w:val="13"/>
                <w:color w:val="auto"/>
              </w:rPr>
              <w:t>292,108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264,486</w:t>
            </w:r>
          </w:p>
        </w:tc>
      </w:tr>
      <w:tr>
        <w:trPr>
          <w:trHeight w:val="146"/>
        </w:trPr>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163"/>
        </w:trPr>
        <w:tc>
          <w:tcPr>
            <w:tcW w:w="438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Earnings</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96"/>
              </w:rPr>
              <w:t>1,720,402</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1,813,463</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1,627,956</w:t>
            </w:r>
          </w:p>
        </w:tc>
        <w:tc>
          <w:tcPr>
            <w:tcW w:w="6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1,358,631</w:t>
            </w:r>
          </w:p>
        </w:tc>
        <w:tc>
          <w:tcPr>
            <w:tcW w:w="6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1,115,156</w:t>
            </w:r>
          </w:p>
        </w:tc>
      </w:tr>
      <w:tr>
        <w:trPr>
          <w:trHeight w:val="327"/>
        </w:trPr>
        <w:tc>
          <w:tcPr>
            <w:tcW w:w="4380" w:type="dxa"/>
            <w:vAlign w:val="bottom"/>
            <w:gridSpan w:val="3"/>
          </w:tcPr>
          <w:p>
            <w:pPr>
              <w:spacing w:after="0"/>
              <w:rPr>
                <w:sz w:val="20"/>
                <w:szCs w:val="20"/>
                <w:color w:val="auto"/>
              </w:rPr>
            </w:pPr>
            <w:r>
              <w:rPr>
                <w:rFonts w:ascii="Arial" w:cs="Arial" w:eastAsia="Arial" w:hAnsi="Arial"/>
                <w:sz w:val="13"/>
                <w:szCs w:val="13"/>
                <w:color w:val="auto"/>
              </w:rPr>
              <w:t>Ratio of Earnings to Fixed Charges, Excluding Interest on Deposits</w:t>
            </w: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x</w:t>
            </w:r>
          </w:p>
        </w:tc>
        <w:tc>
          <w:tcPr>
            <w:tcW w:w="1260" w:type="dxa"/>
            <w:vAlign w:val="bottom"/>
            <w:gridSpan w:val="2"/>
          </w:tcPr>
          <w:p>
            <w:pPr>
              <w:jc w:val="right"/>
              <w:ind w:right="680"/>
              <w:spacing w:after="0"/>
              <w:rPr>
                <w:sz w:val="20"/>
                <w:szCs w:val="20"/>
                <w:color w:val="auto"/>
              </w:rPr>
            </w:pPr>
            <w:r>
              <w:rPr>
                <w:rFonts w:ascii="Arial" w:cs="Arial" w:eastAsia="Arial" w:hAnsi="Arial"/>
                <w:sz w:val="13"/>
                <w:szCs w:val="13"/>
                <w:color w:val="auto"/>
              </w:rPr>
              <w:t>2.27</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3.12</w:t>
            </w:r>
          </w:p>
        </w:tc>
        <w:tc>
          <w:tcPr>
            <w:tcW w:w="1860" w:type="dxa"/>
            <w:vAlign w:val="bottom"/>
            <w:gridSpan w:val="3"/>
          </w:tcPr>
          <w:p>
            <w:pPr>
              <w:jc w:val="right"/>
              <w:ind w:right="680"/>
              <w:spacing w:after="0"/>
              <w:rPr>
                <w:sz w:val="20"/>
                <w:szCs w:val="20"/>
                <w:color w:val="auto"/>
              </w:rPr>
            </w:pPr>
            <w:r>
              <w:rPr>
                <w:rFonts w:ascii="Arial" w:cs="Arial" w:eastAsia="Arial" w:hAnsi="Arial"/>
                <w:sz w:val="13"/>
                <w:szCs w:val="13"/>
                <w:color w:val="auto"/>
              </w:rPr>
              <w:t>3.56</w:t>
            </w:r>
          </w:p>
        </w:tc>
        <w:tc>
          <w:tcPr>
            <w:tcW w:w="1340" w:type="dxa"/>
            <w:vAlign w:val="bottom"/>
            <w:gridSpan w:val="2"/>
          </w:tcPr>
          <w:p>
            <w:pPr>
              <w:jc w:val="right"/>
              <w:ind w:right="660"/>
              <w:spacing w:after="0"/>
              <w:rPr>
                <w:sz w:val="20"/>
                <w:szCs w:val="20"/>
                <w:color w:val="auto"/>
              </w:rPr>
            </w:pPr>
            <w:r>
              <w:rPr>
                <w:rFonts w:ascii="Arial" w:cs="Arial" w:eastAsia="Arial" w:hAnsi="Arial"/>
                <w:sz w:val="13"/>
                <w:szCs w:val="13"/>
                <w:color w:val="auto"/>
              </w:rPr>
              <w:t>4.65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4.22</w:t>
            </w:r>
          </w:p>
        </w:tc>
      </w:tr>
      <w:tr>
        <w:trPr>
          <w:trHeight w:val="164"/>
        </w:trPr>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r>
      <w:tr>
        <w:trPr>
          <w:trHeight w:val="134"/>
        </w:trPr>
        <w:tc>
          <w:tcPr>
            <w:tcW w:w="1700" w:type="dxa"/>
            <w:vAlign w:val="bottom"/>
            <w:tcBorders>
              <w:bottom w:val="single" w:sz="8" w:color="auto"/>
            </w:tcBorders>
            <w:shd w:val="clear" w:color="auto" w:fill="CCEEFF"/>
          </w:tcPr>
          <w:p>
            <w:pPr>
              <w:spacing w:after="0" w:line="126" w:lineRule="exact"/>
              <w:rPr>
                <w:sz w:val="20"/>
                <w:szCs w:val="20"/>
                <w:color w:val="auto"/>
              </w:rPr>
            </w:pPr>
            <w:r>
              <w:rPr>
                <w:rFonts w:ascii="Arial" w:cs="Arial" w:eastAsia="Arial" w:hAnsi="Arial"/>
                <w:sz w:val="13"/>
                <w:szCs w:val="13"/>
                <w:b w:val="1"/>
                <w:bCs w:val="1"/>
                <w:color w:val="auto"/>
                <w:w w:val="88"/>
              </w:rPr>
              <w:t>Including Interest on Deposits:</w:t>
            </w:r>
          </w:p>
        </w:tc>
        <w:tc>
          <w:tcPr>
            <w:tcW w:w="2680" w:type="dxa"/>
            <w:vAlign w:val="bottom"/>
            <w:tcBorders>
              <w:bottom w:val="single" w:sz="8" w:color="CCEEFF"/>
            </w:tcBorders>
            <w:gridSpan w:val="2"/>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r>
      <w:tr>
        <w:trPr>
          <w:trHeight w:val="308"/>
        </w:trPr>
        <w:tc>
          <w:tcPr>
            <w:tcW w:w="4380" w:type="dxa"/>
            <w:vAlign w:val="bottom"/>
            <w:gridSpan w:val="3"/>
          </w:tcPr>
          <w:p>
            <w:pPr>
              <w:spacing w:after="0"/>
              <w:rPr>
                <w:sz w:val="20"/>
                <w:szCs w:val="20"/>
                <w:color w:val="auto"/>
              </w:rPr>
            </w:pPr>
            <w:r>
              <w:rPr>
                <w:rFonts w:ascii="Arial" w:cs="Arial" w:eastAsia="Arial" w:hAnsi="Arial"/>
                <w:sz w:val="13"/>
                <w:szCs w:val="13"/>
                <w:color w:val="auto"/>
              </w:rPr>
              <w:t>Fixed Charges: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43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96"/>
              </w:rPr>
              <w:t>1,694,576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1,496,552</w:t>
            </w:r>
          </w:p>
        </w:tc>
        <w:tc>
          <w:tcPr>
            <w:tcW w:w="186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994,351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564,160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527,810</w:t>
            </w:r>
          </w:p>
        </w:tc>
      </w:tr>
      <w:tr>
        <w:trPr>
          <w:trHeight w:val="163"/>
        </w:trPr>
        <w:tc>
          <w:tcPr>
            <w:tcW w:w="4380" w:type="dxa"/>
            <w:vAlign w:val="bottom"/>
            <w:gridSpan w:val="3"/>
          </w:tcPr>
          <w:p>
            <w:pPr>
              <w:ind w:left="140"/>
              <w:spacing w:after="0"/>
              <w:rPr>
                <w:sz w:val="20"/>
                <w:szCs w:val="20"/>
                <w:color w:val="auto"/>
              </w:rPr>
            </w:pPr>
            <w:r>
              <w:rPr>
                <w:rFonts w:ascii="Arial" w:cs="Arial" w:eastAsia="Arial" w:hAnsi="Arial"/>
                <w:sz w:val="13"/>
                <w:szCs w:val="13"/>
                <w:color w:val="auto"/>
              </w:rPr>
              <w:t>Interest Factor Within Rent Expense (a)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3"/>
                <w:szCs w:val="13"/>
                <w:color w:val="auto"/>
              </w:rPr>
              <w:t>21,608</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20,135</w:t>
            </w:r>
          </w:p>
        </w:tc>
        <w:tc>
          <w:tcPr>
            <w:tcW w:w="1860" w:type="dxa"/>
            <w:vAlign w:val="bottom"/>
            <w:gridSpan w:val="3"/>
          </w:tcPr>
          <w:p>
            <w:pPr>
              <w:jc w:val="right"/>
              <w:ind w:right="680"/>
              <w:spacing w:after="0"/>
              <w:rPr>
                <w:sz w:val="20"/>
                <w:szCs w:val="20"/>
                <w:color w:val="auto"/>
              </w:rPr>
            </w:pPr>
            <w:r>
              <w:rPr>
                <w:rFonts w:ascii="Arial" w:cs="Arial" w:eastAsia="Arial" w:hAnsi="Arial"/>
                <w:sz w:val="13"/>
                <w:szCs w:val="13"/>
                <w:color w:val="auto"/>
              </w:rPr>
              <w:t>19,217</w:t>
            </w:r>
          </w:p>
        </w:tc>
        <w:tc>
          <w:tcPr>
            <w:tcW w:w="1340" w:type="dxa"/>
            <w:vAlign w:val="bottom"/>
            <w:gridSpan w:val="2"/>
          </w:tcPr>
          <w:p>
            <w:pPr>
              <w:jc w:val="right"/>
              <w:ind w:right="660"/>
              <w:spacing w:after="0"/>
              <w:rPr>
                <w:sz w:val="20"/>
                <w:szCs w:val="20"/>
                <w:color w:val="auto"/>
              </w:rPr>
            </w:pPr>
            <w:r>
              <w:rPr>
                <w:rFonts w:ascii="Arial" w:cs="Arial" w:eastAsia="Arial" w:hAnsi="Arial"/>
                <w:sz w:val="13"/>
                <w:szCs w:val="13"/>
                <w:color w:val="auto"/>
              </w:rPr>
              <w:t>19,570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17,170</w:t>
            </w:r>
          </w:p>
        </w:tc>
      </w:tr>
      <w:tr>
        <w:trPr>
          <w:trHeight w:val="146"/>
        </w:trPr>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163"/>
        </w:trPr>
        <w:tc>
          <w:tcPr>
            <w:tcW w:w="438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Fixed Charges</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96"/>
              </w:rPr>
              <w:t>1,716,184</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1,516,687</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1,013,568</w:t>
            </w:r>
          </w:p>
        </w:tc>
        <w:tc>
          <w:tcPr>
            <w:tcW w:w="6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583,730</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544,980</w:t>
            </w:r>
          </w:p>
        </w:tc>
      </w:tr>
      <w:tr>
        <w:trPr>
          <w:trHeight w:val="318"/>
        </w:trPr>
        <w:tc>
          <w:tcPr>
            <w:tcW w:w="4380" w:type="dxa"/>
            <w:vAlign w:val="bottom"/>
            <w:gridSpan w:val="3"/>
          </w:tcPr>
          <w:p>
            <w:pPr>
              <w:spacing w:after="0"/>
              <w:rPr>
                <w:sz w:val="20"/>
                <w:szCs w:val="20"/>
                <w:color w:val="auto"/>
              </w:rPr>
            </w:pPr>
            <w:r>
              <w:rPr>
                <w:rFonts w:ascii="Arial" w:cs="Arial" w:eastAsia="Arial" w:hAnsi="Arial"/>
                <w:sz w:val="13"/>
                <w:szCs w:val="13"/>
                <w:color w:val="auto"/>
              </w:rPr>
              <w:t>Earnings: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43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Income Before Income Taxes</w:t>
            </w:r>
          </w:p>
        </w:tc>
        <w:tc>
          <w:tcPr>
            <w:tcW w:w="8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963,537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1,231,642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1,170,919</w:t>
            </w: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1,066,523</w:t>
            </w:r>
          </w:p>
        </w:tc>
        <w:tc>
          <w:tcPr>
            <w:tcW w:w="6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850,670</w:t>
            </w:r>
          </w:p>
        </w:tc>
      </w:tr>
      <w:tr>
        <w:trPr>
          <w:trHeight w:val="163"/>
        </w:trPr>
        <w:tc>
          <w:tcPr>
            <w:tcW w:w="4380" w:type="dxa"/>
            <w:vAlign w:val="bottom"/>
            <w:gridSpan w:val="3"/>
          </w:tcPr>
          <w:p>
            <w:pPr>
              <w:ind w:left="140"/>
              <w:spacing w:after="0"/>
              <w:rPr>
                <w:sz w:val="20"/>
                <w:szCs w:val="20"/>
                <w:color w:val="auto"/>
              </w:rPr>
            </w:pPr>
            <w:r>
              <w:rPr>
                <w:rFonts w:ascii="Arial" w:cs="Arial" w:eastAsia="Arial" w:hAnsi="Arial"/>
                <w:sz w:val="13"/>
                <w:szCs w:val="13"/>
                <w:color w:val="auto"/>
              </w:rPr>
              <w:t>Fixed Charges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3"/>
                <w:szCs w:val="13"/>
                <w:color w:val="auto"/>
                <w:w w:val="96"/>
              </w:rPr>
              <w:t>1,716,184</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1,516,687</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1,013,568</w:t>
            </w:r>
          </w:p>
        </w:tc>
        <w:tc>
          <w:tcPr>
            <w:tcW w:w="68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3"/>
                <w:szCs w:val="13"/>
                <w:color w:val="auto"/>
              </w:rPr>
              <w:t>583,730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544,980</w:t>
            </w:r>
          </w:p>
        </w:tc>
      </w:tr>
      <w:tr>
        <w:trPr>
          <w:trHeight w:val="146"/>
        </w:trPr>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163"/>
        </w:trPr>
        <w:tc>
          <w:tcPr>
            <w:tcW w:w="438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Earnings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96"/>
              </w:rPr>
              <w:t>2,679,721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2,748,329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2,184,487</w:t>
            </w: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1,650,253</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1,395,650</w:t>
            </w:r>
          </w:p>
        </w:tc>
        <w:tc>
          <w:tcPr>
            <w:tcW w:w="120" w:type="dxa"/>
            <w:vAlign w:val="bottom"/>
            <w:shd w:val="clear" w:color="auto" w:fill="CCEEFF"/>
          </w:tcPr>
          <w:p>
            <w:pPr>
              <w:spacing w:after="0"/>
              <w:rPr>
                <w:sz w:val="14"/>
                <w:szCs w:val="14"/>
                <w:color w:val="auto"/>
              </w:rPr>
            </w:pPr>
          </w:p>
        </w:tc>
      </w:tr>
      <w:tr>
        <w:trPr>
          <w:trHeight w:val="327"/>
        </w:trPr>
        <w:tc>
          <w:tcPr>
            <w:tcW w:w="4380" w:type="dxa"/>
            <w:vAlign w:val="bottom"/>
            <w:gridSpan w:val="3"/>
          </w:tcPr>
          <w:p>
            <w:pPr>
              <w:spacing w:after="0"/>
              <w:rPr>
                <w:sz w:val="20"/>
                <w:szCs w:val="20"/>
                <w:color w:val="auto"/>
              </w:rPr>
            </w:pPr>
            <w:r>
              <w:rPr>
                <w:rFonts w:ascii="Arial" w:cs="Arial" w:eastAsia="Arial" w:hAnsi="Arial"/>
                <w:sz w:val="13"/>
                <w:szCs w:val="13"/>
                <w:color w:val="auto"/>
              </w:rPr>
              <w:t>Ratio of Earnings to Fixed Charges, Including Interest on Deposits</w:t>
            </w:r>
          </w:p>
        </w:tc>
        <w:tc>
          <w:tcPr>
            <w:tcW w:w="800" w:type="dxa"/>
            <w:vAlign w:val="bottom"/>
          </w:tcPr>
          <w:p>
            <w:pPr>
              <w:ind w:left="680"/>
              <w:spacing w:after="0"/>
              <w:rPr>
                <w:sz w:val="20"/>
                <w:szCs w:val="20"/>
                <w:color w:val="auto"/>
              </w:rPr>
            </w:pPr>
            <w:r>
              <w:rPr>
                <w:rFonts w:ascii="Arial" w:cs="Arial" w:eastAsia="Arial" w:hAnsi="Arial"/>
                <w:sz w:val="13"/>
                <w:szCs w:val="13"/>
                <w:color w:val="auto"/>
              </w:rPr>
              <w:t>x</w:t>
            </w:r>
          </w:p>
        </w:tc>
        <w:tc>
          <w:tcPr>
            <w:tcW w:w="1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2"/>
          </w:tcPr>
          <w:p>
            <w:pPr>
              <w:jc w:val="right"/>
              <w:ind w:right="680"/>
              <w:spacing w:after="0"/>
              <w:rPr>
                <w:sz w:val="20"/>
                <w:szCs w:val="20"/>
                <w:color w:val="auto"/>
              </w:rPr>
            </w:pPr>
            <w:r>
              <w:rPr>
                <w:rFonts w:ascii="Arial" w:cs="Arial" w:eastAsia="Arial" w:hAnsi="Arial"/>
                <w:sz w:val="13"/>
                <w:szCs w:val="13"/>
                <w:color w:val="auto"/>
              </w:rPr>
              <w:t>1.56</w:t>
            </w:r>
          </w:p>
        </w:tc>
        <w:tc>
          <w:tcPr>
            <w:tcW w:w="9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1.81</w:t>
            </w:r>
          </w:p>
        </w:tc>
        <w:tc>
          <w:tcPr>
            <w:tcW w:w="186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3"/>
                <w:szCs w:val="13"/>
                <w:color w:val="auto"/>
              </w:rPr>
              <w:t>2.16</w:t>
            </w:r>
          </w:p>
        </w:tc>
        <w:tc>
          <w:tcPr>
            <w:tcW w:w="1340" w:type="dxa"/>
            <w:vAlign w:val="bottom"/>
            <w:tcBorders>
              <w:top w:val="single" w:sz="8" w:color="auto"/>
              <w:bottom w:val="single" w:sz="8" w:color="auto"/>
            </w:tcBorders>
            <w:gridSpan w:val="2"/>
          </w:tcPr>
          <w:p>
            <w:pPr>
              <w:jc w:val="right"/>
              <w:ind w:right="660"/>
              <w:spacing w:after="0"/>
              <w:rPr>
                <w:sz w:val="20"/>
                <w:szCs w:val="20"/>
                <w:color w:val="auto"/>
              </w:rPr>
            </w:pPr>
            <w:r>
              <w:rPr>
                <w:rFonts w:ascii="Arial" w:cs="Arial" w:eastAsia="Arial" w:hAnsi="Arial"/>
                <w:sz w:val="13"/>
                <w:szCs w:val="13"/>
                <w:color w:val="auto"/>
              </w:rPr>
              <w:t>2.83</w:t>
            </w:r>
          </w:p>
        </w:tc>
        <w:tc>
          <w:tcPr>
            <w:tcW w:w="8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131127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11275" cy="6350"/>
                    </a:xfrm>
                    <a:prstGeom prst="rect">
                      <a:avLst/>
                    </a:prstGeom>
                    <a:noFill/>
                  </pic:spPr>
                </pic:pic>
              </a:graphicData>
            </a:graphic>
          </wp:anchor>
        </w:drawing>
      </w:r>
    </w:p>
    <w:p>
      <w:pPr>
        <w:spacing w:after="0" w:line="251" w:lineRule="exact"/>
        <w:rPr>
          <w:sz w:val="20"/>
          <w:szCs w:val="20"/>
          <w:color w:val="auto"/>
        </w:rPr>
      </w:pPr>
    </w:p>
    <w:p>
      <w:pPr>
        <w:ind w:left="443" w:hanging="443"/>
        <w:spacing w:after="0"/>
        <w:tabs>
          <w:tab w:leader="none" w:pos="443"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portion of rents shown as representative of the interest factor is one-third of total net operating lease expenses.</w:t>
      </w:r>
    </w:p>
    <w:p>
      <w:pPr>
        <w:sectPr>
          <w:pgSz w:w="11900" w:h="16838" w:orient="portrait"/>
          <w:cols w:equalWidth="0" w:num="1">
            <w:col w:w="11483"/>
          </w:cols>
          <w:pgMar w:left="217" w:top="860" w:right="1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3"/>
          <w:szCs w:val="13"/>
          <w:color w:val="auto"/>
        </w:rPr>
        <w:t>Exhibit 23.1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86"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333-57330, 333-63660, 33-12207, 33-58500, 33-63917, 333-43171, 333-43175, 333-63985, 333-97031, 33-32044, 333-16077, 333-84384 and 333-127406) and Form S-3 (No. 333-122147) of M&amp;T Bank Corporation of our report dated February 21, 2008, relating to the financial statements and the effectiveness of internal control over financial reporting, which appears in this Form 10-K.</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Buffalo, New York</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February 21, 2008</w:t>
      </w:r>
    </w:p>
    <w:p>
      <w:pPr>
        <w:sectPr>
          <w:pgSz w:w="11900" w:h="16838" w:orient="portrait"/>
          <w:cols w:equalWidth="0" w:num="1">
            <w:col w:w="11480"/>
          </w:cols>
          <w:pgMar w:left="220" w:top="710" w:right="1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I, Robert G. Wilmers certify that:</w:t>
      </w:r>
    </w:p>
    <w:p>
      <w:pPr>
        <w:spacing w:after="0" w:line="90" w:lineRule="exact"/>
        <w:rPr>
          <w:sz w:val="20"/>
          <w:szCs w:val="20"/>
          <w:color w:val="auto"/>
        </w:rPr>
      </w:pPr>
    </w:p>
    <w:p>
      <w:pPr>
        <w:ind w:left="320" w:hanging="315"/>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M&amp;T Bank Corporation;</w:t>
      </w:r>
    </w:p>
    <w:p>
      <w:pPr>
        <w:spacing w:after="0" w:line="15" w:lineRule="exact"/>
        <w:rPr>
          <w:rFonts w:ascii="Arial" w:cs="Arial" w:eastAsia="Arial" w:hAnsi="Arial"/>
          <w:sz w:val="14"/>
          <w:szCs w:val="14"/>
          <w:color w:val="auto"/>
        </w:rPr>
      </w:pPr>
    </w:p>
    <w:p>
      <w:pPr>
        <w:ind w:left="320" w:right="280" w:hanging="315"/>
        <w:spacing w:after="0" w:line="263" w:lineRule="auto"/>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280" w:hanging="315"/>
        <w:spacing w:after="0" w:line="244"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hanging="315"/>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w:t>
      </w:r>
    </w:p>
    <w:p>
      <w:pPr>
        <w:spacing w:after="0" w:line="14"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Rules 13a-15(e) and 15d-15(e)) and internal control over financial reporting (as defined in Exchange Act Rules 13a-15(f) and 15d-15(f)) for the registrant and we have:</w:t>
      </w:r>
    </w:p>
    <w:p>
      <w:pPr>
        <w:spacing w:after="0" w:line="15" w:lineRule="exact"/>
        <w:rPr>
          <w:sz w:val="20"/>
          <w:szCs w:val="20"/>
          <w:color w:val="auto"/>
        </w:rPr>
      </w:pPr>
    </w:p>
    <w:p>
      <w:pPr>
        <w:ind w:left="320" w:right="160" w:hanging="315"/>
        <w:spacing w:after="0" w:line="244"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320" w:hanging="315"/>
        <w:spacing w:after="0" w:line="244"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4"/>
          <w:szCs w:val="14"/>
          <w:color w:val="auto"/>
        </w:rPr>
      </w:pPr>
    </w:p>
    <w:p>
      <w:pPr>
        <w:ind w:left="320" w:right="320" w:hanging="315"/>
        <w:spacing w:after="0" w:line="244"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280" w:hanging="315"/>
        <w:spacing w:after="0" w:line="244"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sz w:val="20"/>
          <w:szCs w:val="20"/>
          <w:color w:val="auto"/>
        </w:rPr>
      </w:pPr>
    </w:p>
    <w:p>
      <w:pPr>
        <w:ind w:left="320" w:right="40" w:hanging="315"/>
        <w:spacing w:after="0" w:line="244" w:lineRule="auto"/>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320" w:right="120" w:hanging="315"/>
        <w:spacing w:after="0" w:line="244" w:lineRule="auto"/>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hanging="315"/>
        <w:spacing w:after="0"/>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300"/>
        <w:spacing w:after="0"/>
        <w:tabs>
          <w:tab w:leader="none" w:pos="71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2" w:lineRule="exact"/>
        <w:rPr>
          <w:sz w:val="20"/>
          <w:szCs w:val="20"/>
          <w:color w:val="auto"/>
        </w:rPr>
      </w:pPr>
    </w:p>
    <w:p>
      <w:pPr>
        <w:jc w:val="center"/>
        <w:ind w:left="5480"/>
        <w:spacing w:after="0"/>
        <w:rPr>
          <w:sz w:val="20"/>
          <w:szCs w:val="20"/>
          <w:color w:val="auto"/>
        </w:rPr>
      </w:pPr>
      <w:r>
        <w:rPr>
          <w:rFonts w:ascii="Arial" w:cs="Arial" w:eastAsia="Arial" w:hAnsi="Arial"/>
          <w:sz w:val="14"/>
          <w:szCs w:val="14"/>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-99695</wp:posOffset>
            </wp:positionV>
            <wp:extent cx="334073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40735" cy="6350"/>
                    </a:xfrm>
                    <a:prstGeom prst="rect">
                      <a:avLst/>
                    </a:prstGeom>
                    <a:noFill/>
                  </pic:spPr>
                </pic:pic>
              </a:graphicData>
            </a:graphic>
          </wp:anchor>
        </w:drawing>
      </w:r>
    </w:p>
    <w:p>
      <w:pPr>
        <w:jc w:val="center"/>
        <w:ind w:left="5480"/>
        <w:spacing w:after="0"/>
        <w:rPr>
          <w:sz w:val="20"/>
          <w:szCs w:val="20"/>
          <w:color w:val="auto"/>
        </w:rPr>
      </w:pPr>
      <w:r>
        <w:rPr>
          <w:rFonts w:ascii="Arial" w:cs="Arial" w:eastAsia="Arial" w:hAnsi="Arial"/>
          <w:sz w:val="14"/>
          <w:szCs w:val="14"/>
          <w:i w:val="1"/>
          <w:iCs w:val="1"/>
          <w:color w:val="auto"/>
        </w:rPr>
        <w:t>Chairman of the Board</w:t>
      </w:r>
    </w:p>
    <w:p>
      <w:pPr>
        <w:spacing w:after="0" w:line="3" w:lineRule="exact"/>
        <w:rPr>
          <w:sz w:val="20"/>
          <w:szCs w:val="20"/>
          <w:color w:val="auto"/>
        </w:rPr>
      </w:pPr>
    </w:p>
    <w:p>
      <w:pPr>
        <w:jc w:val="center"/>
        <w:ind w:left="5480"/>
        <w:spacing w:after="0"/>
        <w:rPr>
          <w:sz w:val="20"/>
          <w:szCs w:val="20"/>
          <w:color w:val="auto"/>
        </w:rPr>
      </w:pPr>
      <w:r>
        <w:rPr>
          <w:rFonts w:ascii="Arial" w:cs="Arial" w:eastAsia="Arial" w:hAnsi="Arial"/>
          <w:sz w:val="14"/>
          <w:szCs w:val="14"/>
          <w:i w:val="1"/>
          <w:iCs w:val="1"/>
          <w:color w:val="auto"/>
        </w:rPr>
        <w:t>and 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21, 2008</w:t>
      </w:r>
    </w:p>
    <w:p>
      <w:pPr>
        <w:sectPr>
          <w:pgSz w:w="11900" w:h="16838" w:orient="portrait"/>
          <w:cols w:equalWidth="0" w:num="1">
            <w:col w:w="9980"/>
          </w:cols>
          <w:pgMar w:left="900" w:top="962" w:right="10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I, René F. Jones, certify that:</w:t>
      </w:r>
    </w:p>
    <w:p>
      <w:pPr>
        <w:spacing w:after="0" w:line="15" w:lineRule="exact"/>
        <w:rPr>
          <w:sz w:val="20"/>
          <w:szCs w:val="20"/>
          <w:color w:val="auto"/>
        </w:rPr>
      </w:pPr>
    </w:p>
    <w:p>
      <w:pPr>
        <w:ind w:left="320" w:hanging="315"/>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M&amp;T Bank Corporation;</w:t>
      </w:r>
    </w:p>
    <w:p>
      <w:pPr>
        <w:spacing w:after="0" w:line="3" w:lineRule="exact"/>
        <w:rPr>
          <w:rFonts w:ascii="Arial" w:cs="Arial" w:eastAsia="Arial" w:hAnsi="Arial"/>
          <w:sz w:val="14"/>
          <w:szCs w:val="14"/>
          <w:color w:val="auto"/>
        </w:rPr>
      </w:pPr>
    </w:p>
    <w:p>
      <w:pPr>
        <w:ind w:left="320" w:right="280" w:hanging="315"/>
        <w:spacing w:after="0" w:line="263" w:lineRule="auto"/>
        <w:tabs>
          <w:tab w:leader="none" w:pos="3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280" w:hanging="315"/>
        <w:spacing w:after="0" w:line="244"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hanging="315"/>
        <w:spacing w:after="0"/>
        <w:tabs>
          <w:tab w:leader="none" w:pos="3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Rules 13a-15(e) and 15d-15(e)) and internal control over financial reporting (as defined in Exchange Act Rules 13a-15(f) and 15d-15(f)) for the registrant and we have:</w:t>
      </w:r>
    </w:p>
    <w:p>
      <w:pPr>
        <w:spacing w:after="0" w:line="15" w:lineRule="exact"/>
        <w:rPr>
          <w:sz w:val="20"/>
          <w:szCs w:val="20"/>
          <w:color w:val="auto"/>
        </w:rPr>
      </w:pPr>
    </w:p>
    <w:p>
      <w:pPr>
        <w:ind w:left="320" w:right="160" w:hanging="315"/>
        <w:spacing w:after="0" w:line="244"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320" w:hanging="315"/>
        <w:spacing w:after="0" w:line="244"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4"/>
          <w:szCs w:val="14"/>
          <w:color w:val="auto"/>
        </w:rPr>
      </w:pPr>
    </w:p>
    <w:p>
      <w:pPr>
        <w:ind w:left="320" w:right="320" w:hanging="315"/>
        <w:spacing w:after="0" w:line="244"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280" w:hanging="315"/>
        <w:spacing w:after="0" w:line="244" w:lineRule="auto"/>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sz w:val="20"/>
          <w:szCs w:val="20"/>
          <w:color w:val="auto"/>
        </w:rPr>
      </w:pPr>
    </w:p>
    <w:p>
      <w:pPr>
        <w:ind w:left="320" w:right="40" w:hanging="315"/>
        <w:spacing w:after="0" w:line="244"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320" w:right="120" w:hanging="315"/>
        <w:spacing w:after="0" w:line="244" w:lineRule="auto"/>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hanging="315"/>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300"/>
        <w:spacing w:after="0"/>
        <w:tabs>
          <w:tab w:leader="none" w:pos="72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2" w:lineRule="exact"/>
        <w:rPr>
          <w:sz w:val="20"/>
          <w:szCs w:val="20"/>
          <w:color w:val="auto"/>
        </w:rPr>
      </w:pPr>
    </w:p>
    <w:p>
      <w:pPr>
        <w:jc w:val="center"/>
        <w:ind w:left="5480"/>
        <w:spacing w:after="0"/>
        <w:rPr>
          <w:sz w:val="20"/>
          <w:szCs w:val="20"/>
          <w:color w:val="auto"/>
        </w:rPr>
      </w:pPr>
      <w:r>
        <w:rPr>
          <w:rFonts w:ascii="Arial" w:cs="Arial" w:eastAsia="Arial" w:hAnsi="Arial"/>
          <w:sz w:val="14"/>
          <w:szCs w:val="14"/>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-99695</wp:posOffset>
            </wp:positionV>
            <wp:extent cx="334073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40735" cy="6350"/>
                    </a:xfrm>
                    <a:prstGeom prst="rect">
                      <a:avLst/>
                    </a:prstGeom>
                    <a:noFill/>
                  </pic:spPr>
                </pic:pic>
              </a:graphicData>
            </a:graphic>
          </wp:anchor>
        </w:drawing>
      </w:r>
    </w:p>
    <w:p>
      <w:pPr>
        <w:jc w:val="center"/>
        <w:ind w:left="5480"/>
        <w:spacing w:after="0"/>
        <w:rPr>
          <w:sz w:val="20"/>
          <w:szCs w:val="20"/>
          <w:color w:val="auto"/>
        </w:rPr>
      </w:pPr>
      <w:r>
        <w:rPr>
          <w:rFonts w:ascii="Arial" w:cs="Arial" w:eastAsia="Arial" w:hAnsi="Arial"/>
          <w:sz w:val="14"/>
          <w:szCs w:val="14"/>
          <w:i w:val="1"/>
          <w:iCs w:val="1"/>
          <w:color w:val="auto"/>
        </w:rPr>
        <w:t>Executive Vice President</w:t>
      </w:r>
    </w:p>
    <w:p>
      <w:pPr>
        <w:spacing w:after="0" w:line="3" w:lineRule="exact"/>
        <w:rPr>
          <w:sz w:val="20"/>
          <w:szCs w:val="20"/>
          <w:color w:val="auto"/>
        </w:rPr>
      </w:pPr>
    </w:p>
    <w:p>
      <w:pPr>
        <w:jc w:val="center"/>
        <w:ind w:left="5480"/>
        <w:spacing w:after="0"/>
        <w:rPr>
          <w:sz w:val="20"/>
          <w:szCs w:val="20"/>
          <w:color w:val="auto"/>
        </w:rPr>
      </w:pPr>
      <w:r>
        <w:rPr>
          <w:rFonts w:ascii="Arial" w:cs="Arial" w:eastAsia="Arial" w:hAnsi="Arial"/>
          <w:sz w:val="14"/>
          <w:szCs w:val="14"/>
          <w:i w:val="1"/>
          <w:iCs w:val="1"/>
          <w:color w:val="auto"/>
        </w:rPr>
        <w:t>and Chief Financial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21, 2008</w:t>
      </w:r>
    </w:p>
    <w:p>
      <w:pPr>
        <w:sectPr>
          <w:pgSz w:w="11900" w:h="16838" w:orient="portrait"/>
          <w:cols w:equalWidth="0" w:num="1">
            <w:col w:w="9980"/>
          </w:cols>
          <w:pgMar w:left="900" w:top="962" w:right="10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32.1</w:t>
      </w:r>
    </w:p>
    <w:p>
      <w:pPr>
        <w:spacing w:after="0" w:line="244"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CERTIFICATION OF CHIEF EXECUTIVE OFFICER UNDER 18 U.S.C. §1350</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 Robert G. Wilmers, Chairman of the Board and Chief Executive Officer of M&amp;T Bank Corporation, certify, pursuant to Section 906 of the Sarbanes-Oxley Act of 2002,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18 U.S.C. Section 1350, that:</w:t>
      </w:r>
    </w:p>
    <w:p>
      <w:pPr>
        <w:spacing w:after="0" w:line="3" w:lineRule="exact"/>
        <w:rPr>
          <w:sz w:val="20"/>
          <w:szCs w:val="20"/>
          <w:color w:val="auto"/>
        </w:rPr>
      </w:pPr>
    </w:p>
    <w:p>
      <w:pPr>
        <w:ind w:right="20" w:firstLine="604"/>
        <w:spacing w:after="0" w:line="244" w:lineRule="auto"/>
        <w:tabs>
          <w:tab w:leader="none" w:pos="799"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Annual Report on Form 10-K of M&amp;T Bank Corporation for the annual period ended December 31, 2007 (the “Report”) fully complies with the requirements of Section 13(a) or 15(d) of the Securities Exchange Act of 1934 (15 U.S.C. 78m or 78o(d)); and</w:t>
      </w:r>
    </w:p>
    <w:p>
      <w:pPr>
        <w:ind w:left="800" w:hanging="196"/>
        <w:spacing w:after="0"/>
        <w:tabs>
          <w:tab w:leader="none" w:pos="8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21"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-99695</wp:posOffset>
            </wp:positionV>
            <wp:extent cx="372046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72046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February 21, 2008</w:t>
      </w:r>
    </w:p>
    <w:p>
      <w:pPr>
        <w:spacing w:after="0" w:line="88" w:lineRule="exact"/>
        <w:rPr>
          <w:sz w:val="20"/>
          <w:szCs w:val="20"/>
          <w:color w:val="auto"/>
        </w:rPr>
      </w:pPr>
    </w:p>
    <w:p>
      <w:pPr>
        <w:ind w:right="300" w:firstLine="599"/>
        <w:spacing w:after="0" w:line="258"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9980"/>
          </w:cols>
          <w:pgMar w:left="900" w:top="962" w:right="10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32.2</w:t>
      </w:r>
    </w:p>
    <w:p>
      <w:pPr>
        <w:spacing w:after="0" w:line="244"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CERTIFICATION OF CHIEF FINANCIAL OFFICER UNDER 18 U.S.C. §1350</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 René F. Jones, Executive Vice President and Chief Financial Officer of M&amp;T Bank Corporation, certify, pursuant to Section 906 of the Sarbanes-Oxley Act of 2002,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18 U.S.C. Section 1350, that:</w:t>
      </w:r>
    </w:p>
    <w:p>
      <w:pPr>
        <w:spacing w:after="0" w:line="3" w:lineRule="exact"/>
        <w:rPr>
          <w:sz w:val="20"/>
          <w:szCs w:val="20"/>
          <w:color w:val="auto"/>
        </w:rPr>
      </w:pPr>
    </w:p>
    <w:p>
      <w:pPr>
        <w:ind w:right="20" w:firstLine="604"/>
        <w:spacing w:after="0" w:line="244" w:lineRule="auto"/>
        <w:tabs>
          <w:tab w:leader="none" w:pos="799"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Annual Report on Form 10-K of M&amp;T Bank Corporation for the annual period ended December 31, 2007 (the “Report”) fully complies with the requirements of Section 13(a) or 15(d) of the Securities Exchange Act of 1934 (15 U.S.C. 78m or 78o(d)); and</w:t>
      </w:r>
    </w:p>
    <w:p>
      <w:pPr>
        <w:ind w:left="800" w:hanging="196"/>
        <w:spacing w:after="0"/>
        <w:tabs>
          <w:tab w:leader="none" w:pos="8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21"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2"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-99695</wp:posOffset>
            </wp:positionV>
            <wp:extent cx="372046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2046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February 21, 2008</w:t>
      </w:r>
    </w:p>
    <w:p>
      <w:pPr>
        <w:spacing w:after="0" w:line="88" w:lineRule="exact"/>
        <w:rPr>
          <w:sz w:val="20"/>
          <w:szCs w:val="20"/>
          <w:color w:val="auto"/>
        </w:rPr>
      </w:pPr>
    </w:p>
    <w:p>
      <w:pPr>
        <w:ind w:right="300" w:firstLine="599"/>
        <w:spacing w:after="0" w:line="258"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9980"/>
      </w:cols>
      <w:pgMar w:left="900" w:top="962"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1."/>
      <w:numFmt w:val="upperLetter"/>
      <w:start w:val="9"/>
    </w:lvl>
  </w:abstractNum>
  <w:abstractNum w:abstractNumId="3">
    <w:nsid w:val="22221A70"/>
    <w:multiLevelType w:val="hybridMultilevel"/>
    <w:lvl w:ilvl="0">
      <w:lvlJc w:val="left"/>
      <w:lvlText w:val="%1."/>
      <w:numFmt w:val="upperLetter"/>
      <w:start w:val="61"/>
    </w:lvl>
  </w:abstractNum>
  <w:abstractNum w:abstractNumId="4">
    <w:nsid w:val="4516DDE9"/>
    <w:multiLevelType w:val="hybridMultilevel"/>
    <w:lvl w:ilvl="0">
      <w:lvlJc w:val="left"/>
      <w:lvlText w:val="%1."/>
      <w:numFmt w:val="upperLetter"/>
      <w:start w:val="22"/>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lowerRoman"/>
      <w:start w:val="1"/>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3"/>
    </w:lvl>
  </w:abstractNum>
  <w:abstractNum w:abstractNumId="24">
    <w:nsid w:val="2A487CB0"/>
    <w:multiLevelType w:val="hybridMultilevel"/>
    <w:lvl w:ilvl="0">
      <w:lvlJc w:val="left"/>
      <w:lvlText w:val="%1."/>
      <w:numFmt w:val="decimal"/>
      <w:start w:val="4"/>
    </w:lvl>
  </w:abstractNum>
  <w:abstractNum w:abstractNumId="25">
    <w:nsid w:val="1D4ED43B"/>
    <w:multiLevelType w:val="hybridMultilevel"/>
    <w:lvl w:ilvl="0">
      <w:lvlJc w:val="left"/>
      <w:lvlText w:val="%1."/>
      <w:numFmt w:val="decimal"/>
      <w:start w:val="6"/>
    </w:lvl>
  </w:abstractNum>
  <w:abstractNum w:abstractNumId="26">
    <w:nsid w:val="725A06FB"/>
    <w:multiLevelType w:val="hybridMultilevel"/>
    <w:lvl w:ilvl="0">
      <w:lvlJc w:val="left"/>
      <w:lvlText w:val="%1."/>
      <w:numFmt w:val="decimal"/>
      <w:start w:val="7"/>
    </w:lvl>
  </w:abstractNum>
  <w:abstractNum w:abstractNumId="27">
    <w:nsid w:val="2CD89A32"/>
    <w:multiLevelType w:val="hybridMultilevel"/>
    <w:lvl w:ilvl="0">
      <w:lvlJc w:val="left"/>
      <w:lvlText w:val="%1."/>
      <w:numFmt w:val="decimal"/>
      <w:start w:val="8"/>
    </w:lvl>
  </w:abstractNum>
  <w:abstractNum w:abstractNumId="28">
    <w:nsid w:val="57E4CCAF"/>
    <w:multiLevelType w:val="hybridMultilevel"/>
    <w:lvl w:ilvl="0">
      <w:lvlJc w:val="left"/>
      <w:lvlText w:val="%1."/>
      <w:numFmt w:val="decimal"/>
      <w:start w:val="9"/>
    </w:lvl>
  </w:abstractNum>
  <w:abstractNum w:abstractNumId="29">
    <w:nsid w:val="7A6D8D3C"/>
    <w:multiLevelType w:val="hybridMultilevel"/>
    <w:lvl w:ilvl="0">
      <w:lvlJc w:val="left"/>
      <w:lvlText w:val="%1."/>
      <w:numFmt w:val="decimal"/>
      <w:start w:val="10"/>
    </w:lvl>
  </w:abstractNum>
  <w:abstractNum w:abstractNumId="30">
    <w:nsid w:val="4B588F54"/>
    <w:multiLevelType w:val="hybridMultilevel"/>
    <w:lvl w:ilvl="0">
      <w:lvlJc w:val="left"/>
      <w:lvlText w:val="%1."/>
      <w:numFmt w:val="decimal"/>
      <w:start w:val="11"/>
    </w:lvl>
  </w:abstractNum>
  <w:abstractNum w:abstractNumId="31">
    <w:nsid w:val="542289EC"/>
    <w:multiLevelType w:val="hybridMultilevel"/>
    <w:lvl w:ilvl="0">
      <w:lvlJc w:val="left"/>
      <w:lvlText w:val="%1."/>
      <w:numFmt w:val="decimal"/>
      <w:start w:val="12"/>
    </w:lvl>
  </w:abstractNum>
  <w:abstractNum w:abstractNumId="32">
    <w:nsid w:val="6DE91B18"/>
    <w:multiLevelType w:val="hybridMultilevel"/>
    <w:lvl w:ilvl="0">
      <w:lvlJc w:val="left"/>
      <w:lvlText w:val="%1."/>
      <w:numFmt w:val="decimal"/>
      <w:start w:val="13"/>
    </w:lvl>
  </w:abstractNum>
  <w:abstractNum w:abstractNumId="33">
    <w:nsid w:val="38437FDB"/>
    <w:multiLevelType w:val="hybridMultilevel"/>
    <w:lvl w:ilvl="0">
      <w:lvlJc w:val="left"/>
      <w:lvlText w:val="%1."/>
      <w:numFmt w:val="decimal"/>
      <w:start w:val="14"/>
    </w:lvl>
  </w:abstractNum>
  <w:abstractNum w:abstractNumId="34">
    <w:nsid w:val="7644A45C"/>
    <w:multiLevelType w:val="hybridMultilevel"/>
    <w:lvl w:ilvl="0">
      <w:lvlJc w:val="left"/>
      <w:lvlText w:val="%1."/>
      <w:numFmt w:val="decimal"/>
      <w:start w:val="15"/>
    </w:lvl>
  </w:abstractNum>
  <w:abstractNum w:abstractNumId="35">
    <w:nsid w:val="32FFF902"/>
    <w:multiLevelType w:val="hybridMultilevel"/>
    <w:lvl w:ilvl="0">
      <w:lvlJc w:val="left"/>
      <w:lvlText w:val="%1."/>
      <w:numFmt w:val="decimal"/>
      <w:start w:val="16"/>
    </w:lvl>
  </w:abstractNum>
  <w:abstractNum w:abstractNumId="36">
    <w:nsid w:val="684A481A"/>
    <w:multiLevelType w:val="hybridMultilevel"/>
    <w:lvl w:ilvl="0">
      <w:lvlJc w:val="left"/>
      <w:lvlText w:val="%1."/>
      <w:numFmt w:val="decimal"/>
      <w:start w:val="17"/>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decimal"/>
      <w:start w:val="18"/>
    </w:lvl>
  </w:abstractNum>
  <w:abstractNum w:abstractNumId="39">
    <w:nsid w:val="3DC240FB"/>
    <w:multiLevelType w:val="hybridMultilevel"/>
    <w:lvl w:ilvl="0">
      <w:lvlJc w:val="left"/>
      <w:lvlText w:val="%1."/>
      <w:numFmt w:val="decimal"/>
      <w:start w:val="19"/>
    </w:lvl>
  </w:abstractNum>
  <w:abstractNum w:abstractNumId="40">
    <w:nsid w:val="1BA026FA"/>
    <w:multiLevelType w:val="hybridMultilevel"/>
    <w:lvl w:ilvl="0">
      <w:lvlJc w:val="left"/>
      <w:lvlText w:val="%1."/>
      <w:numFmt w:val="decimal"/>
      <w:start w:val="20"/>
    </w:lvl>
  </w:abstractNum>
  <w:abstractNum w:abstractNumId="41">
    <w:nsid w:val="79A1DEAA"/>
    <w:multiLevelType w:val="hybridMultilevel"/>
    <w:lvl w:ilvl="0">
      <w:lvlJc w:val="left"/>
      <w:lvlText w:val="%1."/>
      <w:numFmt w:val="decimal"/>
      <w:start w:val="2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decimal"/>
      <w:start w:val="22"/>
    </w:lvl>
  </w:abstractNum>
  <w:abstractNum w:abstractNumId="44">
    <w:nsid w:val="70C6A529"/>
    <w:multiLevelType w:val="hybridMultilevel"/>
    <w:lvl w:ilvl="0">
      <w:lvlJc w:val="left"/>
      <w:lvlText w:val="%1"/>
      <w:numFmt w:val="decimal"/>
      <w:start w:val="1"/>
    </w:lvl>
    <w:lvl w:ilvl="1">
      <w:lvlJc w:val="left"/>
      <w:lvlText w:val="(%2)"/>
      <w:numFmt w:val="lowerLetter"/>
      <w:start w:val="1"/>
    </w:lvl>
  </w:abstractNum>
  <w:abstractNum w:abstractNumId="45">
    <w:nsid w:val="520EEDD1"/>
    <w:multiLevelType w:val="hybridMultilevel"/>
    <w:lvl w:ilvl="0">
      <w:lvlJc w:val="left"/>
      <w:lvlText w:val="%1."/>
      <w:numFmt w:val="decimal"/>
      <w:start w:val="23"/>
    </w:lvl>
    <w:lvl w:ilvl="1">
      <w:lvlJc w:val="left"/>
      <w:lvlText w:val="%2"/>
      <w:numFmt w:val="lowerLetter"/>
      <w:start w:val="1"/>
    </w:lvl>
  </w:abstractNum>
  <w:abstractNum w:abstractNumId="46">
    <w:nsid w:val="374A3FE6"/>
    <w:multiLevelType w:val="hybridMultilevel"/>
    <w:lvl w:ilvl="0">
      <w:lvlJc w:val="left"/>
      <w:lvlText w:val="%1."/>
      <w:numFmt w:val="decimal"/>
      <w:start w:val="24"/>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2019-12-11T12:15:09Z</dcterms:created>
  <dcterms:modified xsi:type="dcterms:W3CDTF">2019-12-11T12:15:09Z</dcterms:modified>
</cp:coreProperties>
</file>