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New York</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4"/>
              </w:rPr>
              <w:t>One M &amp; T Plaza</w:t>
            </w:r>
          </w:p>
        </w:tc>
        <w:tc>
          <w:tcPr>
            <w:tcW w:w="5140" w:type="dxa"/>
            <w:vAlign w:val="bottom"/>
          </w:tcPr>
          <w:p>
            <w:pPr>
              <w:spacing w:after="0"/>
              <w:rPr>
                <w:sz w:val="24"/>
                <w:szCs w:val="24"/>
                <w:color w:val="auto"/>
              </w:rPr>
            </w:pPr>
          </w:p>
        </w:tc>
      </w:tr>
      <w:tr>
        <w:trPr>
          <w:trHeight w:val="231"/>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Buffalo, New York</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14203</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(716) 842-5445</w:t>
            </w:r>
          </w:p>
        </w:tc>
      </w:tr>
      <w:tr>
        <w:trPr>
          <w:trHeight w:val="174"/>
        </w:trPr>
        <w:tc>
          <w:tcPr>
            <w:tcW w:w="2340" w:type="dxa"/>
            <w:vAlign w:val="bottom"/>
          </w:tcPr>
          <w:p>
            <w:pPr>
              <w:spacing w:after="0"/>
              <w:rPr>
                <w:sz w:val="15"/>
                <w:szCs w:val="15"/>
                <w:color w:val="auto"/>
              </w:rPr>
            </w:pPr>
          </w:p>
        </w:tc>
        <w:tc>
          <w:tcPr>
            <w:tcW w:w="51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41"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0" w:lineRule="exact"/>
        <w:rPr>
          <w:sz w:val="24"/>
          <w:szCs w:val="24"/>
          <w:color w:val="auto"/>
        </w:rPr>
      </w:pPr>
    </w:p>
    <w:p>
      <w:pPr>
        <w:sectPr>
          <w:pgSz w:w="11900" w:h="16838" w:orient="portrait"/>
          <w:cols w:equalWidth="0" w:num="5">
            <w:col w:w="7980" w:space="160"/>
            <w:col w:w="160" w:space="100"/>
            <w:col w:w="240" w:space="180"/>
            <w:col w:w="160" w:space="100"/>
            <w:col w:w="2340"/>
          </w:cols>
          <w:pgMar w:left="240" w:top="230"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April 30, 2012: 126,558,669 shares.</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March 31,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Borders>
              <w:bottom w:val="single" w:sz="8" w:color="auto"/>
            </w:tcBorders>
            <w:gridSpan w:val="12"/>
          </w:tcPr>
          <w:p>
            <w:pPr>
              <w:spacing w:after="0"/>
              <w:rPr>
                <w:sz w:val="20"/>
                <w:szCs w:val="20"/>
                <w:color w:val="auto"/>
              </w:rPr>
            </w:pPr>
            <w:r>
              <w:rPr>
                <w:rFonts w:ascii="Arial" w:cs="Arial" w:eastAsia="Arial" w:hAnsi="Arial"/>
                <w:sz w:val="14"/>
                <w:szCs w:val="14"/>
                <w:color w:val="auto"/>
                <w:w w:val="93"/>
              </w:rPr>
              <w:t>Table of Contents of Information Required in Report</w:t>
            </w:r>
          </w:p>
        </w:tc>
        <w:tc>
          <w:tcPr>
            <w:tcW w:w="8020" w:type="dxa"/>
            <w:vAlign w:val="bottom"/>
            <w:gridSpan w:val="11"/>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57"/>
        </w:trPr>
        <w:tc>
          <w:tcPr>
            <w:tcW w:w="110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60" w:type="dxa"/>
            <w:vAlign w:val="bottom"/>
          </w:tcPr>
          <w:p>
            <w:pPr>
              <w:spacing w:after="0"/>
              <w:rPr>
                <w:sz w:val="22"/>
                <w:szCs w:val="22"/>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320" w:type="dxa"/>
            <w:vAlign w:val="bottom"/>
            <w:gridSpan w:val="13"/>
          </w:tcPr>
          <w:p>
            <w:pPr>
              <w:spacing w:after="0"/>
              <w:rPr>
                <w:sz w:val="24"/>
                <w:szCs w:val="24"/>
                <w:color w:val="auto"/>
              </w:rPr>
            </w:pPr>
          </w:p>
        </w:tc>
        <w:tc>
          <w:tcPr>
            <w:tcW w:w="26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 - March 31, 2012 and December 31, 2011</w:t>
              </w:r>
            </w:hyperlink>
          </w:p>
        </w:tc>
        <w:tc>
          <w:tcPr>
            <w:tcW w:w="406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months ended March 31, 2012 and 2011</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COMPREHENSIVE INCOME - Three months ended March 31, 2012 and 2011</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 OF CASH FLOWS - Three months ended March 31, 2012 and 2011</w:t>
              </w:r>
            </w:hyperlink>
          </w:p>
        </w:tc>
        <w:tc>
          <w:tcPr>
            <w:tcW w:w="1100" w:type="dxa"/>
            <w:vAlign w:val="bottom"/>
            <w:tcBorders>
              <w:top w:val="single" w:sz="8" w:color="0000EE"/>
            </w:tcBorders>
          </w:tcPr>
          <w:p>
            <w:pPr>
              <w:spacing w:after="0"/>
              <w:rPr>
                <w:sz w:val="24"/>
                <w:szCs w:val="24"/>
                <w:color w:val="auto"/>
              </w:rPr>
            </w:pPr>
          </w:p>
        </w:tc>
        <w:tc>
          <w:tcPr>
            <w:tcW w:w="15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8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 OF CHANGES IN SHAREHOLDERS’ EQUITY - Three months ended March 31, 2012 and 2011</w:t>
              </w:r>
            </w:hyperlink>
          </w:p>
        </w:tc>
        <w:tc>
          <w:tcPr>
            <w:tcW w:w="4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84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50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Controls and Procedures.</w:t>
              </w:r>
            </w:hyperlink>
          </w:p>
        </w:tc>
        <w:tc>
          <w:tcPr>
            <w:tcW w:w="8060" w:type="dxa"/>
            <w:vAlign w:val="bottom"/>
            <w:gridSpan w:val="1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23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Part II. OTHER INFORMATION</w:t>
              </w:r>
            </w:hyperlink>
          </w:p>
        </w:tc>
        <w:tc>
          <w:tcPr>
            <w:tcW w:w="8680" w:type="dxa"/>
            <w:vAlign w:val="bottom"/>
            <w:gridSpan w:val="17"/>
          </w:tcPr>
          <w:p>
            <w:pPr>
              <w:spacing w:after="0"/>
              <w:rPr>
                <w:sz w:val="24"/>
                <w:szCs w:val="24"/>
                <w:color w:val="auto"/>
              </w:rPr>
            </w:pPr>
          </w:p>
        </w:tc>
        <w:tc>
          <w:tcPr>
            <w:tcW w:w="260" w:type="dxa"/>
            <w:vAlign w:val="bottom"/>
          </w:tcPr>
          <w:p>
            <w:pPr>
              <w:spacing w:after="0"/>
              <w:rPr>
                <w:sz w:val="24"/>
                <w:szCs w:val="24"/>
                <w:color w:val="auto"/>
              </w:rPr>
            </w:pP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840" w:type="dxa"/>
            <w:vAlign w:val="bottom"/>
            <w:gridSpan w:val="2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Legal Proceedings.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9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97">
              <w:r>
                <w:rPr>
                  <w:rFonts w:ascii="Arial" w:cs="Arial" w:eastAsia="Arial" w:hAnsi="Arial"/>
                  <w:sz w:val="18"/>
                  <w:szCs w:val="18"/>
                  <w:color w:val="0000EE"/>
                  <w:w w:val="87"/>
                </w:rPr>
                <w:t>Risk Factors.</w:t>
              </w:r>
            </w:hyperlink>
          </w:p>
        </w:tc>
        <w:tc>
          <w:tcPr>
            <w:tcW w:w="400" w:type="dxa"/>
            <w:vAlign w:val="bottom"/>
            <w:tcBorders>
              <w:top w:val="single" w:sz="8" w:color="0000EE"/>
            </w:tcBorders>
            <w:gridSpan w:val="3"/>
          </w:tcPr>
          <w:p>
            <w:pPr>
              <w:spacing w:after="0"/>
              <w:rPr>
                <w:sz w:val="24"/>
                <w:szCs w:val="24"/>
                <w:color w:val="auto"/>
              </w:rPr>
            </w:pPr>
          </w:p>
        </w:tc>
        <w:tc>
          <w:tcPr>
            <w:tcW w:w="8500" w:type="dxa"/>
            <w:vAlign w:val="bottom"/>
            <w:gridSpan w:val="1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840" w:type="dxa"/>
            <w:vAlign w:val="bottom"/>
            <w:gridSpan w:val="2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Unregistered Sales of Equity Securities and Use of Proceeds.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560" w:type="dxa"/>
            <w:vAlign w:val="bottom"/>
            <w:gridSpan w:val="8"/>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Mine Safety Disclosures.</w:t>
              </w:r>
            </w:hyperlink>
          </w:p>
        </w:tc>
        <w:tc>
          <w:tcPr>
            <w:tcW w:w="8060" w:type="dxa"/>
            <w:vAlign w:val="bottom"/>
            <w:gridSpan w:val="1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9840" w:type="dxa"/>
            <w:vAlign w:val="bottom"/>
            <w:gridSpan w:val="2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2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w:t>
              </w:r>
            </w:hyperlink>
          </w:p>
        </w:tc>
        <w:tc>
          <w:tcPr>
            <w:tcW w:w="8520" w:type="dxa"/>
            <w:vAlign w:val="bottom"/>
            <w:gridSpan w:val="1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20" w:type="dxa"/>
            <w:vAlign w:val="bottom"/>
            <w:gridSpan w:val="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0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760" w:type="dxa"/>
            <w:vAlign w:val="bottom"/>
            <w:gridSpan w:val="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00">
              <w:r>
                <w:rPr>
                  <w:rFonts w:ascii="Arial" w:cs="Arial" w:eastAsia="Arial" w:hAnsi="Arial"/>
                  <w:sz w:val="18"/>
                  <w:szCs w:val="18"/>
                  <w:color w:val="0000EE"/>
                  <w:w w:val="98"/>
                </w:rPr>
                <w:t>EXHIBIT INDEX</w:t>
              </w:r>
            </w:hyperlink>
          </w:p>
        </w:tc>
        <w:tc>
          <w:tcPr>
            <w:tcW w:w="9760" w:type="dxa"/>
            <w:vAlign w:val="bottom"/>
            <w:gridSpan w:val="2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8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gridSpan w:val="15"/>
          </w:tcPr>
          <w:p>
            <w:pPr>
              <w:ind w:left="4340"/>
              <w:spacing w:after="0"/>
              <w:rPr>
                <w:sz w:val="20"/>
                <w:szCs w:val="20"/>
                <w:color w:val="auto"/>
              </w:rPr>
            </w:pPr>
            <w:r>
              <w:rPr>
                <w:rFonts w:ascii="Arial" w:cs="Arial" w:eastAsia="Arial" w:hAnsi="Arial"/>
                <w:sz w:val="18"/>
                <w:szCs w:val="18"/>
                <w:color w:val="auto"/>
              </w:rPr>
              <w:t>- 2 -</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color w:val="auto"/>
                <w:w w:val="99"/>
              </w:rPr>
              <w:t>March 31,</w:t>
            </w:r>
          </w:p>
        </w:tc>
        <w:tc>
          <w:tcPr>
            <w:tcW w:w="1020" w:type="dxa"/>
            <w:vAlign w:val="bottom"/>
          </w:tcPr>
          <w:p>
            <w:pPr>
              <w:jc w:val="right"/>
              <w:ind w:right="73"/>
              <w:spacing w:after="0"/>
              <w:rPr>
                <w:sz w:val="20"/>
                <w:szCs w:val="20"/>
                <w:color w:val="auto"/>
              </w:rPr>
            </w:pPr>
            <w:r>
              <w:rPr>
                <w:rFonts w:ascii="Arial" w:cs="Arial" w:eastAsia="Arial" w:hAnsi="Arial"/>
                <w:sz w:val="14"/>
                <w:szCs w:val="14"/>
                <w:color w:val="auto"/>
                <w:w w:val="95"/>
              </w:rPr>
              <w:t>December 31,</w:t>
            </w:r>
          </w:p>
        </w:tc>
      </w:tr>
      <w:tr>
        <w:trPr>
          <w:trHeight w:val="159"/>
        </w:trPr>
        <w:tc>
          <w:tcPr>
            <w:tcW w:w="9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rPr>
              <w:t>Dollars in thousands, except per share</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9" w:lineRule="exact"/>
              <w:rPr>
                <w:sz w:val="20"/>
                <w:szCs w:val="20"/>
                <w:color w:val="auto"/>
              </w:rPr>
            </w:pPr>
            <w:r>
              <w:rPr>
                <w:rFonts w:ascii="Arial" w:cs="Arial" w:eastAsia="Arial" w:hAnsi="Arial"/>
                <w:sz w:val="14"/>
                <w:szCs w:val="14"/>
                <w:color w:val="auto"/>
              </w:rPr>
              <w:t>2012</w:t>
            </w:r>
          </w:p>
        </w:tc>
        <w:tc>
          <w:tcPr>
            <w:tcW w:w="1020" w:type="dxa"/>
            <w:vAlign w:val="bottom"/>
            <w:tcBorders>
              <w:bottom w:val="single" w:sz="8" w:color="auto"/>
            </w:tcBorders>
          </w:tcPr>
          <w:p>
            <w:pPr>
              <w:jc w:val="right"/>
              <w:ind w:right="313"/>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9280" w:type="dxa"/>
            <w:vAlign w:val="bottom"/>
          </w:tcPr>
          <w:p>
            <w:pPr>
              <w:ind w:left="124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97"/>
              </w:rPr>
              <w:t>1,344,092</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1,449,547</w:t>
            </w:r>
          </w:p>
        </w:tc>
      </w:tr>
      <w:tr>
        <w:trPr>
          <w:trHeight w:val="216"/>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Interest-bearing deposits at banks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1,282,040</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154,960</w:t>
            </w:r>
          </w:p>
        </w:tc>
      </w:tr>
      <w:tr>
        <w:trPr>
          <w:trHeight w:val="216"/>
        </w:trPr>
        <w:tc>
          <w:tcPr>
            <w:tcW w:w="9280" w:type="dxa"/>
            <w:vAlign w:val="bottom"/>
          </w:tcPr>
          <w:p>
            <w:pPr>
              <w:ind w:left="1240"/>
              <w:spacing w:after="0"/>
              <w:rPr>
                <w:sz w:val="20"/>
                <w:szCs w:val="20"/>
                <w:color w:val="auto"/>
              </w:rPr>
            </w:pPr>
            <w:r>
              <w:rPr>
                <w:rFonts w:ascii="Arial" w:cs="Arial" w:eastAsia="Arial" w:hAnsi="Arial"/>
                <w:sz w:val="18"/>
                <w:szCs w:val="18"/>
                <w:color w:val="auto"/>
              </w:rPr>
              <w:t>Federal funds sold</w:t>
            </w:r>
          </w:p>
        </w:tc>
        <w:tc>
          <w:tcPr>
            <w:tcW w:w="160" w:type="dxa"/>
            <w:vAlign w:val="bottom"/>
          </w:tcPr>
          <w:p>
            <w:pPr>
              <w:spacing w:after="0"/>
              <w:rPr>
                <w:sz w:val="18"/>
                <w:szCs w:val="18"/>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2,850</w:t>
            </w:r>
          </w:p>
        </w:tc>
      </w:tr>
      <w:tr>
        <w:trPr>
          <w:trHeight w:val="216"/>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Trading account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517,620</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561,834</w:t>
            </w:r>
          </w:p>
        </w:tc>
      </w:tr>
      <w:tr>
        <w:trPr>
          <w:trHeight w:val="208"/>
        </w:trPr>
        <w:tc>
          <w:tcPr>
            <w:tcW w:w="9280" w:type="dxa"/>
            <w:vAlign w:val="bottom"/>
          </w:tcPr>
          <w:p>
            <w:pPr>
              <w:ind w:left="1240"/>
              <w:spacing w:after="0"/>
              <w:rPr>
                <w:sz w:val="20"/>
                <w:szCs w:val="20"/>
                <w:color w:val="auto"/>
              </w:rPr>
            </w:pPr>
            <w:r>
              <w:rPr>
                <w:rFonts w:ascii="Arial" w:cs="Arial" w:eastAsia="Arial" w:hAnsi="Arial"/>
                <w:sz w:val="18"/>
                <w:szCs w:val="18"/>
                <w:color w:val="auto"/>
                <w:w w:val="88"/>
              </w:rPr>
              <w:t>Investment securities (includes pledged securities that can be sold or repledged of $1,816,595 at March 31, 2012;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9280" w:type="dxa"/>
            <w:vAlign w:val="bottom"/>
          </w:tcPr>
          <w:p>
            <w:pPr>
              <w:ind w:left="1460"/>
              <w:spacing w:after="0"/>
              <w:rPr>
                <w:sz w:val="20"/>
                <w:szCs w:val="20"/>
                <w:color w:val="auto"/>
              </w:rPr>
            </w:pPr>
            <w:r>
              <w:rPr>
                <w:rFonts w:ascii="Arial" w:cs="Arial" w:eastAsia="Arial" w:hAnsi="Arial"/>
                <w:sz w:val="18"/>
                <w:szCs w:val="18"/>
                <w:color w:val="auto"/>
              </w:rPr>
              <w:t>$1,826,011 at December 31, 2011)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7"/>
        </w:trPr>
        <w:tc>
          <w:tcPr>
            <w:tcW w:w="9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Available for sale (cost: $5,892,799 at March 31, 2012; $6,312,423 at December 31, 2011)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5,838,022</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6,228,560</w:t>
            </w:r>
          </w:p>
        </w:tc>
      </w:tr>
      <w:tr>
        <w:trPr>
          <w:trHeight w:val="216"/>
        </w:trPr>
        <w:tc>
          <w:tcPr>
            <w:tcW w:w="9280" w:type="dxa"/>
            <w:vAlign w:val="bottom"/>
          </w:tcPr>
          <w:p>
            <w:pPr>
              <w:ind w:left="1660"/>
              <w:spacing w:after="0"/>
              <w:rPr>
                <w:sz w:val="20"/>
                <w:szCs w:val="20"/>
                <w:color w:val="auto"/>
              </w:rPr>
            </w:pPr>
            <w:r>
              <w:rPr>
                <w:rFonts w:ascii="Arial" w:cs="Arial" w:eastAsia="Arial" w:hAnsi="Arial"/>
                <w:sz w:val="18"/>
                <w:szCs w:val="18"/>
                <w:color w:val="auto"/>
              </w:rPr>
              <w:t>Held to maturity (fair value: $929,478 at March 31, 2012; $1,012,562 at December 31, 2011)</w:t>
            </w:r>
          </w:p>
        </w:tc>
        <w:tc>
          <w:tcPr>
            <w:tcW w:w="1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97"/>
              </w:rPr>
              <w:t>1,000,294</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1,077,708</w:t>
            </w:r>
          </w:p>
        </w:tc>
      </w:tr>
      <w:tr>
        <w:trPr>
          <w:trHeight w:val="216"/>
        </w:trPr>
        <w:tc>
          <w:tcPr>
            <w:tcW w:w="928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Other (fair value: $356,980 at March 31, 2012; $366,886 at December 31, 2011)</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356,980</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366,886</w:t>
            </w:r>
          </w:p>
        </w:tc>
      </w:tr>
      <w:tr>
        <w:trPr>
          <w:trHeight w:val="210"/>
        </w:trPr>
        <w:tc>
          <w:tcPr>
            <w:tcW w:w="92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Total investment securities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7,195,296</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7,673,154</w:t>
            </w:r>
          </w:p>
        </w:tc>
      </w:tr>
      <w:tr>
        <w:trPr>
          <w:trHeight w:val="210"/>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Loans and leases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61,185,392</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60,377,875</w:t>
            </w:r>
          </w:p>
        </w:tc>
      </w:tr>
      <w:tr>
        <w:trPr>
          <w:trHeight w:val="216"/>
        </w:trPr>
        <w:tc>
          <w:tcPr>
            <w:tcW w:w="92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Unearned discount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(263,642)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(281,870)</w:t>
            </w:r>
          </w:p>
        </w:tc>
      </w:tr>
      <w:tr>
        <w:trPr>
          <w:trHeight w:val="210"/>
        </w:trPr>
        <w:tc>
          <w:tcPr>
            <w:tcW w:w="928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Loans and leases, net of unearned discount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60,921,750</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60,096,005</w:t>
            </w:r>
          </w:p>
        </w:tc>
      </w:tr>
      <w:tr>
        <w:trPr>
          <w:trHeight w:val="216"/>
        </w:trPr>
        <w:tc>
          <w:tcPr>
            <w:tcW w:w="92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Allowance for credit losses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(909,006)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(908,290)</w:t>
            </w:r>
          </w:p>
        </w:tc>
      </w:tr>
      <w:tr>
        <w:trPr>
          <w:trHeight w:val="210"/>
        </w:trPr>
        <w:tc>
          <w:tcPr>
            <w:tcW w:w="928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8"/>
                <w:szCs w:val="18"/>
                <w:color w:val="auto"/>
              </w:rPr>
              <w:t>Loans and leases, net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60,012,744</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59,187,715</w:t>
            </w:r>
          </w:p>
        </w:tc>
      </w:tr>
      <w:tr>
        <w:trPr>
          <w:trHeight w:val="210"/>
        </w:trPr>
        <w:tc>
          <w:tcPr>
            <w:tcW w:w="9280" w:type="dxa"/>
            <w:vAlign w:val="bottom"/>
          </w:tcPr>
          <w:p>
            <w:pPr>
              <w:ind w:left="124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580,033</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581,435</w:t>
            </w:r>
          </w:p>
        </w:tc>
      </w:tr>
      <w:tr>
        <w:trPr>
          <w:trHeight w:val="216"/>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3,524,625</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3,524,625</w:t>
            </w:r>
          </w:p>
        </w:tc>
      </w:tr>
      <w:tr>
        <w:trPr>
          <w:trHeight w:val="216"/>
        </w:trPr>
        <w:tc>
          <w:tcPr>
            <w:tcW w:w="9280" w:type="dxa"/>
            <w:vAlign w:val="bottom"/>
          </w:tcPr>
          <w:p>
            <w:pPr>
              <w:ind w:left="1240"/>
              <w:spacing w:after="0"/>
              <w:rPr>
                <w:sz w:val="20"/>
                <w:szCs w:val="20"/>
                <w:color w:val="auto"/>
              </w:rPr>
            </w:pPr>
            <w:r>
              <w:rPr>
                <w:rFonts w:ascii="Arial" w:cs="Arial" w:eastAsia="Arial" w:hAnsi="Arial"/>
                <w:sz w:val="18"/>
                <w:szCs w:val="18"/>
                <w:color w:val="auto"/>
              </w:rPr>
              <w:t>Core deposit and other intangible assets</w:t>
            </w:r>
          </w:p>
        </w:tc>
        <w:tc>
          <w:tcPr>
            <w:tcW w:w="1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159,619</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176,394</w:t>
            </w:r>
          </w:p>
        </w:tc>
      </w:tr>
      <w:tr>
        <w:trPr>
          <w:trHeight w:val="216"/>
        </w:trPr>
        <w:tc>
          <w:tcPr>
            <w:tcW w:w="92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Accrued interest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4,570,818</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4,611,773</w:t>
            </w:r>
          </w:p>
        </w:tc>
      </w:tr>
      <w:tr>
        <w:trPr>
          <w:trHeight w:val="217"/>
        </w:trPr>
        <w:tc>
          <w:tcPr>
            <w:tcW w:w="92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79,186,887</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77,924,287</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9280" w:type="dxa"/>
            <w:vAlign w:val="bottom"/>
          </w:tcPr>
          <w:p>
            <w:pPr>
              <w:ind w:left="124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86"/>
              </w:rPr>
              <w:t>20,648,970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20,017,883</w:t>
            </w:r>
          </w:p>
        </w:tc>
      </w:tr>
      <w:tr>
        <w:trPr>
          <w:trHeight w:val="216"/>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1,875,461</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1,912,226</w:t>
            </w:r>
          </w:p>
        </w:tc>
      </w:tr>
      <w:tr>
        <w:trPr>
          <w:trHeight w:val="216"/>
        </w:trPr>
        <w:tc>
          <w:tcPr>
            <w:tcW w:w="9280" w:type="dxa"/>
            <w:vAlign w:val="bottom"/>
          </w:tcPr>
          <w:p>
            <w:pPr>
              <w:ind w:left="124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86"/>
              </w:rPr>
              <w:t>32,225,733</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31,001,083</w:t>
            </w:r>
          </w:p>
        </w:tc>
      </w:tr>
      <w:tr>
        <w:trPr>
          <w:trHeight w:val="216"/>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5,767,588</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6,107,530</w:t>
            </w:r>
          </w:p>
        </w:tc>
      </w:tr>
      <w:tr>
        <w:trPr>
          <w:trHeight w:val="216"/>
        </w:trPr>
        <w:tc>
          <w:tcPr>
            <w:tcW w:w="92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395,191</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355,927</w:t>
            </w:r>
          </w:p>
        </w:tc>
      </w:tr>
      <w:tr>
        <w:trPr>
          <w:trHeight w:val="210"/>
        </w:trPr>
        <w:tc>
          <w:tcPr>
            <w:tcW w:w="928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8"/>
                <w:szCs w:val="18"/>
                <w:color w:val="auto"/>
              </w:rPr>
              <w:t>Total deposits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60,912,943</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59,394,649</w:t>
            </w:r>
          </w:p>
        </w:tc>
      </w:tr>
      <w:tr>
        <w:trPr>
          <w:trHeight w:val="210"/>
        </w:trPr>
        <w:tc>
          <w:tcPr>
            <w:tcW w:w="9280" w:type="dxa"/>
            <w:vAlign w:val="bottom"/>
          </w:tcPr>
          <w:p>
            <w:pPr>
              <w:ind w:left="1240"/>
              <w:spacing w:after="0"/>
              <w:rPr>
                <w:sz w:val="20"/>
                <w:szCs w:val="20"/>
                <w:color w:val="auto"/>
              </w:rPr>
            </w:pPr>
            <w:r>
              <w:rPr>
                <w:rFonts w:ascii="Arial" w:cs="Arial" w:eastAsia="Arial" w:hAnsi="Arial"/>
                <w:sz w:val="18"/>
                <w:szCs w:val="18"/>
                <w:color w:val="auto"/>
              </w:rPr>
              <w:t>Federal funds purchased and agreements to repurchase securities</w:t>
            </w:r>
          </w:p>
        </w:tc>
        <w:tc>
          <w:tcPr>
            <w:tcW w:w="1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461,977</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732,059</w:t>
            </w:r>
          </w:p>
        </w:tc>
      </w:tr>
      <w:tr>
        <w:trPr>
          <w:trHeight w:val="216"/>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Other short-term borrowings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50,004</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50,023</w:t>
            </w:r>
          </w:p>
        </w:tc>
      </w:tr>
      <w:tr>
        <w:trPr>
          <w:trHeight w:val="216"/>
        </w:trPr>
        <w:tc>
          <w:tcPr>
            <w:tcW w:w="9280" w:type="dxa"/>
            <w:vAlign w:val="bottom"/>
          </w:tcPr>
          <w:p>
            <w:pPr>
              <w:ind w:left="1240"/>
              <w:spacing w:after="0"/>
              <w:rPr>
                <w:sz w:val="20"/>
                <w:szCs w:val="20"/>
                <w:color w:val="auto"/>
              </w:rPr>
            </w:pPr>
            <w:r>
              <w:rPr>
                <w:rFonts w:ascii="Arial" w:cs="Arial" w:eastAsia="Arial" w:hAnsi="Arial"/>
                <w:sz w:val="18"/>
                <w:szCs w:val="18"/>
                <w:color w:val="auto"/>
              </w:rPr>
              <w:t>Accrued interest and other liabilities</w:t>
            </w:r>
          </w:p>
        </w:tc>
        <w:tc>
          <w:tcPr>
            <w:tcW w:w="1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97"/>
              </w:rPr>
              <w:t>1,856,749</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1,790,121</w:t>
            </w:r>
          </w:p>
        </w:tc>
      </w:tr>
      <w:tr>
        <w:trPr>
          <w:trHeight w:val="216"/>
        </w:trPr>
        <w:tc>
          <w:tcPr>
            <w:tcW w:w="92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Long-term borrowings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6,476,526</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6,686,226</w:t>
            </w:r>
          </w:p>
        </w:tc>
      </w:tr>
      <w:tr>
        <w:trPr>
          <w:trHeight w:val="217"/>
        </w:trPr>
        <w:tc>
          <w:tcPr>
            <w:tcW w:w="92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69,758,199</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68,653,078</w:t>
            </w:r>
          </w:p>
        </w:tc>
      </w:tr>
      <w:tr>
        <w:trPr>
          <w:trHeight w:val="20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4"/>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9280" w:type="dxa"/>
            <w:vAlign w:val="bottom"/>
          </w:tcPr>
          <w:p>
            <w:pPr>
              <w:ind w:left="1240"/>
              <w:spacing w:after="0"/>
              <w:rPr>
                <w:sz w:val="20"/>
                <w:szCs w:val="20"/>
                <w:color w:val="auto"/>
              </w:rPr>
            </w:pPr>
            <w:r>
              <w:rPr>
                <w:rFonts w:ascii="Arial" w:cs="Arial" w:eastAsia="Arial" w:hAnsi="Arial"/>
                <w:sz w:val="18"/>
                <w:szCs w:val="18"/>
                <w:color w:val="auto"/>
                <w:w w:val="88"/>
              </w:rPr>
              <w:t>Preferred stock, $1.00 par, 1,000,000 shares authorized; Issued and outstanding: Liquidation preference of $1,000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280" w:type="dxa"/>
            <w:vAlign w:val="bottom"/>
          </w:tcPr>
          <w:p>
            <w:pPr>
              <w:ind w:left="1460"/>
              <w:spacing w:after="0"/>
              <w:rPr>
                <w:sz w:val="20"/>
                <w:szCs w:val="20"/>
                <w:color w:val="auto"/>
              </w:rPr>
            </w:pPr>
            <w:r>
              <w:rPr>
                <w:rFonts w:ascii="Arial" w:cs="Arial" w:eastAsia="Arial" w:hAnsi="Arial"/>
                <w:sz w:val="18"/>
                <w:szCs w:val="18"/>
                <w:color w:val="auto"/>
                <w:w w:val="89"/>
              </w:rPr>
              <w:t>per share: 381,500 shares at March 31, 2012 and December 31, 2011; Liquidation preference of $10,000 per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9280" w:type="dxa"/>
            <w:vAlign w:val="bottom"/>
          </w:tcPr>
          <w:p>
            <w:pPr>
              <w:ind w:left="1460"/>
              <w:spacing w:after="0"/>
              <w:rPr>
                <w:sz w:val="20"/>
                <w:szCs w:val="20"/>
                <w:color w:val="auto"/>
              </w:rPr>
            </w:pPr>
            <w:r>
              <w:rPr>
                <w:rFonts w:ascii="Arial" w:cs="Arial" w:eastAsia="Arial" w:hAnsi="Arial"/>
                <w:sz w:val="18"/>
                <w:szCs w:val="18"/>
                <w:color w:val="auto"/>
              </w:rPr>
              <w:t>share: 50,000 shares at March 31, 2012 and December 31, 2011</w:t>
            </w:r>
          </w:p>
        </w:tc>
        <w:tc>
          <w:tcPr>
            <w:tcW w:w="16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866,489</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864,585</w:t>
            </w:r>
          </w:p>
        </w:tc>
      </w:tr>
      <w:tr>
        <w:trPr>
          <w:trHeight w:val="209"/>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5"/>
              </w:rPr>
              <w:t>Common stock, $.50 par, 250,000,000 shares authorized, 126,476,266 shares issued at March 31, 2012;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4"/>
        </w:trPr>
        <w:tc>
          <w:tcPr>
            <w:tcW w:w="928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125,683,398 shares issued at December 31, 2011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63,238</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62,842</w:t>
            </w:r>
          </w:p>
        </w:tc>
      </w:tr>
      <w:tr>
        <w:trPr>
          <w:trHeight w:val="216"/>
        </w:trPr>
        <w:tc>
          <w:tcPr>
            <w:tcW w:w="9280" w:type="dxa"/>
            <w:vAlign w:val="bottom"/>
          </w:tcPr>
          <w:p>
            <w:pPr>
              <w:ind w:left="1240"/>
              <w:spacing w:after="0"/>
              <w:rPr>
                <w:sz w:val="20"/>
                <w:szCs w:val="20"/>
                <w:color w:val="auto"/>
              </w:rPr>
            </w:pPr>
            <w:r>
              <w:rPr>
                <w:rFonts w:ascii="Arial" w:cs="Arial" w:eastAsia="Arial" w:hAnsi="Arial"/>
                <w:sz w:val="18"/>
                <w:szCs w:val="18"/>
                <w:color w:val="auto"/>
              </w:rPr>
              <w:t>Common stock issuable, 57,385 shares at March 31, 2012; 68,220 shares at December 31, 2011</w:t>
            </w:r>
          </w:p>
        </w:tc>
        <w:tc>
          <w:tcPr>
            <w:tcW w:w="1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3,427</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4,072</w:t>
            </w:r>
          </w:p>
        </w:tc>
      </w:tr>
      <w:tr>
        <w:trPr>
          <w:trHeight w:val="216"/>
        </w:trPr>
        <w:tc>
          <w:tcPr>
            <w:tcW w:w="92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2,857,556</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2,828,986</w:t>
            </w:r>
          </w:p>
        </w:tc>
      </w:tr>
      <w:tr>
        <w:trPr>
          <w:trHeight w:val="216"/>
        </w:trPr>
        <w:tc>
          <w:tcPr>
            <w:tcW w:w="9280" w:type="dxa"/>
            <w:vAlign w:val="bottom"/>
          </w:tcPr>
          <w:p>
            <w:pPr>
              <w:ind w:left="12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w w:val="97"/>
              </w:rPr>
              <w:t>5,969,236</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5,867,165</w:t>
            </w:r>
          </w:p>
        </w:tc>
      </w:tr>
      <w:tr>
        <w:trPr>
          <w:trHeight w:val="216"/>
        </w:trPr>
        <w:tc>
          <w:tcPr>
            <w:tcW w:w="92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Accumulated other comprehensive income (loss), net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(331,258)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(356,441)</w:t>
            </w:r>
          </w:p>
        </w:tc>
      </w:tr>
      <w:tr>
        <w:trPr>
          <w:trHeight w:val="210"/>
        </w:trPr>
        <w:tc>
          <w:tcPr>
            <w:tcW w:w="92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7"/>
              </w:rPr>
              <w:t>9,428,688</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9,271,209</w:t>
            </w:r>
          </w:p>
        </w:tc>
      </w:tr>
      <w:tr>
        <w:trPr>
          <w:trHeight w:val="217"/>
        </w:trPr>
        <w:tc>
          <w:tcPr>
            <w:tcW w:w="928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79,186,887</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77,924,287</w:t>
            </w:r>
          </w:p>
        </w:tc>
      </w:tr>
      <w:tr>
        <w:trPr>
          <w:trHeight w:val="363"/>
        </w:trPr>
        <w:tc>
          <w:tcPr>
            <w:tcW w:w="9280" w:type="dxa"/>
            <w:vAlign w:val="bottom"/>
          </w:tcPr>
          <w:p>
            <w:pPr>
              <w:ind w:left="5560"/>
              <w:spacing w:after="0"/>
              <w:rPr>
                <w:sz w:val="20"/>
                <w:szCs w:val="20"/>
                <w:color w:val="auto"/>
              </w:rPr>
            </w:pPr>
            <w:r>
              <w:rPr>
                <w:rFonts w:ascii="Arial" w:cs="Arial" w:eastAsia="Arial" w:hAnsi="Arial"/>
                <w:sz w:val="18"/>
                <w:szCs w:val="18"/>
                <w:color w:val="auto"/>
              </w:rPr>
              <w:t>- 3 -</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160" w:type="dxa"/>
            <w:vAlign w:val="bottom"/>
            <w:gridSpan w:val="3"/>
          </w:tcPr>
          <w:p>
            <w:pPr>
              <w:jc w:val="right"/>
              <w:ind w:right="53"/>
              <w:spacing w:after="0"/>
              <w:rPr>
                <w:sz w:val="20"/>
                <w:szCs w:val="20"/>
                <w:color w:val="auto"/>
              </w:rPr>
            </w:pPr>
            <w:r>
              <w:rPr>
                <w:rFonts w:ascii="Arial" w:cs="Arial" w:eastAsia="Arial" w:hAnsi="Arial"/>
                <w:sz w:val="14"/>
                <w:szCs w:val="14"/>
                <w:color w:val="auto"/>
              </w:rPr>
              <w:t>Three months ended March 31</w:t>
            </w:r>
          </w:p>
        </w:tc>
      </w:tr>
      <w:tr>
        <w:trPr>
          <w:trHeight w:val="159"/>
        </w:trPr>
        <w:tc>
          <w:tcPr>
            <w:tcW w:w="826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In thousands, except per share</w:t>
            </w:r>
          </w:p>
        </w:tc>
        <w:tc>
          <w:tcPr>
            <w:tcW w:w="1420" w:type="dxa"/>
            <w:vAlign w:val="bottom"/>
          </w:tcPr>
          <w:p>
            <w:pPr>
              <w:spacing w:after="0"/>
              <w:rPr>
                <w:sz w:val="13"/>
                <w:szCs w:val="13"/>
                <w:color w:val="auto"/>
              </w:rPr>
            </w:pPr>
          </w:p>
        </w:tc>
        <w:tc>
          <w:tcPr>
            <w:tcW w:w="840" w:type="dxa"/>
            <w:vAlign w:val="bottom"/>
          </w:tcPr>
          <w:p>
            <w:pPr>
              <w:jc w:val="right"/>
              <w:ind w:right="333"/>
              <w:spacing w:after="0" w:line="159" w:lineRule="exact"/>
              <w:rPr>
                <w:sz w:val="20"/>
                <w:szCs w:val="20"/>
                <w:color w:val="auto"/>
              </w:rPr>
            </w:pPr>
            <w:r>
              <w:rPr>
                <w:rFonts w:ascii="Arial" w:cs="Arial" w:eastAsia="Arial" w:hAnsi="Arial"/>
                <w:sz w:val="14"/>
                <w:szCs w:val="14"/>
                <w:color w:val="auto"/>
              </w:rPr>
              <w:t>2012</w:t>
            </w:r>
          </w:p>
        </w:tc>
        <w:tc>
          <w:tcPr>
            <w:tcW w:w="900" w:type="dxa"/>
            <w:vAlign w:val="bottom"/>
          </w:tcPr>
          <w:p>
            <w:pPr>
              <w:jc w:val="right"/>
              <w:ind w:right="253"/>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Interest income</w:t>
            </w:r>
          </w:p>
        </w:tc>
        <w:tc>
          <w:tcPr>
            <w:tcW w:w="71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Loans and leases, including fees</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648,514</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594,032</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Deposits at banks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213</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funds sold</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Agreements to resell securities</w:t>
            </w:r>
          </w:p>
        </w:tc>
        <w:tc>
          <w:tcPr>
            <w:tcW w:w="1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Trading account</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Fully taxable</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62,964</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70,662</w:t>
            </w: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1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Exempt from federal taxes</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2,084</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2,346</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1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Total interest income</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714,095</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667,483</w:t>
            </w: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84"/>
              </w:rPr>
              <w:t>Interest expense</w:t>
            </w:r>
          </w:p>
        </w:tc>
        <w:tc>
          <w:tcPr>
            <w:tcW w:w="7100" w:type="dxa"/>
            <w:vAlign w:val="bottom"/>
          </w:tcPr>
          <w:p>
            <w:pPr>
              <w:ind w:left="100"/>
              <w:spacing w:after="0"/>
              <w:rPr>
                <w:sz w:val="20"/>
                <w:szCs w:val="20"/>
                <w:color w:val="auto"/>
              </w:rPr>
            </w:pPr>
            <w:r>
              <w:rPr>
                <w:rFonts w:ascii="Arial" w:cs="Arial" w:eastAsia="Arial" w:hAnsi="Arial"/>
                <w:sz w:val="18"/>
                <w:szCs w:val="18"/>
                <w:color w:val="auto"/>
              </w:rPr>
              <w:t>NOW accounts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283</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Savings deposits</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18,183</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19,239</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Time deposits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13,509</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19,071</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Deposits at Cayman Islands office</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213</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Short-term borrowings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303</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492</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Long-term borrowings</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61,215</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59,281</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1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Total interest expense</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93,706</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98,679</w:t>
            </w: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Net interest income</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8"/>
              </w:rPr>
              <w:t>620,389</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568,804</w:t>
            </w: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Provision for credit losses</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49,000</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75,000</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interest income after provision for credit losses</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571,389</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493,804</w:t>
            </w: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Other income</w:t>
            </w:r>
          </w:p>
        </w:tc>
        <w:tc>
          <w:tcPr>
            <w:tcW w:w="7100" w:type="dxa"/>
            <w:vAlign w:val="bottom"/>
          </w:tcPr>
          <w:p>
            <w:pPr>
              <w:ind w:left="100"/>
              <w:spacing w:after="0"/>
              <w:rPr>
                <w:sz w:val="20"/>
                <w:szCs w:val="20"/>
                <w:color w:val="auto"/>
              </w:rPr>
            </w:pPr>
            <w:r>
              <w:rPr>
                <w:rFonts w:ascii="Arial" w:cs="Arial" w:eastAsia="Arial" w:hAnsi="Arial"/>
                <w:sz w:val="18"/>
                <w:szCs w:val="18"/>
                <w:color w:val="auto"/>
              </w:rPr>
              <w:t>Mortgage banking revenues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56,192</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45,156</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 charges on deposit accounts</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8"/>
              </w:rPr>
              <w:t>108,889</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109,731</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Trust income</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w w:val="98"/>
              </w:rPr>
              <w:t>116,953</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29,321</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Brokerage services income</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13,901</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14,296</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Trading account and foreign exchange gains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10,571</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8,279</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bank investment securities</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39,353</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Total other-than-temporary impairment ("OTTI") losses</w:t>
            </w:r>
          </w:p>
        </w:tc>
        <w:tc>
          <w:tcPr>
            <w:tcW w:w="142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(20,040)</w:t>
            </w:r>
          </w:p>
        </w:tc>
        <w:tc>
          <w:tcPr>
            <w:tcW w:w="900" w:type="dxa"/>
            <w:vAlign w:val="bottom"/>
          </w:tcPr>
          <w:p>
            <w:pPr>
              <w:jc w:val="right"/>
              <w:spacing w:after="0"/>
              <w:rPr>
                <w:sz w:val="20"/>
                <w:szCs w:val="20"/>
                <w:color w:val="auto"/>
              </w:rPr>
            </w:pPr>
            <w:r>
              <w:rPr>
                <w:rFonts w:ascii="Arial" w:cs="Arial" w:eastAsia="Arial" w:hAnsi="Arial"/>
                <w:sz w:val="18"/>
                <w:szCs w:val="18"/>
                <w:color w:val="auto"/>
              </w:rPr>
              <w:t>(9,514)</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8,554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1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Net OTTI losses recognized in earnings</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(11,486)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(16,041)</w:t>
            </w: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in earnings of Bayview Lending Group LLC</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(4,752)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revenues from operations</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86,410</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91,003</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1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Total other income</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376,723</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314,420</w:t>
            </w: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4"/>
              </w:rPr>
              <w:t>Other expense</w:t>
            </w:r>
          </w:p>
        </w:tc>
        <w:tc>
          <w:tcPr>
            <w:tcW w:w="7100" w:type="dxa"/>
            <w:vAlign w:val="bottom"/>
          </w:tcPr>
          <w:p>
            <w:pPr>
              <w:ind w:left="100"/>
              <w:spacing w:after="0"/>
              <w:rPr>
                <w:sz w:val="20"/>
                <w:szCs w:val="20"/>
                <w:color w:val="auto"/>
              </w:rPr>
            </w:pPr>
            <w:r>
              <w:rPr>
                <w:rFonts w:ascii="Arial" w:cs="Arial" w:eastAsia="Arial" w:hAnsi="Arial"/>
                <w:sz w:val="18"/>
                <w:szCs w:val="18"/>
                <w:color w:val="auto"/>
              </w:rPr>
              <w:t>Salaries and employee benefits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w w:val="98"/>
              </w:rPr>
              <w:t>346,098</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266,090</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Equipment and net occupancy</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65,043</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56,663</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Printing, postage and supplies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11,872</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9,202</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core deposit and other intangible assets</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16,774</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12,314</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FDIC assessments</w:t>
            </w:r>
          </w:p>
        </w:tc>
        <w:tc>
          <w:tcPr>
            <w:tcW w:w="142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28,949</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19,094</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costs of operations</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170,959</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136,208</w:t>
            </w:r>
          </w:p>
        </w:tc>
      </w:tr>
      <w:tr>
        <w:trPr>
          <w:trHeight w:val="210"/>
        </w:trPr>
        <w:tc>
          <w:tcPr>
            <w:tcW w:w="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1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Total other expense</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639,695</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499,571</w:t>
            </w: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before taxes</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8"/>
              </w:rPr>
              <w:t>308,417</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308,653</w:t>
            </w: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Income taxes</w:t>
            </w:r>
          </w:p>
        </w:tc>
        <w:tc>
          <w:tcPr>
            <w:tcW w:w="1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101,954</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102,380</w:t>
            </w:r>
          </w:p>
        </w:tc>
      </w:tr>
      <w:tr>
        <w:trPr>
          <w:trHeight w:val="217"/>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i w:val="1"/>
                <w:iCs w:val="1"/>
                <w:color w:val="auto"/>
              </w:rPr>
              <w:t>Net income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8"/>
              </w:rPr>
              <w:t>206,463</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206,273</w:t>
            </w:r>
          </w:p>
        </w:tc>
      </w:tr>
      <w:tr>
        <w:trPr>
          <w:trHeight w:val="31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8"/>
              </w:rPr>
              <w:t>188,236</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190,113</w:t>
            </w: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100" w:type="dxa"/>
            <w:vAlign w:val="bottom"/>
          </w:tcPr>
          <w:p>
            <w:pPr>
              <w:ind w:left="5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w w:val="98"/>
              </w:rPr>
              <w:t>188,241</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190,121</w:t>
            </w: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per common share</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520"/>
              <w:spacing w:after="0"/>
              <w:rPr>
                <w:sz w:val="20"/>
                <w:szCs w:val="20"/>
                <w:color w:val="auto"/>
              </w:rPr>
            </w:pPr>
            <w:r>
              <w:rPr>
                <w:rFonts w:ascii="Arial" w:cs="Arial" w:eastAsia="Arial" w:hAnsi="Arial"/>
                <w:sz w:val="18"/>
                <w:szCs w:val="18"/>
                <w:color w:val="auto"/>
              </w:rPr>
              <w:t>Basic</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1.50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1.50</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r>
      <w:tr>
        <w:trPr>
          <w:trHeight w:val="32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Cash dividends per common share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110"/>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Average common shares outstanding</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00" w:type="dxa"/>
            <w:vAlign w:val="bottom"/>
          </w:tcPr>
          <w:p>
            <w:pPr>
              <w:ind w:left="520"/>
              <w:spacing w:after="0"/>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w w:val="82"/>
              </w:rPr>
              <w:t>125,220</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w w:val="98"/>
              </w:rPr>
              <w:t>119,201</w:t>
            </w: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2"/>
              </w:rPr>
              <w:t>125,616</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8"/>
              </w:rPr>
              <w:t>119,852</w:t>
            </w:r>
          </w:p>
        </w:tc>
      </w:tr>
      <w:tr>
        <w:trPr>
          <w:trHeight w:val="36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tcPr>
          <w:p>
            <w:pPr>
              <w:ind w:left="4400"/>
              <w:spacing w:after="0"/>
              <w:rPr>
                <w:sz w:val="20"/>
                <w:szCs w:val="20"/>
                <w:color w:val="auto"/>
              </w:rPr>
            </w:pPr>
            <w:r>
              <w:rPr>
                <w:rFonts w:ascii="Arial" w:cs="Arial" w:eastAsia="Arial" w:hAnsi="Arial"/>
                <w:sz w:val="18"/>
                <w:szCs w:val="18"/>
                <w:color w:val="auto"/>
              </w:rPr>
              <w:t>- 4 -</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2"/>
          </w:tcPr>
          <w:p>
            <w:pPr>
              <w:jc w:val="right"/>
              <w:ind w:right="115"/>
              <w:spacing w:after="0"/>
              <w:rPr>
                <w:sz w:val="20"/>
                <w:szCs w:val="20"/>
                <w:color w:val="auto"/>
              </w:rPr>
            </w:pPr>
            <w:r>
              <w:rPr>
                <w:rFonts w:ascii="Arial" w:cs="Arial" w:eastAsia="Arial" w:hAnsi="Arial"/>
                <w:sz w:val="14"/>
                <w:szCs w:val="14"/>
                <w:color w:val="auto"/>
                <w:w w:val="85"/>
              </w:rPr>
              <w:t>Three months ended March 31</w:t>
            </w:r>
          </w:p>
        </w:tc>
        <w:tc>
          <w:tcPr>
            <w:tcW w:w="0" w:type="dxa"/>
            <w:vAlign w:val="bottom"/>
          </w:tcPr>
          <w:p>
            <w:pPr>
              <w:spacing w:after="0"/>
              <w:rPr>
                <w:sz w:val="1"/>
                <w:szCs w:val="1"/>
                <w:color w:val="auto"/>
              </w:rPr>
            </w:pPr>
          </w:p>
        </w:tc>
      </w:tr>
      <w:tr>
        <w:trPr>
          <w:trHeight w:val="159"/>
        </w:trPr>
        <w:tc>
          <w:tcPr>
            <w:tcW w:w="792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1640" w:type="dxa"/>
            <w:vAlign w:val="bottom"/>
          </w:tcPr>
          <w:p>
            <w:pPr>
              <w:spacing w:after="0"/>
              <w:rPr>
                <w:sz w:val="13"/>
                <w:szCs w:val="13"/>
                <w:color w:val="auto"/>
              </w:rPr>
            </w:pPr>
          </w:p>
        </w:tc>
        <w:tc>
          <w:tcPr>
            <w:tcW w:w="960" w:type="dxa"/>
            <w:vAlign w:val="bottom"/>
          </w:tcPr>
          <w:p>
            <w:pPr>
              <w:jc w:val="right"/>
              <w:ind w:right="457"/>
              <w:spacing w:after="0" w:line="159" w:lineRule="exact"/>
              <w:rPr>
                <w:sz w:val="20"/>
                <w:szCs w:val="20"/>
                <w:color w:val="auto"/>
              </w:rPr>
            </w:pPr>
            <w:r>
              <w:rPr>
                <w:rFonts w:ascii="Arial" w:cs="Arial" w:eastAsia="Arial" w:hAnsi="Arial"/>
                <w:sz w:val="14"/>
                <w:szCs w:val="14"/>
                <w:color w:val="auto"/>
              </w:rPr>
              <w:t>2012</w:t>
            </w:r>
          </w:p>
        </w:tc>
        <w:tc>
          <w:tcPr>
            <w:tcW w:w="900" w:type="dxa"/>
            <w:vAlign w:val="bottom"/>
          </w:tcPr>
          <w:p>
            <w:pPr>
              <w:jc w:val="right"/>
              <w:ind w:right="255"/>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900" w:type="dxa"/>
            <w:vAlign w:val="bottom"/>
            <w:tcBorders>
              <w:top w:val="single" w:sz="8" w:color="auto"/>
            </w:tcBorders>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206,463</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gains on investment securities</w:t>
            </w:r>
          </w:p>
        </w:tc>
        <w:tc>
          <w:tcPr>
            <w:tcW w:w="1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20,082</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1640" w:type="dxa"/>
            <w:vAlign w:val="bottom"/>
          </w:tcPr>
          <w:p>
            <w:pPr>
              <w:spacing w:after="0"/>
              <w:rPr>
                <w:sz w:val="18"/>
                <w:szCs w:val="18"/>
                <w:color w:val="auto"/>
              </w:rPr>
            </w:pPr>
          </w:p>
        </w:tc>
        <w:tc>
          <w:tcPr>
            <w:tcW w:w="960" w:type="dxa"/>
            <w:vAlign w:val="bottom"/>
          </w:tcPr>
          <w:p>
            <w:pPr>
              <w:jc w:val="right"/>
              <w:ind w:right="137"/>
              <w:spacing w:after="0"/>
              <w:rPr>
                <w:sz w:val="20"/>
                <w:szCs w:val="20"/>
                <w:color w:val="auto"/>
              </w:rPr>
            </w:pPr>
            <w:r>
              <w:rPr>
                <w:rFonts w:ascii="Arial" w:cs="Arial" w:eastAsia="Arial" w:hAnsi="Arial"/>
                <w:sz w:val="18"/>
                <w:szCs w:val="18"/>
                <w:color w:val="auto"/>
              </w:rPr>
              <w:t>(70)</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402</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Defined benefit plans liability adjustment</w:t>
            </w:r>
          </w:p>
        </w:tc>
        <w:tc>
          <w:tcPr>
            <w:tcW w:w="1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4,769</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i w:val="1"/>
                <w:iCs w:val="1"/>
                <w:color w:val="auto"/>
              </w:rPr>
              <w:t>Total other comprehensive income</w:t>
            </w:r>
          </w:p>
        </w:tc>
        <w:tc>
          <w:tcPr>
            <w:tcW w:w="1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25,183</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tcBorders>
              <w:bottom w:val="single" w:sz="8" w:color="auto"/>
            </w:tcBorders>
          </w:tcPr>
          <w:p>
            <w:pPr>
              <w:ind w:left="860"/>
              <w:spacing w:after="0"/>
              <w:rPr>
                <w:sz w:val="20"/>
                <w:szCs w:val="20"/>
                <w:color w:val="auto"/>
              </w:rPr>
            </w:pPr>
            <w:r>
              <w:rPr>
                <w:rFonts w:ascii="Arial" w:cs="Arial" w:eastAsia="Arial" w:hAnsi="Arial"/>
                <w:sz w:val="18"/>
                <w:szCs w:val="18"/>
                <w:i w:val="1"/>
                <w:iCs w:val="1"/>
                <w:color w:val="auto"/>
              </w:rPr>
              <w:t>Total comprehensive income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231,646</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213,972</w:t>
            </w:r>
          </w:p>
        </w:tc>
        <w:tc>
          <w:tcPr>
            <w:tcW w:w="0" w:type="dxa"/>
            <w:vAlign w:val="bottom"/>
          </w:tcPr>
          <w:p>
            <w:pPr>
              <w:spacing w:after="0"/>
              <w:rPr>
                <w:sz w:val="1"/>
                <w:szCs w:val="1"/>
                <w:color w:val="auto"/>
              </w:rPr>
            </w:pPr>
          </w:p>
        </w:tc>
      </w:tr>
      <w:tr>
        <w:trPr>
          <w:trHeight w:val="363"/>
        </w:trPr>
        <w:tc>
          <w:tcPr>
            <w:tcW w:w="7920" w:type="dxa"/>
            <w:vAlign w:val="bottom"/>
            <w:gridSpan w:val="2"/>
          </w:tcPr>
          <w:p>
            <w:pPr>
              <w:jc w:val="right"/>
              <w:ind w:right="1972"/>
              <w:spacing w:after="0"/>
              <w:rPr>
                <w:sz w:val="20"/>
                <w:szCs w:val="20"/>
                <w:color w:val="auto"/>
              </w:rPr>
            </w:pPr>
            <w:r>
              <w:rPr>
                <w:rFonts w:ascii="Arial" w:cs="Arial" w:eastAsia="Arial" w:hAnsi="Arial"/>
                <w:sz w:val="18"/>
                <w:szCs w:val="18"/>
                <w:color w:val="auto"/>
              </w:rPr>
              <w:t>- 5 -</w:t>
            </w: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2"/>
          </w:tcPr>
          <w:p>
            <w:pPr>
              <w:jc w:val="right"/>
              <w:ind w:right="133"/>
              <w:spacing w:after="0"/>
              <w:rPr>
                <w:sz w:val="20"/>
                <w:szCs w:val="20"/>
                <w:color w:val="auto"/>
              </w:rPr>
            </w:pPr>
            <w:r>
              <w:rPr>
                <w:rFonts w:ascii="Arial" w:cs="Arial" w:eastAsia="Arial" w:hAnsi="Arial"/>
                <w:sz w:val="14"/>
                <w:szCs w:val="14"/>
                <w:color w:val="auto"/>
                <w:w w:val="85"/>
              </w:rPr>
              <w:t>Three months ended March 31</w:t>
            </w:r>
          </w:p>
        </w:tc>
      </w:tr>
      <w:tr>
        <w:trPr>
          <w:trHeight w:val="159"/>
        </w:trPr>
        <w:tc>
          <w:tcPr>
            <w:tcW w:w="166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6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jc w:val="right"/>
              <w:ind w:right="393"/>
              <w:spacing w:after="0" w:line="159" w:lineRule="exact"/>
              <w:rPr>
                <w:sz w:val="20"/>
                <w:szCs w:val="20"/>
                <w:color w:val="auto"/>
              </w:rPr>
            </w:pPr>
            <w:r>
              <w:rPr>
                <w:rFonts w:ascii="Arial" w:cs="Arial" w:eastAsia="Arial" w:hAnsi="Arial"/>
                <w:sz w:val="14"/>
                <w:szCs w:val="14"/>
                <w:color w:val="auto"/>
              </w:rPr>
              <w:t>2012</w:t>
            </w:r>
          </w:p>
        </w:tc>
        <w:tc>
          <w:tcPr>
            <w:tcW w:w="900" w:type="dxa"/>
            <w:vAlign w:val="bottom"/>
          </w:tcPr>
          <w:p>
            <w:pPr>
              <w:jc w:val="right"/>
              <w:ind w:right="213"/>
              <w:spacing w:after="0" w:line="159" w:lineRule="exact"/>
              <w:rPr>
                <w:sz w:val="20"/>
                <w:szCs w:val="20"/>
                <w:color w:val="auto"/>
              </w:rPr>
            </w:pPr>
            <w:r>
              <w:rPr>
                <w:rFonts w:ascii="Arial" w:cs="Arial" w:eastAsia="Arial" w:hAnsi="Arial"/>
                <w:sz w:val="14"/>
                <w:szCs w:val="14"/>
                <w:color w:val="auto"/>
              </w:rPr>
              <w:t>2011</w:t>
            </w:r>
          </w:p>
        </w:tc>
      </w:tr>
      <w:tr>
        <w:trPr>
          <w:trHeight w:val="201"/>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68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206,463</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206,273</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 for credit losses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49,000</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75,000</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1080"/>
              <w:spacing w:after="0"/>
              <w:rPr>
                <w:sz w:val="20"/>
                <w:szCs w:val="20"/>
                <w:color w:val="auto"/>
              </w:rPr>
            </w:pPr>
            <w:r>
              <w:rPr>
                <w:rFonts w:ascii="Arial" w:cs="Arial" w:eastAsia="Arial" w:hAnsi="Arial"/>
                <w:sz w:val="18"/>
                <w:szCs w:val="18"/>
                <w:color w:val="auto"/>
              </w:rPr>
              <w:t>Depreciation and amortization of premises and equipment</w:t>
            </w:r>
          </w:p>
        </w:tc>
        <w:tc>
          <w:tcPr>
            <w:tcW w:w="106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21,022</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17,978</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capitalized servicing rights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14,476</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13,478</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1080"/>
              <w:spacing w:after="0"/>
              <w:rPr>
                <w:sz w:val="20"/>
                <w:szCs w:val="20"/>
                <w:color w:val="auto"/>
              </w:rPr>
            </w:pPr>
            <w:r>
              <w:rPr>
                <w:rFonts w:ascii="Arial" w:cs="Arial" w:eastAsia="Arial" w:hAnsi="Arial"/>
                <w:sz w:val="18"/>
                <w:szCs w:val="18"/>
                <w:color w:val="auto"/>
              </w:rPr>
              <w:t>Amortization of core deposit and other intangible assets</w:t>
            </w:r>
          </w:p>
        </w:tc>
        <w:tc>
          <w:tcPr>
            <w:tcW w:w="106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16,774</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12,314</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 for deferred income taxes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15,225</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11,438</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1080"/>
              <w:spacing w:after="0"/>
              <w:rPr>
                <w:sz w:val="20"/>
                <w:szCs w:val="20"/>
                <w:color w:val="auto"/>
              </w:rPr>
            </w:pPr>
            <w:r>
              <w:rPr>
                <w:rFonts w:ascii="Arial" w:cs="Arial" w:eastAsia="Arial" w:hAnsi="Arial"/>
                <w:sz w:val="18"/>
                <w:szCs w:val="18"/>
                <w:color w:val="auto"/>
              </w:rPr>
              <w:t>Asset write-downs</w:t>
            </w:r>
          </w:p>
        </w:tc>
        <w:tc>
          <w:tcPr>
            <w:tcW w:w="106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16,388</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17,720</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gain on sales of assets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(44,504)</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1080"/>
              <w:spacing w:after="0"/>
              <w:rPr>
                <w:sz w:val="20"/>
                <w:szCs w:val="20"/>
                <w:color w:val="auto"/>
              </w:rPr>
            </w:pPr>
            <w:r>
              <w:rPr>
                <w:rFonts w:ascii="Arial" w:cs="Arial" w:eastAsia="Arial" w:hAnsi="Arial"/>
                <w:sz w:val="18"/>
                <w:szCs w:val="18"/>
                <w:color w:val="auto"/>
              </w:rPr>
              <w:t>Net change in accrued interest receivable, payable</w:t>
            </w:r>
          </w:p>
        </w:tc>
        <w:tc>
          <w:tcPr>
            <w:tcW w:w="106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7,725</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5,068</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change in other accrued income and expense</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32,134</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2,063</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1080"/>
              <w:spacing w:after="0"/>
              <w:rPr>
                <w:sz w:val="20"/>
                <w:szCs w:val="20"/>
                <w:color w:val="auto"/>
              </w:rPr>
            </w:pPr>
            <w:r>
              <w:rPr>
                <w:rFonts w:ascii="Arial" w:cs="Arial" w:eastAsia="Arial" w:hAnsi="Arial"/>
                <w:sz w:val="18"/>
                <w:szCs w:val="18"/>
                <w:color w:val="auto"/>
              </w:rPr>
              <w:t>Net change in loans originated for sale</w:t>
            </w:r>
          </w:p>
        </w:tc>
        <w:tc>
          <w:tcPr>
            <w:tcW w:w="106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154,436</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373,020</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Net change in trading account assets and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7,840</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80,805</w:t>
            </w:r>
          </w:p>
        </w:tc>
      </w:tr>
      <w:tr>
        <w:trPr>
          <w:trHeight w:val="210"/>
        </w:trPr>
        <w:tc>
          <w:tcPr>
            <w:tcW w:w="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539,012</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770,653</w:t>
            </w:r>
          </w:p>
        </w:tc>
      </w:tr>
      <w:tr>
        <w:trPr>
          <w:trHeight w:val="201"/>
        </w:trPr>
        <w:tc>
          <w:tcPr>
            <w:tcW w:w="20" w:type="dxa"/>
            <w:vAlign w:val="bottom"/>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6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of investment securities</w:t>
            </w: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660"/>
              <w:spacing w:after="0"/>
              <w:rPr>
                <w:sz w:val="20"/>
                <w:szCs w:val="20"/>
                <w:color w:val="auto"/>
              </w:rPr>
            </w:pPr>
            <w:r>
              <w:rPr>
                <w:rFonts w:ascii="Arial" w:cs="Arial" w:eastAsia="Arial" w:hAnsi="Arial"/>
                <w:sz w:val="18"/>
                <w:szCs w:val="18"/>
                <w:color w:val="auto"/>
              </w:rPr>
              <w:t>Available for sale</w:t>
            </w:r>
          </w:p>
        </w:tc>
        <w:tc>
          <w:tcPr>
            <w:tcW w:w="106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1,045</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13,380</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10,224</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22,969</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Proceeds from maturities of investment securities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Available for sale</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417,348</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408,574</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660"/>
              <w:spacing w:after="0"/>
              <w:rPr>
                <w:sz w:val="20"/>
                <w:szCs w:val="20"/>
                <w:color w:val="auto"/>
              </w:rPr>
            </w:pPr>
            <w:r>
              <w:rPr>
                <w:rFonts w:ascii="Arial" w:cs="Arial" w:eastAsia="Arial" w:hAnsi="Arial"/>
                <w:sz w:val="18"/>
                <w:szCs w:val="18"/>
                <w:color w:val="auto"/>
              </w:rPr>
              <w:t>Held to maturity</w:t>
            </w:r>
          </w:p>
        </w:tc>
        <w:tc>
          <w:tcPr>
            <w:tcW w:w="1060" w:type="dxa"/>
            <w:vAlign w:val="bottom"/>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82,670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66,465</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 securities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660"/>
              <w:spacing w:after="0"/>
              <w:rPr>
                <w:sz w:val="20"/>
                <w:szCs w:val="20"/>
                <w:color w:val="auto"/>
              </w:rPr>
            </w:pPr>
            <w:r>
              <w:rPr>
                <w:rFonts w:ascii="Arial" w:cs="Arial" w:eastAsia="Arial" w:hAnsi="Arial"/>
                <w:sz w:val="18"/>
                <w:szCs w:val="18"/>
                <w:color w:val="auto"/>
              </w:rPr>
              <w:t>Available for sale</w:t>
            </w:r>
          </w:p>
        </w:tc>
        <w:tc>
          <w:tcPr>
            <w:tcW w:w="106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(10,286)</w:t>
            </w:r>
          </w:p>
        </w:tc>
        <w:tc>
          <w:tcPr>
            <w:tcW w:w="900" w:type="dxa"/>
            <w:vAlign w:val="bottom"/>
          </w:tcPr>
          <w:p>
            <w:pPr>
              <w:jc w:val="right"/>
              <w:spacing w:after="0"/>
              <w:rPr>
                <w:sz w:val="20"/>
                <w:szCs w:val="20"/>
                <w:color w:val="auto"/>
              </w:rPr>
            </w:pPr>
            <w:r>
              <w:rPr>
                <w:rFonts w:ascii="Arial" w:cs="Arial" w:eastAsia="Arial" w:hAnsi="Arial"/>
                <w:sz w:val="18"/>
                <w:szCs w:val="18"/>
                <w:color w:val="auto"/>
              </w:rPr>
              <w:t>(353,508)</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Held to maturity</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66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(318)</w:t>
            </w: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in loans and leases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6"/>
              </w:rPr>
              <w:t>(1,042,144)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(579,845)</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Net (increase) decrease in interest-bearing deposits at banks</w:t>
            </w:r>
          </w:p>
        </w:tc>
        <w:tc>
          <w:tcPr>
            <w:tcW w:w="106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w w:val="86"/>
              </w:rPr>
              <w:t>(1,127,080)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1,121</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 net</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Capital expenditures, net</w:t>
            </w:r>
          </w:p>
        </w:tc>
        <w:tc>
          <w:tcPr>
            <w:tcW w:w="106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(19,377)</w:t>
            </w:r>
          </w:p>
        </w:tc>
        <w:tc>
          <w:tcPr>
            <w:tcW w:w="900" w:type="dxa"/>
            <w:vAlign w:val="bottom"/>
          </w:tcPr>
          <w:p>
            <w:pPr>
              <w:jc w:val="right"/>
              <w:spacing w:after="0"/>
              <w:rPr>
                <w:sz w:val="20"/>
                <w:szCs w:val="20"/>
                <w:color w:val="auto"/>
              </w:rPr>
            </w:pPr>
            <w:r>
              <w:rPr>
                <w:rFonts w:ascii="Arial" w:cs="Arial" w:eastAsia="Arial" w:hAnsi="Arial"/>
                <w:sz w:val="18"/>
                <w:szCs w:val="18"/>
                <w:color w:val="auto"/>
              </w:rPr>
              <w:t>(8,854)</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of real estate acquired in settlement of loans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33,775</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17,757</w:t>
            </w:r>
          </w:p>
        </w:tc>
      </w:tr>
      <w:tr>
        <w:trPr>
          <w:trHeight w:val="216"/>
        </w:trPr>
        <w:tc>
          <w:tcPr>
            <w:tcW w:w="20" w:type="dxa"/>
            <w:vAlign w:val="bottom"/>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6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(25,840)</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16,279</w:t>
            </w:r>
          </w:p>
        </w:tc>
      </w:tr>
      <w:tr>
        <w:trPr>
          <w:trHeight w:val="210"/>
        </w:trPr>
        <w:tc>
          <w:tcPr>
            <w:tcW w:w="20" w:type="dxa"/>
            <w:vAlign w:val="bottom"/>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6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Net cash used by investing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6"/>
              </w:rPr>
              <w:t>(1,683,854)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(412,579)</w:t>
            </w:r>
          </w:p>
        </w:tc>
      </w:tr>
      <w:tr>
        <w:trPr>
          <w:trHeight w:val="201"/>
        </w:trPr>
        <w:tc>
          <w:tcPr>
            <w:tcW w:w="20" w:type="dxa"/>
            <w:vAlign w:val="bottom"/>
          </w:tcPr>
          <w:p>
            <w:pPr>
              <w:spacing w:after="0"/>
              <w:rPr>
                <w:sz w:val="17"/>
                <w:szCs w:val="17"/>
                <w:color w:val="auto"/>
              </w:rPr>
            </w:pP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Cash flows from</w:t>
            </w:r>
          </w:p>
        </w:tc>
        <w:tc>
          <w:tcPr>
            <w:tcW w:w="6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16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6820" w:type="dxa"/>
            <w:vAlign w:val="bottom"/>
          </w:tcPr>
          <w:p>
            <w:pPr>
              <w:ind w:left="220"/>
              <w:spacing w:after="0"/>
              <w:rPr>
                <w:sz w:val="20"/>
                <w:szCs w:val="20"/>
                <w:color w:val="auto"/>
              </w:rPr>
            </w:pPr>
            <w:r>
              <w:rPr>
                <w:rFonts w:ascii="Arial" w:cs="Arial" w:eastAsia="Arial" w:hAnsi="Arial"/>
                <w:sz w:val="18"/>
                <w:szCs w:val="18"/>
                <w:color w:val="auto"/>
              </w:rPr>
              <w:t>Net increase in deposits</w:t>
            </w:r>
          </w:p>
        </w:tc>
        <w:tc>
          <w:tcPr>
            <w:tcW w:w="106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w w:val="92"/>
              </w:rPr>
              <w:t>1,522,583</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745,021</w:t>
            </w:r>
          </w:p>
        </w:tc>
      </w:tr>
      <w:tr>
        <w:trPr>
          <w:trHeight w:val="217"/>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decrease in short-term borrowings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(270,081)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(442,751)</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Payments on long-term borrowings</w:t>
            </w:r>
          </w:p>
        </w:tc>
        <w:tc>
          <w:tcPr>
            <w:tcW w:w="106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(202,352)</w:t>
            </w:r>
          </w:p>
        </w:tc>
        <w:tc>
          <w:tcPr>
            <w:tcW w:w="900" w:type="dxa"/>
            <w:vAlign w:val="bottom"/>
          </w:tcPr>
          <w:p>
            <w:pPr>
              <w:jc w:val="right"/>
              <w:spacing w:after="0"/>
              <w:rPr>
                <w:sz w:val="20"/>
                <w:szCs w:val="20"/>
                <w:color w:val="auto"/>
              </w:rPr>
            </w:pPr>
            <w:r>
              <w:rPr>
                <w:rFonts w:ascii="Arial" w:cs="Arial" w:eastAsia="Arial" w:hAnsi="Arial"/>
                <w:sz w:val="18"/>
                <w:szCs w:val="18"/>
                <w:color w:val="auto"/>
              </w:rPr>
              <w:t>(528,511)</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 common</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(89,041)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(84,718)</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Dividends paid - preferred</w:t>
            </w:r>
          </w:p>
        </w:tc>
        <w:tc>
          <w:tcPr>
            <w:tcW w:w="106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(4,769)</w:t>
            </w:r>
          </w:p>
        </w:tc>
        <w:tc>
          <w:tcPr>
            <w:tcW w:w="900" w:type="dxa"/>
            <w:vAlign w:val="bottom"/>
          </w:tcPr>
          <w:p>
            <w:pPr>
              <w:jc w:val="right"/>
              <w:spacing w:after="0"/>
              <w:rPr>
                <w:sz w:val="20"/>
                <w:szCs w:val="20"/>
                <w:color w:val="auto"/>
              </w:rPr>
            </w:pPr>
            <w:r>
              <w:rPr>
                <w:rFonts w:ascii="Arial" w:cs="Arial" w:eastAsia="Arial" w:hAnsi="Arial"/>
                <w:sz w:val="18"/>
                <w:szCs w:val="18"/>
                <w:color w:val="auto"/>
              </w:rPr>
              <w:t>(10,056)</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80,197</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11,491</w:t>
            </w:r>
          </w:p>
        </w:tc>
      </w:tr>
      <w:tr>
        <w:trPr>
          <w:trHeight w:val="210"/>
        </w:trPr>
        <w:tc>
          <w:tcPr>
            <w:tcW w:w="20" w:type="dxa"/>
            <w:vAlign w:val="bottom"/>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68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Net cash provided (used) by financing activities</w:t>
            </w: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2"/>
              </w:rPr>
              <w:t>1,036,537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(309,524)</w:t>
            </w:r>
          </w:p>
        </w:tc>
      </w:tr>
      <w:tr>
        <w:trPr>
          <w:trHeight w:val="210"/>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(108,305)</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48,550</w:t>
            </w:r>
          </w:p>
        </w:tc>
      </w:tr>
      <w:tr>
        <w:trPr>
          <w:trHeight w:val="216"/>
        </w:trPr>
        <w:tc>
          <w:tcPr>
            <w:tcW w:w="20" w:type="dxa"/>
            <w:vAlign w:val="bottom"/>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6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2"/>
              </w:rPr>
              <w:t>1,452,397</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933,755</w:t>
            </w:r>
          </w:p>
        </w:tc>
      </w:tr>
      <w:tr>
        <w:trPr>
          <w:trHeight w:val="217"/>
        </w:trPr>
        <w:tc>
          <w:tcPr>
            <w:tcW w:w="20" w:type="dxa"/>
            <w:vAlign w:val="bottom"/>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6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2"/>
              </w:rPr>
              <w:t>1,344,092</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982,305</w:t>
            </w:r>
          </w:p>
        </w:tc>
      </w:tr>
      <w:tr>
        <w:trPr>
          <w:trHeight w:val="208"/>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Supplemental</w:t>
            </w:r>
          </w:p>
        </w:tc>
        <w:tc>
          <w:tcPr>
            <w:tcW w:w="6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w w:val="90"/>
              </w:rPr>
              <w:t>disclosure of cash flow</w:t>
            </w:r>
          </w:p>
        </w:tc>
        <w:tc>
          <w:tcPr>
            <w:tcW w:w="6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166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6820" w:type="dxa"/>
            <w:vAlign w:val="bottom"/>
          </w:tcPr>
          <w:p>
            <w:pPr>
              <w:ind w:left="220"/>
              <w:spacing w:after="0"/>
              <w:rPr>
                <w:sz w:val="20"/>
                <w:szCs w:val="20"/>
                <w:color w:val="auto"/>
              </w:rPr>
            </w:pPr>
            <w:r>
              <w:rPr>
                <w:rFonts w:ascii="Arial" w:cs="Arial" w:eastAsia="Arial" w:hAnsi="Arial"/>
                <w:sz w:val="18"/>
                <w:szCs w:val="18"/>
                <w:color w:val="auto"/>
              </w:rPr>
              <w:t>Interest received during the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721,159</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665,490</w:t>
            </w:r>
          </w:p>
        </w:tc>
      </w:tr>
      <w:tr>
        <w:trPr>
          <w:trHeight w:val="217"/>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during the period</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89,241</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88,658</w:t>
            </w: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6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Income taxes paid during the period</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8,416</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77,169</w:t>
            </w:r>
          </w:p>
        </w:tc>
      </w:tr>
      <w:tr>
        <w:trPr>
          <w:trHeight w:val="208"/>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86"/>
              </w:rPr>
              <w:t>Supplemental schedule</w:t>
            </w:r>
          </w:p>
        </w:tc>
        <w:tc>
          <w:tcPr>
            <w:tcW w:w="6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8"/>
              </w:rPr>
              <w:t>of noncash investing</w:t>
            </w:r>
          </w:p>
        </w:tc>
        <w:tc>
          <w:tcPr>
            <w:tcW w:w="6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89"/>
              </w:rPr>
              <w:t>and financing activities</w:t>
            </w: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acquired in settlement of loans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17,123</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18,168</w:t>
            </w:r>
          </w:p>
        </w:tc>
      </w:tr>
      <w:tr>
        <w:trPr>
          <w:trHeight w:val="36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20" w:type="dxa"/>
            <w:vAlign w:val="bottom"/>
          </w:tcPr>
          <w:p>
            <w:pPr>
              <w:ind w:left="3900"/>
              <w:spacing w:after="0"/>
              <w:rPr>
                <w:sz w:val="20"/>
                <w:szCs w:val="20"/>
                <w:color w:val="auto"/>
              </w:rPr>
            </w:pPr>
            <w:r>
              <w:rPr>
                <w:rFonts w:ascii="Arial" w:cs="Arial" w:eastAsia="Arial" w:hAnsi="Arial"/>
                <w:sz w:val="18"/>
                <w:szCs w:val="18"/>
                <w:color w:val="auto"/>
              </w:rPr>
              <w:t>- 6 -</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8"/>
              </w:rPr>
              <w:t>Accumulated</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1"/>
              </w:rPr>
              <w:t>other</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96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Additional</w:t>
            </w:r>
          </w:p>
        </w:tc>
        <w:tc>
          <w:tcPr>
            <w:tcW w:w="9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comprehensive</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2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Common</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w:t>
            </w:r>
          </w:p>
        </w:tc>
        <w:tc>
          <w:tcPr>
            <w:tcW w:w="960" w:type="dxa"/>
            <w:vAlign w:val="bottom"/>
          </w:tcPr>
          <w:p>
            <w:pPr>
              <w:jc w:val="right"/>
              <w:ind w:right="255"/>
              <w:spacing w:after="0" w:line="149" w:lineRule="exact"/>
              <w:rPr>
                <w:sz w:val="20"/>
                <w:szCs w:val="20"/>
                <w:color w:val="auto"/>
              </w:rPr>
            </w:pPr>
            <w:r>
              <w:rPr>
                <w:rFonts w:ascii="Arial" w:cs="Arial" w:eastAsia="Arial" w:hAnsi="Arial"/>
                <w:sz w:val="14"/>
                <w:szCs w:val="14"/>
                <w:color w:val="auto"/>
              </w:rPr>
              <w:t>paid-in</w:t>
            </w:r>
          </w:p>
        </w:tc>
        <w:tc>
          <w:tcPr>
            <w:tcW w:w="92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Retained</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4"/>
              </w:rPr>
              <w:t>income</w:t>
            </w:r>
          </w:p>
        </w:tc>
        <w:tc>
          <w:tcPr>
            <w:tcW w:w="820" w:type="dxa"/>
            <w:vAlign w:val="bottom"/>
          </w:tcPr>
          <w:p>
            <w:pPr>
              <w:ind w:left="120"/>
              <w:spacing w:after="0" w:line="149" w:lineRule="exact"/>
              <w:rPr>
                <w:sz w:val="20"/>
                <w:szCs w:val="20"/>
                <w:color w:val="auto"/>
              </w:rPr>
            </w:pPr>
            <w:r>
              <w:rPr>
                <w:rFonts w:ascii="Arial" w:cs="Arial" w:eastAsia="Arial" w:hAnsi="Arial"/>
                <w:sz w:val="14"/>
                <w:szCs w:val="14"/>
                <w:color w:val="auto"/>
              </w:rPr>
              <w:t>Treasury</w:t>
            </w:r>
          </w:p>
        </w:tc>
        <w:tc>
          <w:tcPr>
            <w:tcW w:w="900" w:type="dxa"/>
            <w:vAlign w:val="bottom"/>
          </w:tcPr>
          <w:p>
            <w:pPr>
              <w:spacing w:after="0"/>
              <w:rPr>
                <w:sz w:val="12"/>
                <w:szCs w:val="12"/>
                <w:color w:val="auto"/>
              </w:rPr>
            </w:pPr>
          </w:p>
        </w:tc>
      </w:tr>
      <w:tr>
        <w:trPr>
          <w:trHeight w:val="173"/>
        </w:trPr>
        <w:tc>
          <w:tcPr>
            <w:tcW w:w="43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920" w:type="dxa"/>
            <w:vAlign w:val="bottom"/>
          </w:tcPr>
          <w:p>
            <w:pPr>
              <w:jc w:val="right"/>
              <w:ind w:right="234"/>
              <w:spacing w:after="0"/>
              <w:rPr>
                <w:sz w:val="20"/>
                <w:szCs w:val="20"/>
                <w:color w:val="auto"/>
              </w:rPr>
            </w:pPr>
            <w:r>
              <w:rPr>
                <w:rFonts w:ascii="Arial" w:cs="Arial" w:eastAsia="Arial" w:hAnsi="Arial"/>
                <w:sz w:val="14"/>
                <w:szCs w:val="14"/>
                <w:color w:val="auto"/>
              </w:rPr>
              <w:t>stock</w:t>
            </w:r>
          </w:p>
        </w:tc>
        <w:tc>
          <w:tcPr>
            <w:tcW w:w="720" w:type="dxa"/>
            <w:vAlign w:val="bottom"/>
          </w:tcPr>
          <w:p>
            <w:pPr>
              <w:ind w:left="220"/>
              <w:spacing w:after="0"/>
              <w:rPr>
                <w:sz w:val="20"/>
                <w:szCs w:val="20"/>
                <w:color w:val="auto"/>
              </w:rPr>
            </w:pPr>
            <w:r>
              <w:rPr>
                <w:rFonts w:ascii="Arial" w:cs="Arial" w:eastAsia="Arial" w:hAnsi="Arial"/>
                <w:sz w:val="14"/>
                <w:szCs w:val="14"/>
                <w:color w:val="auto"/>
              </w:rPr>
              <w:t>stock</w:t>
            </w: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issuable</w:t>
            </w:r>
          </w:p>
        </w:tc>
        <w:tc>
          <w:tcPr>
            <w:tcW w:w="960" w:type="dxa"/>
            <w:vAlign w:val="bottom"/>
          </w:tcPr>
          <w:p>
            <w:pPr>
              <w:jc w:val="right"/>
              <w:ind w:right="275"/>
              <w:spacing w:after="0"/>
              <w:rPr>
                <w:sz w:val="20"/>
                <w:szCs w:val="20"/>
                <w:color w:val="auto"/>
              </w:rPr>
            </w:pPr>
            <w:r>
              <w:rPr>
                <w:rFonts w:ascii="Arial" w:cs="Arial" w:eastAsia="Arial" w:hAnsi="Arial"/>
                <w:sz w:val="14"/>
                <w:szCs w:val="14"/>
                <w:color w:val="auto"/>
              </w:rPr>
              <w:t>capital</w:t>
            </w:r>
          </w:p>
        </w:tc>
        <w:tc>
          <w:tcPr>
            <w:tcW w:w="920" w:type="dxa"/>
            <w:vAlign w:val="bottom"/>
          </w:tcPr>
          <w:p>
            <w:pPr>
              <w:jc w:val="right"/>
              <w:ind w:right="194"/>
              <w:spacing w:after="0"/>
              <w:rPr>
                <w:sz w:val="20"/>
                <w:szCs w:val="20"/>
                <w:color w:val="auto"/>
              </w:rPr>
            </w:pPr>
            <w:r>
              <w:rPr>
                <w:rFonts w:ascii="Arial" w:cs="Arial" w:eastAsia="Arial" w:hAnsi="Arial"/>
                <w:sz w:val="14"/>
                <w:szCs w:val="14"/>
                <w:color w:val="auto"/>
              </w:rPr>
              <w:t>earnings</w:t>
            </w: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(loss), net</w:t>
            </w:r>
          </w:p>
        </w:tc>
        <w:tc>
          <w:tcPr>
            <w:tcW w:w="820" w:type="dxa"/>
            <w:vAlign w:val="bottom"/>
          </w:tcPr>
          <w:p>
            <w:pPr>
              <w:ind w:left="200"/>
              <w:spacing w:after="0"/>
              <w:rPr>
                <w:sz w:val="20"/>
                <w:szCs w:val="20"/>
                <w:color w:val="auto"/>
              </w:rPr>
            </w:pPr>
            <w:r>
              <w:rPr>
                <w:rFonts w:ascii="Arial" w:cs="Arial" w:eastAsia="Arial" w:hAnsi="Arial"/>
                <w:sz w:val="14"/>
                <w:szCs w:val="14"/>
                <w:color w:val="auto"/>
              </w:rPr>
              <w:t>stock</w:t>
            </w:r>
          </w:p>
        </w:tc>
        <w:tc>
          <w:tcPr>
            <w:tcW w:w="900" w:type="dxa"/>
            <w:vAlign w:val="bottom"/>
          </w:tcPr>
          <w:p>
            <w:pPr>
              <w:jc w:val="right"/>
              <w:ind w:right="253"/>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9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Balance - January 1, 2011</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$740,657</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60,198</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4,189</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w w:val="97"/>
              </w:rPr>
              <w:t>2,398,615</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5,426,701</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(205,220)</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(67,445)</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8,357,695</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206,273</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7,699</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213,972</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Preferred stock cash dividends</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(10,498)</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(10,498)</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2,728</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Stock-based compensation plans:</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expense, net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(20,796)</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31,664</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10,868</w:t>
            </w: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Exercises of stock options, net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(10,524)</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30,072</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19,548</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stock plan</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304</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272</w:t>
            </w:r>
          </w:p>
        </w:tc>
      </w:tr>
      <w:tr>
        <w:trPr>
          <w:trHeight w:val="208"/>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w w:val="91"/>
              </w:rPr>
              <w:t>Deferred compensation plans, net, including dividend</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640"/>
              <w:spacing w:after="0"/>
              <w:rPr>
                <w:sz w:val="20"/>
                <w:szCs w:val="20"/>
                <w:color w:val="auto"/>
              </w:rPr>
            </w:pPr>
            <w:r>
              <w:rPr>
                <w:rFonts w:ascii="Arial" w:cs="Arial" w:eastAsia="Arial" w:hAnsi="Arial"/>
                <w:sz w:val="18"/>
                <w:szCs w:val="18"/>
                <w:color w:val="auto"/>
              </w:rPr>
              <w:t>equivalents</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(220)</w:t>
            </w: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507</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513</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513</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cash dividends - $.70 per share</w:t>
            </w: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(84,792)</w:t>
            </w: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(84,792)</w:t>
            </w:r>
          </w:p>
        </w:tc>
      </w:tr>
      <w:tr>
        <w:trPr>
          <w:trHeight w:val="217"/>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 March 31, 2011</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$743,385</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60,198</w:t>
            </w:r>
          </w:p>
        </w:tc>
        <w:tc>
          <w:tcPr>
            <w:tcW w:w="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3,889</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7"/>
              </w:rPr>
              <w:t>2,367,556</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5,534,909</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(197,521)</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(4,898)</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8,507,518</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$864,585</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62,842</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4,072</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7"/>
              </w:rPr>
              <w:t>2,828,986</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5,867,165</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(356,441)</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9,271,209</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206,463</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25,183</w:t>
            </w:r>
          </w:p>
        </w:tc>
        <w:tc>
          <w:tcPr>
            <w:tcW w:w="820" w:type="dxa"/>
            <w:vAlign w:val="bottom"/>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231,646</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cash dividends</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Amortization of preferred stock discount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1,904</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(1,904)</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Compensation expense, net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207</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7,783</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7,990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Exercises of stock options, net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183</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19,429</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19,612</w:t>
            </w: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Directors’ stock plan</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370</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372</w:t>
            </w:r>
          </w:p>
        </w:tc>
      </w:tr>
      <w:tr>
        <w:trPr>
          <w:trHeight w:val="208"/>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Deferred compensation plans, net, including dividend</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equivalents</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(645)</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481</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481</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cash dividends - $.70 per share</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w:t>
            </w:r>
          </w:p>
        </w:tc>
        <w:tc>
          <w:tcPr>
            <w:tcW w:w="10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w:t>
            </w:r>
          </w:p>
        </w:tc>
      </w:tr>
      <w:tr>
        <w:trPr>
          <w:trHeight w:val="217"/>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March 31, 2012</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$866,489</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63,238</w:t>
            </w: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3,427</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7"/>
              </w:rPr>
              <w:t>2,857,556</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5,969,236</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(331,258)</w:t>
            </w: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9,428,688</w:t>
            </w:r>
          </w:p>
        </w:tc>
      </w:tr>
      <w:tr>
        <w:trPr>
          <w:trHeight w:val="36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- 7 -</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2011 Annual Report. In the opinion of management, all adjustments necessary for a fair presentation have been made and were all of a normal recurring nature.</w:t>
      </w:r>
    </w:p>
    <w:p>
      <w:pPr>
        <w:spacing w:after="0" w:line="22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of the U.S. Department of Treasury (“U.S. Treasury”). In connection with the acquisition, the Company recorded $112 million of core deposit and other intangible assets. The core deposit and other intangible assets are generally being amortized over periods of 5 to 7 years using an accelerated method. There was no goodwill recorded as a result of the transaction, however,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consideration paid for Wilmington Trust’s equity and the amounts of acquired identifiable assets and liabilities assumed as of the acquisition date were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Value of:</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issued (4,694,486 shares)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Preferred stock purchased from U.S. Treasury</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purchase price</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2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due from banks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Interest-bearing deposits at banks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2,606,265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short-term investments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6,410,430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Core deposit and other intangibles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840"/>
              <w:spacing w:after="0"/>
              <w:rPr>
                <w:sz w:val="20"/>
                <w:szCs w:val="20"/>
                <w:color w:val="auto"/>
              </w:rPr>
            </w:pPr>
            <w:r>
              <w:rPr>
                <w:rFonts w:ascii="Arial" w:cs="Arial" w:eastAsia="Arial" w:hAnsi="Arial"/>
                <w:sz w:val="18"/>
                <w:szCs w:val="18"/>
                <w:color w:val="auto"/>
              </w:rPr>
              <w:t>Total identifiable assets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10,845,042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Deposits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8,864,161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Long-term borrowings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84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10,044,555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gain resulting from acquisition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following table presents certain pro forma information as if Wilmington Trust had been included in the Company’s results of operations in the first quarter of 2011. These results combine the historical results of Wilmington Trust into the Company’s consolidated statement of income and, while certain adjustments were made for the estimated impact of certain fair valuation adjustments and other acquisition-related activity, they are not indicative of what would have occurred had the acquisition taken place as indicated. In particular, no adjustments have been made to eliminate the amount of Wilmington Trust’s provision for credit losses of $41 million or the impact of other-than-temporary impairment losses of $5 million in the three months ended March 31, 2011 that may not have been necessary had the acquired loans and investment securities been recorded at fair value as of the beginning of 2011. Additionally, the Company expects to achieve operating cost savings and other business synergies as a result of the acquisition which are not reflected in the pro forma amounts that follow.</w:t>
      </w:r>
    </w:p>
    <w:p>
      <w:pPr>
        <w:spacing w:after="0" w:line="1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860" w:type="dxa"/>
            <w:vAlign w:val="bottom"/>
            <w:gridSpan w:val="4"/>
          </w:tcPr>
          <w:p>
            <w:pPr>
              <w:jc w:val="center"/>
              <w:ind w:left="2482"/>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6"/>
              </w:rPr>
              <w:t>March 31, 2011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44"/>
              <w:spacing w:after="0"/>
              <w:rPr>
                <w:sz w:val="20"/>
                <w:szCs w:val="20"/>
                <w:color w:val="auto"/>
              </w:rPr>
            </w:pPr>
            <w:r>
              <w:rPr>
                <w:rFonts w:ascii="Arial" w:cs="Arial" w:eastAsia="Arial" w:hAnsi="Arial"/>
                <w:sz w:val="14"/>
                <w:szCs w:val="14"/>
                <w:color w:val="auto"/>
                <w:w w:val="85"/>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8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(a)</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the conversion of systems and/or integration of operations; initial marketing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promotion expenses designed to introduce M&amp;T Bank to its new customers; severance for former employees; travel costs; and printing, postage, supplies and other costs of completing the transaction and commencing operations in new markets and offices. The Company expects to incur additional merger-related expenses during the remainder of 2012.</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merger-related expenses included in the consolidated statement of income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7"/>
          </w:tcPr>
          <w:p>
            <w:pPr>
              <w:ind w:left="8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272"/>
              <w:spacing w:after="0" w:line="159" w:lineRule="exact"/>
              <w:rPr>
                <w:sz w:val="20"/>
                <w:szCs w:val="20"/>
                <w:color w:val="auto"/>
              </w:rPr>
            </w:pPr>
            <w:r>
              <w:rPr>
                <w:rFonts w:ascii="Arial" w:cs="Arial" w:eastAsia="Arial" w:hAnsi="Arial"/>
                <w:sz w:val="14"/>
                <w:szCs w:val="14"/>
                <w:color w:val="auto"/>
                <w:w w:val="88"/>
              </w:rPr>
              <w:t>March 31, 2012</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tcPr>
          <w:p>
            <w:pPr>
              <w:jc w:val="right"/>
              <w:ind w:right="412"/>
              <w:spacing w:after="0" w:line="159" w:lineRule="exact"/>
              <w:rPr>
                <w:sz w:val="20"/>
                <w:szCs w:val="20"/>
                <w:color w:val="auto"/>
              </w:rPr>
            </w:pPr>
            <w:r>
              <w:rPr>
                <w:rFonts w:ascii="Arial" w:cs="Arial" w:eastAsia="Arial" w:hAnsi="Arial"/>
                <w:sz w:val="14"/>
                <w:szCs w:val="14"/>
                <w:color w:val="auto"/>
                <w:w w:val="96"/>
              </w:rPr>
              <w:t>March 31, 2011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w w:val="94"/>
              </w:rPr>
              <w:t>(in thousands)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vMerge w:val="restart"/>
          </w:tcPr>
          <w:p>
            <w:pPr>
              <w:spacing w:after="0"/>
              <w:rPr>
                <w:sz w:val="7"/>
                <w:szCs w:val="7"/>
                <w:color w:val="auto"/>
              </w:rPr>
            </w:pPr>
          </w:p>
        </w:tc>
        <w:tc>
          <w:tcPr>
            <w:tcW w:w="4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cost of operations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4,062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4,295</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w:t>
            </w:r>
          </w:p>
        </w:tc>
        <w:tc>
          <w:tcPr>
            <w:tcW w:w="59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Investment securities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00" w:type="dxa"/>
            <w:vAlign w:val="bottom"/>
            <w:gridSpan w:val="2"/>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00" w:type="dxa"/>
            <w:vAlign w:val="bottom"/>
            <w:gridSpan w:val="4"/>
          </w:tcPr>
          <w:p>
            <w:pPr>
              <w:spacing w:after="0"/>
              <w:rPr>
                <w:sz w:val="20"/>
                <w:szCs w:val="20"/>
                <w:color w:val="auto"/>
              </w:rPr>
            </w:pPr>
            <w:r>
              <w:rPr>
                <w:rFonts w:ascii="Arial" w:cs="Arial" w:eastAsia="Arial" w:hAnsi="Arial"/>
                <w:sz w:val="18"/>
                <w:szCs w:val="18"/>
                <w:color w:val="auto"/>
                <w:w w:val="92"/>
              </w:rPr>
              <w:t>The amortized cost and estimated fair value of investment securities were as follows: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w w:val="80"/>
              </w:rPr>
              <w:t>Gross</w:t>
            </w:r>
          </w:p>
        </w:tc>
        <w:tc>
          <w:tcPr>
            <w:tcW w:w="180" w:type="dxa"/>
            <w:vAlign w:val="bottom"/>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color w:val="auto"/>
                <w:w w:val="80"/>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Amortized</w:t>
            </w:r>
          </w:p>
        </w:tc>
        <w:tc>
          <w:tcPr>
            <w:tcW w:w="10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6"/>
              </w:rPr>
              <w:t>unrealized</w:t>
            </w:r>
          </w:p>
        </w:tc>
        <w:tc>
          <w:tcPr>
            <w:tcW w:w="18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cost</w:t>
            </w:r>
          </w:p>
        </w:tc>
        <w:tc>
          <w:tcPr>
            <w:tcW w:w="100" w:type="dxa"/>
            <w:vAlign w:val="bottom"/>
          </w:tcPr>
          <w:p>
            <w:pPr>
              <w:spacing w:after="0"/>
              <w:rPr>
                <w:sz w:val="13"/>
                <w:szCs w:val="13"/>
                <w:color w:val="auto"/>
              </w:rPr>
            </w:pPr>
          </w:p>
        </w:tc>
        <w:tc>
          <w:tcPr>
            <w:tcW w:w="66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9"/>
              </w:rPr>
              <w:t>gains</w:t>
            </w:r>
          </w:p>
        </w:tc>
        <w:tc>
          <w:tcPr>
            <w:tcW w:w="180" w:type="dxa"/>
            <w:vAlign w:val="bottom"/>
          </w:tcPr>
          <w:p>
            <w:pPr>
              <w:spacing w:after="0"/>
              <w:rPr>
                <w:sz w:val="13"/>
                <w:szCs w:val="13"/>
                <w:color w:val="auto"/>
              </w:rPr>
            </w:pPr>
          </w:p>
        </w:tc>
        <w:tc>
          <w:tcPr>
            <w:tcW w:w="6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0"/>
              </w:rPr>
              <w:t>losses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6"/>
          </w:tcPr>
          <w:p>
            <w:pPr>
              <w:jc w:val="right"/>
              <w:ind w:right="252"/>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Investment securities available for sale: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37,431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630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Arial" w:cs="Arial" w:eastAsia="Arial" w:hAnsi="Arial"/>
                <w:sz w:val="18"/>
                <w:szCs w:val="18"/>
                <w:color w:val="auto"/>
              </w:rPr>
              <w:t>Government issued or guaranteed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4,101,717</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171,479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4,272,955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Privately issued residential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1,318,040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5,358</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1,110,695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Arial" w:cs="Arial" w:eastAsia="Arial" w:hAnsi="Arial"/>
                <w:sz w:val="18"/>
                <w:szCs w:val="18"/>
                <w:color w:val="auto"/>
              </w:rPr>
              <w:t>Privately issued commercial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15,193</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1,758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15,907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Other debt securities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206,661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3,397</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41,133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5,892,799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207,573</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262,350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5,838,022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185,859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7,776</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2"/>
          </w:tcPr>
          <w:p>
            <w:pPr>
              <w:ind w:left="40"/>
              <w:spacing w:after="0"/>
              <w:rPr>
                <w:sz w:val="20"/>
                <w:szCs w:val="20"/>
                <w:color w:val="auto"/>
              </w:rPr>
            </w:pPr>
            <w:r>
              <w:rPr>
                <w:rFonts w:ascii="Arial" w:cs="Arial" w:eastAsia="Arial" w:hAnsi="Arial"/>
                <w:sz w:val="18"/>
                <w:szCs w:val="18"/>
                <w:color w:val="auto"/>
              </w:rPr>
              <w:t>Government issued or guaranteed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541,140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25,089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Privately issued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261,851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103,649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Other debt securities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1,000,294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32,865</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103,681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4"/>
          </w:tcPr>
          <w:p>
            <w:pPr>
              <w:spacing w:after="0"/>
              <w:rPr>
                <w:sz w:val="20"/>
                <w:szCs w:val="20"/>
                <w:color w:val="auto"/>
              </w:rPr>
            </w:pPr>
            <w:r>
              <w:rPr>
                <w:rFonts w:ascii="Arial" w:cs="Arial" w:eastAsia="Arial" w:hAnsi="Arial"/>
                <w:sz w:val="18"/>
                <w:szCs w:val="18"/>
                <w:color w:val="auto"/>
              </w:rPr>
              <w:t>Other securities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w:t>
            </w:r>
          </w:p>
        </w:tc>
        <w:tc>
          <w:tcPr>
            <w:tcW w:w="9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7,250,073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240,438</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366,031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7,124,480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00" w:type="dxa"/>
            <w:vAlign w:val="bottom"/>
            <w:gridSpan w:val="2"/>
            <w:vMerge w:val="restart"/>
          </w:tcPr>
          <w:p>
            <w:pPr>
              <w:ind w:left="5120"/>
              <w:spacing w:after="0"/>
              <w:rPr>
                <w:sz w:val="20"/>
                <w:szCs w:val="20"/>
                <w:color w:val="auto"/>
              </w:rPr>
            </w:pPr>
            <w:r>
              <w:rPr>
                <w:rFonts w:ascii="Arial" w:cs="Arial" w:eastAsia="Arial" w:hAnsi="Arial"/>
                <w:sz w:val="18"/>
                <w:szCs w:val="18"/>
                <w:color w:val="auto"/>
              </w:rPr>
              <w:t>- 10 -</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7460" w:type="dxa"/>
            <w:vAlign w:val="bottom"/>
          </w:tcPr>
          <w:p>
            <w:pPr>
              <w:ind w:left="60"/>
              <w:spacing w:after="0"/>
              <w:rPr>
                <w:sz w:val="20"/>
                <w:szCs w:val="20"/>
                <w:color w:val="auto"/>
              </w:rPr>
            </w:pPr>
            <w:r>
              <w:rPr>
                <w:rFonts w:ascii="Arial" w:cs="Arial" w:eastAsia="Arial" w:hAnsi="Arial"/>
                <w:sz w:val="18"/>
                <w:szCs w:val="18"/>
                <w:b w:val="1"/>
                <w:bCs w:val="1"/>
                <w:color w:val="auto"/>
              </w:rPr>
              <w:t>Investment securities, continued</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80"/>
              </w:rPr>
              <w:t>Gross</w:t>
            </w:r>
          </w:p>
        </w:tc>
        <w:tc>
          <w:tcPr>
            <w:tcW w:w="620" w:type="dxa"/>
            <w:vAlign w:val="bottom"/>
          </w:tcPr>
          <w:p>
            <w:pPr>
              <w:jc w:val="center"/>
              <w:spacing w:after="0"/>
              <w:rPr>
                <w:sz w:val="20"/>
                <w:szCs w:val="20"/>
                <w:color w:val="auto"/>
              </w:rPr>
            </w:pPr>
            <w:r>
              <w:rPr>
                <w:rFonts w:ascii="Arial" w:cs="Arial" w:eastAsia="Arial" w:hAnsi="Arial"/>
                <w:sz w:val="14"/>
                <w:szCs w:val="14"/>
                <w:color w:val="auto"/>
                <w:w w:val="80"/>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Amortized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unrealized</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Estimated</w:t>
            </w: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5"/>
              </w:rPr>
              <w:t>cost</w:t>
            </w: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9"/>
              </w:rPr>
              <w:t>gains</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0"/>
              </w:rPr>
              <w:t>losses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fair value</w:t>
            </w: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right"/>
              <w:ind w:right="255"/>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69,468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39,518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4,344,116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177,392</w:t>
            </w:r>
          </w:p>
        </w:tc>
        <w:tc>
          <w:tcPr>
            <w:tcW w:w="62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4,521,233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Privately issued residential</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1,369,371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239,488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1,136,256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Privately issued commercial</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17,679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43,834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216,700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4,588</w:t>
            </w:r>
          </w:p>
        </w:tc>
        <w:tc>
          <w:tcPr>
            <w:tcW w:w="620" w:type="dxa"/>
            <w:vAlign w:val="bottom"/>
          </w:tcPr>
          <w:p>
            <w:pPr>
              <w:jc w:val="right"/>
              <w:spacing w:after="0"/>
              <w:rPr>
                <w:sz w:val="20"/>
                <w:szCs w:val="20"/>
                <w:color w:val="auto"/>
              </w:rPr>
            </w:pPr>
            <w:r>
              <w:rPr>
                <w:rFonts w:ascii="Arial" w:cs="Arial" w:eastAsia="Arial" w:hAnsi="Arial"/>
                <w:sz w:val="18"/>
                <w:szCs w:val="18"/>
                <w:color w:val="auto"/>
              </w:rPr>
              <w:t>44,443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176,845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211,737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6,312,423</w:t>
            </w: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210,001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293,864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6,228,560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188,680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9,141</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197,793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60" w:type="dxa"/>
            <w:vAlign w:val="bottom"/>
          </w:tcPr>
          <w:p>
            <w:pPr>
              <w:ind w:left="4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608,533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24,881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633,414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Privately issued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268,642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1,077,708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34,022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1,012,562</w:t>
            </w:r>
          </w:p>
        </w:tc>
        <w:tc>
          <w:tcPr>
            <w:tcW w:w="100" w:type="dxa"/>
            <w:vAlign w:val="bottom"/>
            <w:shd w:val="clear" w:color="auto" w:fill="CCEEFF"/>
          </w:tcPr>
          <w:p>
            <w:pPr>
              <w:spacing w:after="0"/>
              <w:rPr>
                <w:sz w:val="18"/>
                <w:szCs w:val="18"/>
                <w:color w:val="auto"/>
              </w:rPr>
            </w:pPr>
          </w:p>
        </w:tc>
      </w:tr>
      <w:tr>
        <w:trPr>
          <w:trHeight w:val="230"/>
        </w:trPr>
        <w:tc>
          <w:tcPr>
            <w:tcW w:w="7860" w:type="dxa"/>
            <w:vAlign w:val="bottom"/>
            <w:gridSpan w:val="3"/>
          </w:tcPr>
          <w:p>
            <w:pPr>
              <w:spacing w:after="0"/>
              <w:rPr>
                <w:sz w:val="20"/>
                <w:szCs w:val="20"/>
                <w:color w:val="auto"/>
              </w:rPr>
            </w:pPr>
            <w:r>
              <w:rPr>
                <w:rFonts w:ascii="Arial" w:cs="Arial" w:eastAsia="Arial" w:hAnsi="Arial"/>
                <w:sz w:val="18"/>
                <w:szCs w:val="18"/>
                <w:color w:val="auto"/>
              </w:rPr>
              <w:t>Other securities</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366,886</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w:t>
            </w:r>
          </w:p>
        </w:tc>
        <w:tc>
          <w:tcPr>
            <w:tcW w:w="7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7,757,017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244,023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393,032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7,608,008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Gross realized gains on investment securities were $39.4 million for the quarter ended March 31, 2011. Similar gross realized gains for the quarter ended March 31, 2012 were not significant. Gross realized losses on investment securities for the quarters ended March 31, 2012 and 2011 were not significant. During the three-month period ended March 31, 2011, the Company sold residential mortgage-backed securities guaranteed by the Federal National Mortgage Association (“Fannie Mae”) and the Federal Home Loan Mortgage Corporation (“Freddie Mac”) having an aggregate amortized cost of approximately $484 million, which resulted in a gain of $39 million (pre-tax). The Company recognized $11 million and $16 million of pre-tax other-than-temporary impairment losses during the quarters ended March 31, 2012 and 2011, respectively, related to privately issued mortgage-backed securities. The impairment charges were recognized in light of deterioration of real estate values and a rise in delinquencies and charge-offs of underlying mortgage loans collateralizing those securities. The other-than-temporary losses represent management’s estimate of credit losses inherent in the debt securities considering projected cash flows using assumptions for delinquency rates, loss severities, and other estimates of future collateral performance.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displays changes in credit losses associated with debt securities for which other-than-temporary impairment losses have been previously recognized in earnings for the three months ended March 31, 2012 and March 31, 2011:</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4"/>
                <w:szCs w:val="14"/>
                <w:color w:val="auto"/>
                <w:w w:val="86"/>
              </w:rPr>
              <w:t>Three months ended March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left="380"/>
              <w:spacing w:after="0" w:line="142" w:lineRule="exact"/>
              <w:rPr>
                <w:sz w:val="20"/>
                <w:szCs w:val="20"/>
                <w:color w:val="auto"/>
              </w:rPr>
            </w:pPr>
            <w:r>
              <w:rPr>
                <w:rFonts w:ascii="Arial" w:cs="Arial" w:eastAsia="Arial" w:hAnsi="Arial"/>
                <w:sz w:val="14"/>
                <w:szCs w:val="14"/>
                <w:color w:val="auto"/>
                <w:w w:val="87"/>
              </w:rPr>
              <w:t>(in 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285,399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11,486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(29,412)</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(21,095)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267,473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2012, the amortized cost and estimated fair value of debt securities by contractual maturity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36"/>
              <w:spacing w:after="0"/>
              <w:rPr>
                <w:sz w:val="20"/>
                <w:szCs w:val="20"/>
                <w:color w:val="auto"/>
              </w:rPr>
            </w:pPr>
            <w:r>
              <w:rPr>
                <w:rFonts w:ascii="Arial" w:cs="Arial" w:eastAsia="Arial" w:hAnsi="Arial"/>
                <w:sz w:val="14"/>
                <w:szCs w:val="14"/>
                <w:color w:val="auto"/>
                <w:w w:val="95"/>
              </w:rPr>
              <w:t>Amortized</w:t>
            </w:r>
          </w:p>
        </w:tc>
        <w:tc>
          <w:tcPr>
            <w:tcW w:w="4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16"/>
              <w:spacing w:after="0" w:line="159" w:lineRule="exact"/>
              <w:rPr>
                <w:sz w:val="20"/>
                <w:szCs w:val="20"/>
                <w:color w:val="auto"/>
              </w:rPr>
            </w:pPr>
            <w:r>
              <w:rPr>
                <w:rFonts w:ascii="Arial" w:cs="Arial" w:eastAsia="Arial" w:hAnsi="Arial"/>
                <w:sz w:val="14"/>
                <w:szCs w:val="14"/>
                <w:color w:val="auto"/>
              </w:rPr>
              <w:t>cost</w:t>
            </w:r>
          </w:p>
        </w:tc>
        <w:tc>
          <w:tcPr>
            <w:tcW w:w="420" w:type="dxa"/>
            <w:vAlign w:val="bottom"/>
          </w:tcPr>
          <w:p>
            <w:pPr>
              <w:spacing w:after="0"/>
              <w:rPr>
                <w:sz w:val="13"/>
                <w:szCs w:val="13"/>
                <w:color w:val="auto"/>
              </w:rPr>
            </w:pPr>
          </w:p>
        </w:tc>
        <w:tc>
          <w:tcPr>
            <w:tcW w:w="8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3"/>
          </w:tcPr>
          <w:p>
            <w:pPr>
              <w:jc w:val="right"/>
              <w:ind w:right="619"/>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35,769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7,927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254,366</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339,810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318,289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5,434,950</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5,397,085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5,774,760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5,715,374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125,439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197,303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205,047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802,991</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1,000,294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929,478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60" w:type="dxa"/>
            <w:vAlign w:val="bottom"/>
            <w:vMerge w:val="restart"/>
          </w:tcPr>
          <w:p>
            <w:pPr>
              <w:jc w:val="right"/>
              <w:ind w:right="1812"/>
              <w:spacing w:after="0"/>
              <w:rPr>
                <w:sz w:val="20"/>
                <w:szCs w:val="20"/>
                <w:color w:val="auto"/>
              </w:rPr>
            </w:pPr>
            <w:r>
              <w:rPr>
                <w:rFonts w:ascii="Arial" w:cs="Arial" w:eastAsia="Arial" w:hAnsi="Arial"/>
                <w:sz w:val="18"/>
                <w:szCs w:val="18"/>
                <w:color w:val="auto"/>
              </w:rPr>
              <w:t>- 12 -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240" w:top="459" w:right="9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investment securities that as of March 31, 2012 and December 31, 2011 had been in a continuous unrealized loss position for less than twelve months and those that had been in a continuous unrealized loss position for twelve months or longer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color w:val="auto"/>
                <w:w w:val="93"/>
              </w:rPr>
              <w:t>Less than 12 months</w:t>
            </w:r>
          </w:p>
        </w:tc>
        <w:tc>
          <w:tcPr>
            <w:tcW w:w="1840" w:type="dxa"/>
            <w:vAlign w:val="bottom"/>
            <w:gridSpan w:val="4"/>
          </w:tcPr>
          <w:p>
            <w:pPr>
              <w:jc w:val="right"/>
              <w:ind w:right="4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Unrealized</w:t>
            </w: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Fair value</w:t>
            </w:r>
          </w:p>
        </w:tc>
        <w:tc>
          <w:tcPr>
            <w:tcW w:w="300" w:type="dxa"/>
            <w:vAlign w:val="bottom"/>
          </w:tcPr>
          <w:p>
            <w:pPr>
              <w:spacing w:after="0"/>
              <w:rPr>
                <w:sz w:val="13"/>
                <w:szCs w:val="13"/>
                <w:color w:val="auto"/>
              </w:rPr>
            </w:pPr>
          </w:p>
        </w:tc>
        <w:tc>
          <w:tcPr>
            <w:tcW w:w="9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losses</w:t>
            </w:r>
          </w:p>
        </w:tc>
        <w:tc>
          <w:tcPr>
            <w:tcW w:w="7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Fair value</w:t>
            </w:r>
          </w:p>
        </w:tc>
        <w:tc>
          <w:tcPr>
            <w:tcW w:w="300" w:type="dxa"/>
            <w:vAlign w:val="bottom"/>
          </w:tcPr>
          <w:p>
            <w:pPr>
              <w:spacing w:after="0"/>
              <w:rPr>
                <w:sz w:val="13"/>
                <w:szCs w:val="13"/>
                <w:color w:val="auto"/>
              </w:rPr>
            </w:pP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right"/>
              <w:ind w:right="354"/>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21,424</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residential</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289,068</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(10,826)</w:t>
            </w:r>
          </w:p>
        </w:tc>
        <w:tc>
          <w:tcPr>
            <w:tcW w:w="740" w:type="dxa"/>
            <w:vAlign w:val="bottom"/>
          </w:tcPr>
          <w:p>
            <w:pPr>
              <w:jc w:val="right"/>
              <w:spacing w:after="0"/>
              <w:rPr>
                <w:sz w:val="20"/>
                <w:szCs w:val="20"/>
                <w:color w:val="auto"/>
              </w:rPr>
            </w:pPr>
            <w:r>
              <w:rPr>
                <w:rFonts w:ascii="Arial" w:cs="Arial" w:eastAsia="Arial" w:hAnsi="Arial"/>
                <w:sz w:val="18"/>
                <w:szCs w:val="18"/>
                <w:color w:val="auto"/>
              </w:rPr>
              <w:t>744,430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commercial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5,597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(6,406)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5,225</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(5,063)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390,078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(22,457)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843,605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(239,893)</w:t>
            </w:r>
          </w:p>
        </w:tc>
        <w:tc>
          <w:tcPr>
            <w:tcW w:w="0" w:type="dxa"/>
            <w:vAlign w:val="bottom"/>
          </w:tcPr>
          <w:p>
            <w:pPr>
              <w:spacing w:after="0"/>
              <w:rPr>
                <w:sz w:val="1"/>
                <w:szCs w:val="1"/>
                <w:color w:val="auto"/>
              </w:rPr>
            </w:pPr>
          </w:p>
        </w:tc>
      </w:tr>
      <w:tr>
        <w:trPr>
          <w:trHeight w:val="329"/>
        </w:trPr>
        <w:tc>
          <w:tcPr>
            <w:tcW w:w="41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157,077</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(103,649)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(103,665)</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gridSpan w:val="2"/>
            <w:vMerge w:val="continue"/>
          </w:tcPr>
          <w:p>
            <w:pPr>
              <w:spacing w:after="0"/>
              <w:rPr>
                <w:sz w:val="19"/>
                <w:szCs w:val="19"/>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394,928</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(22,473)</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1,001,164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(343,558)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38,492</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residential</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297,133</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(14,188)</w:t>
            </w:r>
          </w:p>
        </w:tc>
        <w:tc>
          <w:tcPr>
            <w:tcW w:w="740" w:type="dxa"/>
            <w:vAlign w:val="bottom"/>
          </w:tcPr>
          <w:p>
            <w:pPr>
              <w:jc w:val="right"/>
              <w:spacing w:after="0"/>
              <w:rPr>
                <w:sz w:val="20"/>
                <w:szCs w:val="20"/>
                <w:color w:val="auto"/>
              </w:rPr>
            </w:pPr>
            <w:r>
              <w:rPr>
                <w:rFonts w:ascii="Arial" w:cs="Arial" w:eastAsia="Arial" w:hAnsi="Arial"/>
                <w:sz w:val="18"/>
                <w:szCs w:val="18"/>
                <w:color w:val="auto"/>
              </w:rPr>
              <w:t>751,077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commercial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2,871</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(335)</w:t>
            </w:r>
          </w:p>
        </w:tc>
        <w:tc>
          <w:tcPr>
            <w:tcW w:w="740" w:type="dxa"/>
            <w:vAlign w:val="bottom"/>
          </w:tcPr>
          <w:p>
            <w:pPr>
              <w:jc w:val="right"/>
              <w:spacing w:after="0"/>
              <w:rPr>
                <w:sz w:val="20"/>
                <w:szCs w:val="20"/>
                <w:color w:val="auto"/>
              </w:rPr>
            </w:pPr>
            <w:r>
              <w:rPr>
                <w:rFonts w:ascii="Arial" w:cs="Arial" w:eastAsia="Arial" w:hAnsi="Arial"/>
                <w:sz w:val="18"/>
                <w:szCs w:val="18"/>
                <w:color w:val="auto"/>
              </w:rPr>
              <w:t>4,863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72,637</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421,016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(29,096)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851,849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(264,768)</w:t>
            </w:r>
          </w:p>
        </w:tc>
        <w:tc>
          <w:tcPr>
            <w:tcW w:w="0" w:type="dxa"/>
            <w:vAlign w:val="bottom"/>
          </w:tcPr>
          <w:p>
            <w:pPr>
              <w:spacing w:after="0"/>
              <w:rPr>
                <w:sz w:val="1"/>
                <w:szCs w:val="1"/>
                <w:color w:val="auto"/>
              </w:rPr>
            </w:pPr>
          </w:p>
        </w:tc>
      </w:tr>
      <w:tr>
        <w:trPr>
          <w:trHeight w:val="329"/>
        </w:trPr>
        <w:tc>
          <w:tcPr>
            <w:tcW w:w="41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740" w:type="dxa"/>
            <w:vAlign w:val="bottom"/>
          </w:tcPr>
          <w:p>
            <w:pPr>
              <w:jc w:val="right"/>
              <w:spacing w:after="0"/>
              <w:rPr>
                <w:sz w:val="20"/>
                <w:szCs w:val="20"/>
                <w:color w:val="auto"/>
              </w:rPr>
            </w:pPr>
            <w:r>
              <w:rPr>
                <w:rFonts w:ascii="Arial" w:cs="Arial" w:eastAsia="Arial" w:hAnsi="Arial"/>
                <w:sz w:val="18"/>
                <w:szCs w:val="18"/>
                <w:color w:val="auto"/>
              </w:rPr>
              <w:t>167,139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(98,548)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425,983</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(29,692)</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1,020,418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(363,340)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580" w:type="dxa"/>
            <w:vAlign w:val="bottom"/>
            <w:vMerge w:val="restart"/>
          </w:tcPr>
          <w:p>
            <w:pPr>
              <w:jc w:val="right"/>
              <w:ind w:right="1232"/>
              <w:spacing w:after="0"/>
              <w:rPr>
                <w:sz w:val="20"/>
                <w:szCs w:val="20"/>
                <w:color w:val="auto"/>
              </w:rPr>
            </w:pPr>
            <w:r>
              <w:rPr>
                <w:rFonts w:ascii="Arial" w:cs="Arial" w:eastAsia="Arial" w:hAnsi="Arial"/>
                <w:sz w:val="18"/>
                <w:szCs w:val="18"/>
                <w:color w:val="auto"/>
              </w:rPr>
              <w:t>- 13 -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owned 313 individual investment securities with aggregate gross unrealized losses of $366 million at March 31, 2012. Approximately $318 million of the unrealized losses pertain to privately issued mortgage-backed securities with a cost basis of $1.5 billion. The Company also had $43 million of unrealized losses on trust preferred securities issued by financial institutions, securities backed by trust preferred securities issued by financial institutions and other entities, and other debt securities having a cost basis of $195 million. Based on a review of each of the remaining securities in the investment securities portfolio at March 31, 2012, with the exception of the aforementioned securities for which other-than-temporary impairment losses were recognized, the Company concluded that it expected to recover the amortized cost basis of its investment. As of March 31, 2012, the Company does not intend to sell nor is it anticipated that it would be required to sell any of its impaired investment securities. At March 31, 2012, the Company has not identified events or changes in circumstances which may have a significant adverse effect on the fair value of the $357 million of cost method investment securities.</w:t>
      </w:r>
    </w:p>
    <w:p>
      <w:pPr>
        <w:spacing w:after="0" w:line="2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is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4"/>
                <w:szCs w:val="14"/>
                <w:color w:val="auto"/>
              </w:rPr>
              <w:t>March 31,</w:t>
            </w:r>
          </w:p>
        </w:tc>
        <w:tc>
          <w:tcPr>
            <w:tcW w:w="1300" w:type="dxa"/>
            <w:vAlign w:val="bottom"/>
            <w:gridSpan w:val="3"/>
          </w:tcPr>
          <w:p>
            <w:pPr>
              <w:ind w:left="4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640" w:type="dxa"/>
            <w:vAlign w:val="bottom"/>
            <w:gridSpan w:val="2"/>
          </w:tcPr>
          <w:p>
            <w:pPr>
              <w:jc w:val="right"/>
              <w:ind w:right="206"/>
              <w:spacing w:after="0" w:line="159" w:lineRule="exact"/>
              <w:rPr>
                <w:sz w:val="20"/>
                <w:szCs w:val="20"/>
                <w:color w:val="auto"/>
              </w:rPr>
            </w:pPr>
            <w:r>
              <w:rPr>
                <w:rFonts w:ascii="Arial" w:cs="Arial" w:eastAsia="Arial" w:hAnsi="Arial"/>
                <w:sz w:val="14"/>
                <w:szCs w:val="14"/>
                <w:color w:val="auto"/>
              </w:rPr>
              <w:t>2012</w:t>
            </w:r>
          </w:p>
        </w:tc>
        <w:tc>
          <w:tcPr>
            <w:tcW w:w="120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0" w:type="dxa"/>
            <w:vAlign w:val="bottom"/>
            <w:tcBorders>
              <w:top w:val="single" w:sz="8" w:color="auto"/>
            </w:tcBorders>
            <w:gridSpan w:val="3"/>
          </w:tcPr>
          <w:p>
            <w:pPr>
              <w:jc w:val="right"/>
              <w:ind w:right="532"/>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$8,850,525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9,203,366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Carrying amount:</w:t>
            </w: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leasing, etc.</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1,259,609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Commercial real estate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3,701,591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3,879,518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real estate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1,919,740</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2,033,700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7,756,028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8,159,787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Purchased impaired loans totaled $605 million at March 31, 2012 and $653 million at December 31, 2011, representing less than 1% of the Company’s assets as of each date. Interest income on acquired loans that were recorded at fair value at the acquisition date was $81 million and $41 million for the three months ended March 31, 2012 and 2011, respectively. At December 31, 2010 and March 31, 2011, the accretable yield on acquired loans was $457 million and $416 million, respectively. A summary of changes in the accretable yield for acquired loans for the three months ended March 31, 2012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700" w:type="dxa"/>
            <w:vAlign w:val="bottom"/>
          </w:tcPr>
          <w:p>
            <w:pPr>
              <w:spacing w:after="0"/>
              <w:rPr>
                <w:sz w:val="11"/>
                <w:szCs w:val="11"/>
                <w:color w:val="auto"/>
              </w:rPr>
            </w:pPr>
          </w:p>
        </w:tc>
        <w:tc>
          <w:tcPr>
            <w:tcW w:w="82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w w:val="83"/>
              </w:rPr>
              <w:t>Purchased</w:t>
            </w:r>
          </w:p>
        </w:tc>
        <w:tc>
          <w:tcPr>
            <w:tcW w:w="220" w:type="dxa"/>
            <w:vAlign w:val="bottom"/>
          </w:tcPr>
          <w:p>
            <w:pPr>
              <w:spacing w:after="0"/>
              <w:rPr>
                <w:sz w:val="11"/>
                <w:szCs w:val="11"/>
                <w:color w:val="auto"/>
              </w:rPr>
            </w:pPr>
          </w:p>
        </w:tc>
        <w:tc>
          <w:tcPr>
            <w:tcW w:w="1100" w:type="dxa"/>
            <w:vAlign w:val="bottom"/>
            <w:gridSpan w:val="2"/>
          </w:tcPr>
          <w:p>
            <w:pPr>
              <w:jc w:val="right"/>
              <w:ind w:right="620"/>
              <w:spacing w:after="0" w:line="131" w:lineRule="exact"/>
              <w:rPr>
                <w:sz w:val="20"/>
                <w:szCs w:val="20"/>
                <w:color w:val="auto"/>
              </w:rPr>
            </w:pPr>
            <w:r>
              <w:rPr>
                <w:rFonts w:ascii="Arial" w:cs="Arial" w:eastAsia="Arial" w:hAnsi="Arial"/>
                <w:sz w:val="14"/>
                <w:szCs w:val="14"/>
                <w:color w:val="auto"/>
              </w:rPr>
              <w:t>Other</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670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6"/>
              </w:rPr>
              <w:t>impaired</w:t>
            </w:r>
          </w:p>
        </w:tc>
        <w:tc>
          <w:tcPr>
            <w:tcW w:w="220" w:type="dxa"/>
            <w:vAlign w:val="bottom"/>
          </w:tcPr>
          <w:p>
            <w:pPr>
              <w:spacing w:after="0"/>
              <w:rPr>
                <w:sz w:val="13"/>
                <w:szCs w:val="13"/>
                <w:color w:val="auto"/>
              </w:rPr>
            </w:pPr>
          </w:p>
        </w:tc>
        <w:tc>
          <w:tcPr>
            <w:tcW w:w="11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acquired</w:t>
            </w: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r>
      <w:tr>
        <w:trPr>
          <w:trHeight w:val="166"/>
        </w:trPr>
        <w:tc>
          <w:tcPr>
            <w:tcW w:w="67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84"/>
        </w:trPr>
        <w:tc>
          <w:tcPr>
            <w:tcW w:w="6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$30,805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807,960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838,765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(7,664)</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(73,723)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(81,387)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(to) nonaccretable balance, net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Other (a)</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22,565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747,466</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770,031</w:t>
            </w:r>
          </w:p>
        </w:tc>
      </w:tr>
      <w:tr>
        <w:trPr>
          <w:trHeight w:val="20"/>
        </w:trPr>
        <w:tc>
          <w:tcPr>
            <w:tcW w:w="6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prepayments.</w:t>
      </w:r>
    </w:p>
    <w:p>
      <w:pPr>
        <w:spacing w:after="0" w:line="157" w:lineRule="exact"/>
        <w:rPr>
          <w:rFonts w:ascii="Arial" w:cs="Arial" w:eastAsia="Arial" w:hAnsi="Arial"/>
          <w:sz w:val="18"/>
          <w:szCs w:val="18"/>
          <w:i w:val="1"/>
          <w:iCs w:val="1"/>
          <w:color w:val="auto"/>
        </w:rPr>
      </w:pPr>
    </w:p>
    <w:p>
      <w:pPr>
        <w:ind w:left="5620" w:hanging="96"/>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summary of current, past due and nonaccrual loans as of March 31, 2012 and December 31,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color w:val="auto"/>
                <w:w w:val="88"/>
              </w:rPr>
              <w:t>90 Days or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more past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gridSpan w:val="2"/>
          </w:tcPr>
          <w:p>
            <w:pPr>
              <w:jc w:val="center"/>
              <w:ind w:left="113"/>
              <w:spacing w:after="0" w:line="15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3"/>
                <w:szCs w:val="13"/>
                <w:color w:val="auto"/>
              </w:rPr>
            </w:pPr>
          </w:p>
        </w:tc>
        <w:tc>
          <w:tcPr>
            <w:tcW w:w="148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5"/>
              </w:rPr>
              <w:t>due and accruing</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Purchased</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7"/>
              </w:rPr>
              <w:t>Days</w:t>
            </w:r>
          </w:p>
        </w:tc>
        <w:tc>
          <w:tcPr>
            <w:tcW w:w="640" w:type="dxa"/>
            <w:vAlign w:val="bottom"/>
          </w:tcPr>
          <w:p>
            <w:pPr>
              <w:jc w:val="right"/>
              <w:ind w:right="97"/>
              <w:spacing w:after="0" w:line="131"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1"/>
                <w:szCs w:val="11"/>
                <w:color w:val="auto"/>
              </w:rPr>
            </w:pPr>
          </w:p>
        </w:tc>
        <w:tc>
          <w:tcPr>
            <w:tcW w:w="640" w:type="dxa"/>
            <w:vAlign w:val="bottom"/>
          </w:tcPr>
          <w:p>
            <w:pPr>
              <w:jc w:val="right"/>
              <w:ind w:right="2"/>
              <w:spacing w:after="0" w:line="131" w:lineRule="exact"/>
              <w:rPr>
                <w:sz w:val="20"/>
                <w:szCs w:val="20"/>
                <w:color w:val="auto"/>
              </w:rPr>
            </w:pPr>
            <w:r>
              <w:rPr>
                <w:rFonts w:ascii="Arial" w:cs="Arial" w:eastAsia="Arial" w:hAnsi="Arial"/>
                <w:sz w:val="14"/>
                <w:szCs w:val="14"/>
                <w:color w:val="auto"/>
                <w:w w:val="97"/>
              </w:rPr>
              <w:t>Acquired</w:t>
            </w: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9"/>
              </w:rPr>
              <w:t>impaired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9"/>
              </w:rPr>
              <w:t>past due</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acquired</w:t>
            </w:r>
          </w:p>
        </w:tc>
        <w:tc>
          <w:tcPr>
            <w:tcW w:w="200" w:type="dxa"/>
            <w:vAlign w:val="bottom"/>
          </w:tcPr>
          <w:p>
            <w:pPr>
              <w:spacing w:after="0"/>
              <w:rPr>
                <w:sz w:val="13"/>
                <w:szCs w:val="13"/>
                <w:color w:val="auto"/>
              </w:rPr>
            </w:pPr>
          </w:p>
        </w:tc>
        <w:tc>
          <w:tcPr>
            <w:tcW w:w="640" w:type="dxa"/>
            <w:vAlign w:val="bottom"/>
          </w:tcPr>
          <w:p>
            <w:pPr>
              <w:jc w:val="right"/>
              <w:ind w:right="162"/>
              <w:spacing w:after="0" w:line="159" w:lineRule="exact"/>
              <w:rPr>
                <w:sz w:val="20"/>
                <w:szCs w:val="20"/>
                <w:color w:val="auto"/>
              </w:rPr>
            </w:pPr>
            <w:r>
              <w:rPr>
                <w:rFonts w:ascii="Arial" w:cs="Arial" w:eastAsia="Arial" w:hAnsi="Arial"/>
                <w:sz w:val="14"/>
                <w:szCs w:val="14"/>
                <w:color w:val="auto"/>
              </w:rPr>
              <w:t>(a)</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(b)</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Nonaccrual</w:t>
            </w:r>
          </w:p>
        </w:tc>
        <w:tc>
          <w:tcPr>
            <w:tcW w:w="200" w:type="dxa"/>
            <w:vAlign w:val="bottom"/>
          </w:tcPr>
          <w:p>
            <w:pPr>
              <w:spacing w:after="0"/>
              <w:rPr>
                <w:sz w:val="13"/>
                <w:szCs w:val="13"/>
                <w:color w:val="auto"/>
              </w:rPr>
            </w:pP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342"/>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$15,676,591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76,842</w:t>
            </w:r>
          </w:p>
        </w:tc>
        <w:tc>
          <w:tcPr>
            <w:tcW w:w="640" w:type="dxa"/>
            <w:vAlign w:val="bottom"/>
          </w:tcPr>
          <w:p>
            <w:pPr>
              <w:jc w:val="right"/>
              <w:spacing w:after="0"/>
              <w:rPr>
                <w:sz w:val="20"/>
                <w:szCs w:val="20"/>
                <w:color w:val="auto"/>
              </w:rPr>
            </w:pPr>
            <w:r>
              <w:rPr>
                <w:rFonts w:ascii="Arial" w:cs="Arial" w:eastAsia="Arial" w:hAnsi="Arial"/>
                <w:sz w:val="18"/>
                <w:szCs w:val="18"/>
                <w:color w:val="auto"/>
              </w:rPr>
              <w:t>1,506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10,982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18,114</w:t>
            </w:r>
          </w:p>
        </w:tc>
        <w:tc>
          <w:tcPr>
            <w:tcW w:w="760" w:type="dxa"/>
            <w:vAlign w:val="bottom"/>
          </w:tcPr>
          <w:p>
            <w:pPr>
              <w:jc w:val="right"/>
              <w:spacing w:after="0"/>
              <w:rPr>
                <w:sz w:val="20"/>
                <w:szCs w:val="20"/>
                <w:color w:val="auto"/>
              </w:rPr>
            </w:pPr>
            <w:r>
              <w:rPr>
                <w:rFonts w:ascii="Arial" w:cs="Arial" w:eastAsia="Arial" w:hAnsi="Arial"/>
                <w:sz w:val="18"/>
                <w:szCs w:val="18"/>
                <w:color w:val="auto"/>
              </w:rPr>
              <w:t>154,637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15,938,672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20,386,440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139,148</w:t>
            </w:r>
          </w:p>
        </w:tc>
        <w:tc>
          <w:tcPr>
            <w:tcW w:w="640" w:type="dxa"/>
            <w:vAlign w:val="bottom"/>
          </w:tcPr>
          <w:p>
            <w:pPr>
              <w:jc w:val="right"/>
              <w:spacing w:after="0"/>
              <w:rPr>
                <w:sz w:val="20"/>
                <w:szCs w:val="20"/>
                <w:color w:val="auto"/>
              </w:rPr>
            </w:pPr>
            <w:r>
              <w:rPr>
                <w:rFonts w:ascii="Arial" w:cs="Arial" w:eastAsia="Arial" w:hAnsi="Arial"/>
                <w:sz w:val="18"/>
                <w:szCs w:val="18"/>
                <w:color w:val="auto"/>
              </w:rPr>
              <w:t>14,436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62,745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185,736</w:t>
            </w:r>
          </w:p>
        </w:tc>
        <w:tc>
          <w:tcPr>
            <w:tcW w:w="760" w:type="dxa"/>
            <w:vAlign w:val="bottom"/>
          </w:tcPr>
          <w:p>
            <w:pPr>
              <w:jc w:val="right"/>
              <w:spacing w:after="0"/>
              <w:rPr>
                <w:sz w:val="20"/>
                <w:szCs w:val="20"/>
                <w:color w:val="auto"/>
              </w:rPr>
            </w:pPr>
            <w:r>
              <w:rPr>
                <w:rFonts w:ascii="Arial" w:cs="Arial" w:eastAsia="Arial" w:hAnsi="Arial"/>
                <w:sz w:val="18"/>
                <w:szCs w:val="18"/>
                <w:color w:val="auto"/>
              </w:rPr>
              <w:t>173,443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20,961,948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844,400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41,976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17,274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274,814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1,837,187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54,663</w:t>
            </w:r>
          </w:p>
        </w:tc>
        <w:tc>
          <w:tcPr>
            <w:tcW w:w="640" w:type="dxa"/>
            <w:vAlign w:val="bottom"/>
          </w:tcPr>
          <w:p>
            <w:pPr>
              <w:jc w:val="right"/>
              <w:spacing w:after="0"/>
              <w:rPr>
                <w:sz w:val="20"/>
                <w:szCs w:val="20"/>
                <w:color w:val="auto"/>
              </w:rPr>
            </w:pPr>
            <w:r>
              <w:rPr>
                <w:rFonts w:ascii="Arial" w:cs="Arial" w:eastAsia="Arial" w:hAnsi="Arial"/>
                <w:sz w:val="18"/>
                <w:szCs w:val="18"/>
                <w:color w:val="auto"/>
              </w:rPr>
              <w:t>2,453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12,096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70,438</w:t>
            </w:r>
          </w:p>
        </w:tc>
        <w:tc>
          <w:tcPr>
            <w:tcW w:w="760" w:type="dxa"/>
            <w:vAlign w:val="bottom"/>
          </w:tcPr>
          <w:p>
            <w:pPr>
              <w:jc w:val="right"/>
              <w:spacing w:after="0"/>
              <w:rPr>
                <w:sz w:val="20"/>
                <w:szCs w:val="20"/>
                <w:color w:val="auto"/>
              </w:rPr>
            </w:pPr>
            <w:r>
              <w:rPr>
                <w:rFonts w:ascii="Arial" w:cs="Arial" w:eastAsia="Arial" w:hAnsi="Arial"/>
                <w:sz w:val="18"/>
                <w:szCs w:val="18"/>
                <w:color w:val="auto"/>
              </w:rPr>
              <w:t>101,949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2,078,786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7,463,049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218,639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249,292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37,609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51,038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8,194,744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880" w:type="dxa"/>
            <w:vAlign w:val="bottom"/>
          </w:tcPr>
          <w:p>
            <w:pPr>
              <w:jc w:val="right"/>
              <w:spacing w:after="0"/>
              <w:rPr>
                <w:sz w:val="20"/>
                <w:szCs w:val="20"/>
                <w:color w:val="auto"/>
              </w:rPr>
            </w:pPr>
            <w:r>
              <w:rPr>
                <w:rFonts w:ascii="Arial" w:cs="Arial" w:eastAsia="Arial" w:hAnsi="Arial"/>
                <w:sz w:val="18"/>
                <w:szCs w:val="18"/>
                <w:color w:val="auto"/>
              </w:rPr>
              <w:t>374,450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25,475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101,925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501,850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8"/>
                <w:szCs w:val="18"/>
                <w:color w:val="auto"/>
              </w:rPr>
              <w:t>6,440,601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45,068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14,986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4,344</w:t>
            </w:r>
          </w:p>
        </w:tc>
        <w:tc>
          <w:tcPr>
            <w:tcW w:w="760" w:type="dxa"/>
            <w:vAlign w:val="bottom"/>
          </w:tcPr>
          <w:p>
            <w:pPr>
              <w:jc w:val="right"/>
              <w:spacing w:after="0"/>
              <w:rPr>
                <w:sz w:val="20"/>
                <w:szCs w:val="20"/>
                <w:color w:val="auto"/>
              </w:rPr>
            </w:pPr>
            <w:r>
              <w:rPr>
                <w:rFonts w:ascii="Arial" w:cs="Arial" w:eastAsia="Arial" w:hAnsi="Arial"/>
                <w:sz w:val="18"/>
                <w:szCs w:val="18"/>
                <w:color w:val="auto"/>
              </w:rPr>
              <w:t>47,608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6,552,607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2,571,414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35,372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spacing w:after="0"/>
              <w:rPr>
                <w:sz w:val="20"/>
                <w:szCs w:val="20"/>
                <w:color w:val="auto"/>
              </w:rPr>
            </w:pPr>
            <w:r>
              <w:rPr>
                <w:rFonts w:ascii="Arial" w:cs="Arial" w:eastAsia="Arial" w:hAnsi="Arial"/>
                <w:sz w:val="18"/>
                <w:szCs w:val="18"/>
                <w:color w:val="auto"/>
              </w:rPr>
              <w:t>2,543,948</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38,235</w:t>
            </w:r>
          </w:p>
        </w:tc>
        <w:tc>
          <w:tcPr>
            <w:tcW w:w="640" w:type="dxa"/>
            <w:vAlign w:val="bottom"/>
          </w:tcPr>
          <w:p>
            <w:pPr>
              <w:jc w:val="right"/>
              <w:spacing w:after="0"/>
              <w:rPr>
                <w:sz w:val="20"/>
                <w:szCs w:val="20"/>
                <w:color w:val="auto"/>
              </w:rPr>
            </w:pPr>
            <w:r>
              <w:rPr>
                <w:rFonts w:ascii="Arial" w:cs="Arial" w:eastAsia="Arial" w:hAnsi="Arial"/>
                <w:sz w:val="18"/>
                <w:szCs w:val="18"/>
                <w:color w:val="auto"/>
              </w:rPr>
              <w:t>5,102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9,168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295</w:t>
            </w:r>
          </w:p>
        </w:tc>
        <w:tc>
          <w:tcPr>
            <w:tcW w:w="760" w:type="dxa"/>
            <w:vAlign w:val="bottom"/>
          </w:tcPr>
          <w:p>
            <w:pPr>
              <w:jc w:val="right"/>
              <w:spacing w:after="0"/>
              <w:rPr>
                <w:sz w:val="20"/>
                <w:szCs w:val="20"/>
                <w:color w:val="auto"/>
              </w:rPr>
            </w:pPr>
            <w:r>
              <w:rPr>
                <w:rFonts w:ascii="Arial" w:cs="Arial" w:eastAsia="Arial" w:hAnsi="Arial"/>
                <w:sz w:val="18"/>
                <w:szCs w:val="18"/>
                <w:color w:val="auto"/>
              </w:rPr>
              <w:t>20,474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2,617,222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58,138,080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675,418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273,081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165,163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604,779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1,065,229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60,921,750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$15,493,803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37,112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23,762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15,734,436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Real estate: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19,658,761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172,641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54,148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192,804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20,259,448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Residential builder and developer</w:t>
            </w:r>
          </w:p>
        </w:tc>
        <w:tc>
          <w:tcPr>
            <w:tcW w:w="880" w:type="dxa"/>
            <w:vAlign w:val="bottom"/>
          </w:tcPr>
          <w:p>
            <w:pPr>
              <w:jc w:val="right"/>
              <w:spacing w:after="0"/>
              <w:rPr>
                <w:sz w:val="20"/>
                <w:szCs w:val="20"/>
                <w:color w:val="auto"/>
              </w:rPr>
            </w:pPr>
            <w:r>
              <w:rPr>
                <w:rFonts w:ascii="Arial" w:cs="Arial" w:eastAsia="Arial" w:hAnsi="Arial"/>
                <w:sz w:val="18"/>
                <w:szCs w:val="18"/>
                <w:color w:val="auto"/>
              </w:rPr>
              <w:t>845,680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49,353</w:t>
            </w:r>
          </w:p>
        </w:tc>
        <w:tc>
          <w:tcPr>
            <w:tcW w:w="640" w:type="dxa"/>
            <w:vAlign w:val="bottom"/>
          </w:tcPr>
          <w:p>
            <w:pPr>
              <w:jc w:val="right"/>
              <w:spacing w:after="0"/>
              <w:rPr>
                <w:sz w:val="20"/>
                <w:szCs w:val="20"/>
                <w:color w:val="auto"/>
              </w:rPr>
            </w:pPr>
            <w:r>
              <w:rPr>
                <w:rFonts w:ascii="Arial" w:cs="Arial" w:eastAsia="Arial" w:hAnsi="Arial"/>
                <w:sz w:val="18"/>
                <w:szCs w:val="18"/>
                <w:color w:val="auto"/>
              </w:rPr>
              <w:t>13,603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21,116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297,005</w:t>
            </w:r>
          </w:p>
        </w:tc>
        <w:tc>
          <w:tcPr>
            <w:tcW w:w="760" w:type="dxa"/>
            <w:vAlign w:val="bottom"/>
          </w:tcPr>
          <w:p>
            <w:pPr>
              <w:jc w:val="right"/>
              <w:spacing w:after="0"/>
              <w:rPr>
                <w:sz w:val="20"/>
                <w:szCs w:val="20"/>
                <w:color w:val="auto"/>
              </w:rPr>
            </w:pPr>
            <w:r>
              <w:rPr>
                <w:rFonts w:ascii="Arial" w:cs="Arial" w:eastAsia="Arial" w:hAnsi="Arial"/>
                <w:sz w:val="18"/>
                <w:szCs w:val="18"/>
                <w:color w:val="auto"/>
              </w:rPr>
              <w:t>281,576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1,508,333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commercial construction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2,393,304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41,049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78,105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Residential</w:t>
            </w:r>
          </w:p>
        </w:tc>
        <w:tc>
          <w:tcPr>
            <w:tcW w:w="880" w:type="dxa"/>
            <w:vAlign w:val="bottom"/>
          </w:tcPr>
          <w:p>
            <w:pPr>
              <w:jc w:val="right"/>
              <w:spacing w:after="0"/>
              <w:rPr>
                <w:sz w:val="20"/>
                <w:szCs w:val="20"/>
                <w:color w:val="auto"/>
              </w:rPr>
            </w:pPr>
            <w:r>
              <w:rPr>
                <w:rFonts w:ascii="Arial" w:cs="Arial" w:eastAsia="Arial" w:hAnsi="Arial"/>
                <w:sz w:val="18"/>
                <w:szCs w:val="18"/>
                <w:color w:val="auto"/>
              </w:rPr>
              <w:t>6,626,182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256,017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250,472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37,982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56,741</w:t>
            </w:r>
          </w:p>
        </w:tc>
        <w:tc>
          <w:tcPr>
            <w:tcW w:w="760" w:type="dxa"/>
            <w:vAlign w:val="bottom"/>
          </w:tcPr>
          <w:p>
            <w:pPr>
              <w:jc w:val="right"/>
              <w:spacing w:after="0"/>
              <w:rPr>
                <w:sz w:val="20"/>
                <w:szCs w:val="20"/>
                <w:color w:val="auto"/>
              </w:rPr>
            </w:pPr>
            <w:r>
              <w:rPr>
                <w:rFonts w:ascii="Arial" w:cs="Arial" w:eastAsia="Arial" w:hAnsi="Arial"/>
                <w:sz w:val="18"/>
                <w:szCs w:val="18"/>
                <w:color w:val="auto"/>
              </w:rPr>
              <w:t>172,681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7,400,075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Alt-A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383,834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34,077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Consumer: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Home equity lines and loans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6,570,675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43,516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880" w:type="dxa"/>
            <w:vAlign w:val="bottom"/>
          </w:tcPr>
          <w:p>
            <w:pPr>
              <w:jc w:val="right"/>
              <w:spacing w:after="0"/>
              <w:rPr>
                <w:sz w:val="20"/>
                <w:szCs w:val="20"/>
                <w:color w:val="auto"/>
              </w:rPr>
            </w:pPr>
            <w:r>
              <w:rPr>
                <w:rFonts w:ascii="Arial" w:cs="Arial" w:eastAsia="Arial" w:hAnsi="Arial"/>
                <w:sz w:val="18"/>
                <w:szCs w:val="18"/>
                <w:color w:val="auto"/>
              </w:rPr>
              <w:t>2,644,330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48,342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2,720,108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2,551,225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57,167,794</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725,654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287,876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163,738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653,362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1,097,581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60,096,005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allowance for credit losses for the three months ended March 31, 2012 and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Commercial,</w:t>
            </w:r>
          </w:p>
        </w:tc>
        <w:tc>
          <w:tcPr>
            <w:tcW w:w="1580" w:type="dxa"/>
            <w:vAlign w:val="bottom"/>
            <w:gridSpan w:val="3"/>
            <w:vMerge w:val="restart"/>
          </w:tcPr>
          <w:p>
            <w:pPr>
              <w:ind w:left="480"/>
              <w:spacing w:after="0"/>
              <w:rPr>
                <w:sz w:val="20"/>
                <w:szCs w:val="20"/>
                <w:color w:val="auto"/>
              </w:rPr>
            </w:pPr>
            <w:r>
              <w:rPr>
                <w:rFonts w:ascii="Arial" w:cs="Arial" w:eastAsia="Arial" w:hAnsi="Arial"/>
                <w:sz w:val="14"/>
                <w:szCs w:val="14"/>
                <w:color w:val="auto"/>
              </w:rPr>
              <w:t>Real Estate</w:t>
            </w:r>
          </w:p>
        </w:tc>
        <w:tc>
          <w:tcPr>
            <w:tcW w:w="3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00" w:type="dxa"/>
            <w:vAlign w:val="bottom"/>
            <w:gridSpan w:val="2"/>
          </w:tcPr>
          <w:p>
            <w:pPr>
              <w:jc w:val="center"/>
              <w:ind w:right="300"/>
              <w:spacing w:after="0" w:line="113" w:lineRule="exact"/>
              <w:rPr>
                <w:sz w:val="20"/>
                <w:szCs w:val="20"/>
                <w:color w:val="auto"/>
              </w:rPr>
            </w:pPr>
            <w:r>
              <w:rPr>
                <w:rFonts w:ascii="Arial" w:cs="Arial" w:eastAsia="Arial" w:hAnsi="Arial"/>
                <w:sz w:val="12"/>
                <w:szCs w:val="12"/>
                <w:color w:val="auto"/>
              </w:rPr>
              <w:t>Financial,</w:t>
            </w:r>
          </w:p>
        </w:tc>
        <w:tc>
          <w:tcPr>
            <w:tcW w:w="1580" w:type="dxa"/>
            <w:vAlign w:val="bottom"/>
            <w:tcBorders>
              <w:bottom w:val="single" w:sz="8" w:color="auto"/>
            </w:tcBorders>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Leasing, etc.</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Commercial</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83"/>
              </w:rPr>
              <w:t>Residential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w w:val="86"/>
              </w:rPr>
              <w:t>Consumer</w:t>
            </w:r>
          </w:p>
        </w:tc>
        <w:tc>
          <w:tcPr>
            <w:tcW w:w="660" w:type="dxa"/>
            <w:vAlign w:val="bottom"/>
          </w:tcPr>
          <w:p>
            <w:pPr>
              <w:jc w:val="right"/>
              <w:spacing w:after="0"/>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5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2012</w:t>
            </w:r>
          </w:p>
        </w:tc>
        <w:tc>
          <w:tcPr>
            <w:tcW w:w="5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$ 234,022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367,637</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91,915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143,121</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71,595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Charge-offs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(12,718)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(28,981)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Arial" w:cs="Arial" w:eastAsia="Arial" w:hAnsi="Arial"/>
                <w:sz w:val="18"/>
                <w:szCs w:val="18"/>
                <w:color w:val="auto"/>
              </w:rPr>
              <w:t>Recoveries</w:t>
            </w:r>
          </w:p>
        </w:tc>
        <w:tc>
          <w:tcPr>
            <w:tcW w:w="700" w:type="dxa"/>
            <w:vAlign w:val="bottom"/>
          </w:tcPr>
          <w:p>
            <w:pPr>
              <w:jc w:val="right"/>
              <w:spacing w:after="0"/>
              <w:rPr>
                <w:sz w:val="20"/>
                <w:szCs w:val="20"/>
                <w:color w:val="auto"/>
              </w:rPr>
            </w:pPr>
            <w:r>
              <w:rPr>
                <w:rFonts w:ascii="Arial" w:cs="Arial" w:eastAsia="Arial" w:hAnsi="Arial"/>
                <w:sz w:val="18"/>
                <w:szCs w:val="18"/>
                <w:color w:val="auto"/>
              </w:rPr>
              <w:t>3,167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1,717</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1,874</w:t>
            </w:r>
          </w:p>
        </w:tc>
        <w:tc>
          <w:tcPr>
            <w:tcW w:w="620" w:type="dxa"/>
            <w:vAlign w:val="bottom"/>
          </w:tcPr>
          <w:p>
            <w:pPr>
              <w:jc w:val="right"/>
              <w:spacing w:after="0"/>
              <w:rPr>
                <w:sz w:val="20"/>
                <w:szCs w:val="20"/>
                <w:color w:val="auto"/>
              </w:rPr>
            </w:pPr>
            <w:r>
              <w:rPr>
                <w:rFonts w:ascii="Arial" w:cs="Arial" w:eastAsia="Arial" w:hAnsi="Arial"/>
                <w:sz w:val="18"/>
                <w:szCs w:val="18"/>
                <w:color w:val="auto"/>
              </w:rPr>
              <w:t>5,234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(10,844)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(23,747)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(48,284)</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3"/>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$ 239,273</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356,554</w:t>
            </w:r>
          </w:p>
        </w:tc>
        <w:tc>
          <w:tcPr>
            <w:tcW w:w="3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97,301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142,912</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72,966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909,006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2011</w:t>
            </w:r>
          </w:p>
        </w:tc>
        <w:tc>
          <w:tcPr>
            <w:tcW w:w="5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Beginning balance</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$ 212,579</w:t>
            </w: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400,562</w:t>
            </w: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86,351</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2"/>
              </w:rPr>
              <w:t>133,067</w:t>
            </w: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70,382</w:t>
            </w:r>
          </w:p>
        </w:tc>
        <w:tc>
          <w:tcPr>
            <w:tcW w:w="104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902,941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27,764</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Charge-offs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(14,027)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(24,579)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(16,167)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(28,321)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Arial" w:cs="Arial" w:eastAsia="Arial" w:hAnsi="Arial"/>
                <w:sz w:val="18"/>
                <w:szCs w:val="18"/>
                <w:color w:val="auto"/>
              </w:rPr>
              <w:t>Recoveries</w:t>
            </w:r>
          </w:p>
        </w:tc>
        <w:tc>
          <w:tcPr>
            <w:tcW w:w="700" w:type="dxa"/>
            <w:vAlign w:val="bottom"/>
          </w:tcPr>
          <w:p>
            <w:pPr>
              <w:jc w:val="right"/>
              <w:spacing w:after="0"/>
              <w:rPr>
                <w:sz w:val="20"/>
                <w:szCs w:val="20"/>
                <w:color w:val="auto"/>
              </w:rPr>
            </w:pPr>
            <w:r>
              <w:rPr>
                <w:rFonts w:ascii="Arial" w:cs="Arial" w:eastAsia="Arial" w:hAnsi="Arial"/>
                <w:sz w:val="18"/>
                <w:szCs w:val="18"/>
                <w:color w:val="auto"/>
              </w:rPr>
              <w:t>2,165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1,501</w:t>
            </w:r>
          </w:p>
        </w:tc>
        <w:tc>
          <w:tcPr>
            <w:tcW w:w="620" w:type="dxa"/>
            <w:vAlign w:val="bottom"/>
          </w:tcPr>
          <w:p>
            <w:pPr>
              <w:jc w:val="right"/>
              <w:spacing w:after="0"/>
              <w:rPr>
                <w:sz w:val="20"/>
                <w:szCs w:val="20"/>
                <w:color w:val="auto"/>
              </w:rPr>
            </w:pPr>
            <w:r>
              <w:rPr>
                <w:rFonts w:ascii="Arial" w:cs="Arial" w:eastAsia="Arial" w:hAnsi="Arial"/>
                <w:sz w:val="18"/>
                <w:szCs w:val="18"/>
                <w:color w:val="auto"/>
              </w:rPr>
              <w:t>4,841</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(11,862)</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(24,230)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(14,666)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(23,480)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(74,238)</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3"/>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$ 215,659</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391,107</w:t>
            </w:r>
          </w:p>
        </w:tc>
        <w:tc>
          <w:tcPr>
            <w:tcW w:w="3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87,526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137,351</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72,060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903,703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Despite the above allocation, the allowance for credit losses is general in nature and is available to absorb losses from any portfolio segment.</w:t>
      </w:r>
    </w:p>
    <w:p>
      <w:pPr>
        <w:spacing w:after="0" w:line="1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an extensive loan grading system which is applied to all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anytime. Except for consumer and residential mortgage loans that are considered smaller balance homogenous loans and acquired loans that are evaluated on an aggregate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tables provide information with respect to impaired loans and leases as of March 31, 2012 and December 31, 2011 and for the three months ended March 31, 2012 and March 31,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0"/>
              </w:rPr>
              <w:t>March 31, 2012</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December 31, 2011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90"/>
              </w:rPr>
              <w:t>Unpaid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Arial" w:cs="Arial" w:eastAsia="Arial" w:hAnsi="Arial"/>
                <w:sz w:val="14"/>
                <w:szCs w:val="14"/>
                <w:color w:val="auto"/>
                <w:w w:val="85"/>
              </w:rPr>
              <w:t>Unpaid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Recorded</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principal</w:t>
            </w:r>
          </w:p>
        </w:tc>
        <w:tc>
          <w:tcPr>
            <w:tcW w:w="20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Recorded</w:t>
            </w: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principal</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investment</w:t>
            </w:r>
          </w:p>
        </w:tc>
        <w:tc>
          <w:tcPr>
            <w:tcW w:w="18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5"/>
              </w:rPr>
              <w:t>balance</w:t>
            </w:r>
          </w:p>
        </w:tc>
        <w:tc>
          <w:tcPr>
            <w:tcW w:w="200" w:type="dxa"/>
            <w:vAlign w:val="bottom"/>
          </w:tcPr>
          <w:p>
            <w:pPr>
              <w:spacing w:after="0"/>
              <w:rPr>
                <w:sz w:val="13"/>
                <w:szCs w:val="13"/>
                <w:color w:val="auto"/>
              </w:rPr>
            </w:pPr>
          </w:p>
        </w:tc>
        <w:tc>
          <w:tcPr>
            <w:tcW w:w="8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4"/>
              </w:rPr>
              <w:t>investment</w:t>
            </w:r>
          </w:p>
        </w:tc>
        <w:tc>
          <w:tcPr>
            <w:tcW w:w="22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balance</w:t>
            </w:r>
          </w:p>
        </w:tc>
        <w:tc>
          <w:tcPr>
            <w:tcW w:w="7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124,792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150,354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47,303</w:t>
            </w:r>
          </w:p>
        </w:tc>
        <w:tc>
          <w:tcPr>
            <w:tcW w:w="740" w:type="dxa"/>
            <w:vAlign w:val="bottom"/>
          </w:tcPr>
          <w:p>
            <w:pPr>
              <w:jc w:val="right"/>
              <w:spacing w:after="0"/>
              <w:rPr>
                <w:sz w:val="20"/>
                <w:szCs w:val="20"/>
                <w:color w:val="auto"/>
              </w:rPr>
            </w:pPr>
            <w:r>
              <w:rPr>
                <w:rFonts w:ascii="Arial" w:cs="Arial" w:eastAsia="Arial" w:hAnsi="Arial"/>
                <w:sz w:val="18"/>
                <w:szCs w:val="18"/>
                <w:color w:val="auto"/>
              </w:rPr>
              <w:t>118,538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145,510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113,600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143,180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19,854</w:t>
            </w:r>
          </w:p>
        </w:tc>
        <w:tc>
          <w:tcPr>
            <w:tcW w:w="740" w:type="dxa"/>
            <w:vAlign w:val="bottom"/>
          </w:tcPr>
          <w:p>
            <w:pPr>
              <w:jc w:val="right"/>
              <w:spacing w:after="0"/>
              <w:rPr>
                <w:sz w:val="20"/>
                <w:szCs w:val="20"/>
                <w:color w:val="auto"/>
              </w:rPr>
            </w:pPr>
            <w:r>
              <w:rPr>
                <w:rFonts w:ascii="Arial" w:cs="Arial" w:eastAsia="Arial" w:hAnsi="Arial"/>
                <w:sz w:val="18"/>
                <w:szCs w:val="18"/>
                <w:color w:val="auto"/>
              </w:rPr>
              <w:t>102,886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128,456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190,289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319,845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44,597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280,869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21,467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2,924</w:t>
            </w:r>
          </w:p>
        </w:tc>
        <w:tc>
          <w:tcPr>
            <w:tcW w:w="740" w:type="dxa"/>
            <w:vAlign w:val="bottom"/>
          </w:tcPr>
          <w:p>
            <w:pPr>
              <w:jc w:val="right"/>
              <w:spacing w:after="0"/>
              <w:rPr>
                <w:sz w:val="20"/>
                <w:szCs w:val="20"/>
                <w:color w:val="auto"/>
              </w:rPr>
            </w:pPr>
            <w:r>
              <w:rPr>
                <w:rFonts w:ascii="Arial" w:cs="Arial" w:eastAsia="Arial" w:hAnsi="Arial"/>
                <w:sz w:val="18"/>
                <w:szCs w:val="18"/>
                <w:color w:val="auto"/>
              </w:rPr>
              <w:t>20,234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24,639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126,082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119,498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140,126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152,157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23,000</w:t>
            </w:r>
          </w:p>
        </w:tc>
        <w:tc>
          <w:tcPr>
            <w:tcW w:w="740" w:type="dxa"/>
            <w:vAlign w:val="bottom"/>
          </w:tcPr>
          <w:p>
            <w:pPr>
              <w:jc w:val="right"/>
              <w:spacing w:after="0"/>
              <w:rPr>
                <w:sz w:val="20"/>
                <w:szCs w:val="20"/>
                <w:color w:val="auto"/>
              </w:rPr>
            </w:pPr>
            <w:r>
              <w:rPr>
                <w:rFonts w:ascii="Arial" w:cs="Arial" w:eastAsia="Arial" w:hAnsi="Arial"/>
                <w:sz w:val="18"/>
                <w:szCs w:val="18"/>
                <w:color w:val="auto"/>
              </w:rPr>
              <w:t>150,396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162,978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12,047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2,709</w:t>
            </w:r>
          </w:p>
        </w:tc>
        <w:tc>
          <w:tcPr>
            <w:tcW w:w="740" w:type="dxa"/>
            <w:vAlign w:val="bottom"/>
          </w:tcPr>
          <w:p>
            <w:pPr>
              <w:jc w:val="right"/>
              <w:spacing w:after="0"/>
              <w:rPr>
                <w:sz w:val="20"/>
                <w:szCs w:val="20"/>
                <w:color w:val="auto"/>
              </w:rPr>
            </w:pPr>
            <w:r>
              <w:rPr>
                <w:rFonts w:ascii="Arial" w:cs="Arial" w:eastAsia="Arial" w:hAnsi="Arial"/>
                <w:sz w:val="18"/>
                <w:szCs w:val="18"/>
                <w:color w:val="auto"/>
              </w:rPr>
              <w:t>9,385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10,670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765,904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986,650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158,134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934,731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leasing, etc.</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45,608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60,778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83,706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71,636</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91,118</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85,389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100,099</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133,156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177,277</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89,439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18,840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25,511</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25,625</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65,861</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34,356</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60,942</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330,650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410,224</w:t>
            </w:r>
          </w:p>
        </w:tc>
        <w:tc>
          <w:tcPr>
            <w:tcW w:w="2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398,590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505,602</w:t>
            </w:r>
          </w:p>
        </w:tc>
        <w:tc>
          <w:tcPr>
            <w:tcW w:w="220" w:type="dxa"/>
            <w:vAlign w:val="bottom"/>
          </w:tcPr>
          <w:p>
            <w:pPr>
              <w:spacing w:after="0"/>
              <w:rPr>
                <w:sz w:val="20"/>
                <w:szCs w:val="20"/>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162,684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195,962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47,303</w:t>
            </w:r>
          </w:p>
        </w:tc>
        <w:tc>
          <w:tcPr>
            <w:tcW w:w="740" w:type="dxa"/>
            <w:vAlign w:val="bottom"/>
          </w:tcPr>
          <w:p>
            <w:pPr>
              <w:jc w:val="right"/>
              <w:spacing w:after="0"/>
              <w:rPr>
                <w:sz w:val="20"/>
                <w:szCs w:val="20"/>
                <w:color w:val="auto"/>
              </w:rPr>
            </w:pPr>
            <w:r>
              <w:rPr>
                <w:rFonts w:ascii="Arial" w:cs="Arial" w:eastAsia="Arial" w:hAnsi="Arial"/>
                <w:sz w:val="18"/>
                <w:szCs w:val="18"/>
                <w:color w:val="auto"/>
              </w:rPr>
              <w:t>171,642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206,288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179,561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226,886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19,854</w:t>
            </w:r>
          </w:p>
        </w:tc>
        <w:tc>
          <w:tcPr>
            <w:tcW w:w="740" w:type="dxa"/>
            <w:vAlign w:val="bottom"/>
          </w:tcPr>
          <w:p>
            <w:pPr>
              <w:jc w:val="right"/>
              <w:spacing w:after="0"/>
              <w:rPr>
                <w:sz w:val="20"/>
                <w:szCs w:val="20"/>
                <w:color w:val="auto"/>
              </w:rPr>
            </w:pPr>
            <w:r>
              <w:rPr>
                <w:rFonts w:ascii="Arial" w:cs="Arial" w:eastAsia="Arial" w:hAnsi="Arial"/>
                <w:sz w:val="18"/>
                <w:szCs w:val="18"/>
                <w:color w:val="auto"/>
              </w:rPr>
              <w:t>174,522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219,574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419,944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44,597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458,146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102,510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110,906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2,924</w:t>
            </w:r>
          </w:p>
        </w:tc>
        <w:tc>
          <w:tcPr>
            <w:tcW w:w="740" w:type="dxa"/>
            <w:vAlign w:val="bottom"/>
          </w:tcPr>
          <w:p>
            <w:pPr>
              <w:jc w:val="right"/>
              <w:spacing w:after="0"/>
              <w:rPr>
                <w:sz w:val="20"/>
                <w:szCs w:val="20"/>
                <w:color w:val="auto"/>
              </w:rPr>
            </w:pPr>
            <w:r>
              <w:rPr>
                <w:rFonts w:ascii="Arial" w:cs="Arial" w:eastAsia="Arial" w:hAnsi="Arial"/>
                <w:sz w:val="18"/>
                <w:szCs w:val="18"/>
                <w:color w:val="auto"/>
              </w:rPr>
              <w:t>106,886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114,501</w:t>
            </w:r>
          </w:p>
        </w:tc>
        <w:tc>
          <w:tcPr>
            <w:tcW w:w="62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151,593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145,123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177,436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218,018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23,000</w:t>
            </w:r>
          </w:p>
        </w:tc>
        <w:tc>
          <w:tcPr>
            <w:tcW w:w="740" w:type="dxa"/>
            <w:vAlign w:val="bottom"/>
          </w:tcPr>
          <w:p>
            <w:pPr>
              <w:jc w:val="right"/>
              <w:spacing w:after="0"/>
              <w:rPr>
                <w:sz w:val="20"/>
                <w:szCs w:val="20"/>
                <w:color w:val="auto"/>
              </w:rPr>
            </w:pPr>
            <w:r>
              <w:rPr>
                <w:rFonts w:ascii="Arial" w:cs="Arial" w:eastAsia="Arial" w:hAnsi="Arial"/>
                <w:sz w:val="18"/>
                <w:szCs w:val="18"/>
                <w:color w:val="auto"/>
              </w:rPr>
              <w:t>184,752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223,920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12,047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2,709</w:t>
            </w:r>
          </w:p>
        </w:tc>
        <w:tc>
          <w:tcPr>
            <w:tcW w:w="740" w:type="dxa"/>
            <w:vAlign w:val="bottom"/>
          </w:tcPr>
          <w:p>
            <w:pPr>
              <w:jc w:val="right"/>
              <w:spacing w:after="0"/>
              <w:rPr>
                <w:sz w:val="20"/>
                <w:szCs w:val="20"/>
                <w:color w:val="auto"/>
              </w:rPr>
            </w:pPr>
            <w:r>
              <w:rPr>
                <w:rFonts w:ascii="Arial" w:cs="Arial" w:eastAsia="Arial" w:hAnsi="Arial"/>
                <w:sz w:val="18"/>
                <w:szCs w:val="18"/>
                <w:color w:val="auto"/>
              </w:rPr>
              <w:t>9,385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10,670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1,096,554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1,396,874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158,134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1,123,315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1,440,333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- 18 -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left="299"/>
              <w:spacing w:after="0"/>
              <w:rPr>
                <w:sz w:val="20"/>
                <w:szCs w:val="20"/>
                <w:color w:val="auto"/>
              </w:rPr>
            </w:pPr>
            <w:r>
              <w:rPr>
                <w:rFonts w:ascii="Arial" w:cs="Arial" w:eastAsia="Arial" w:hAnsi="Arial"/>
                <w:sz w:val="14"/>
                <w:szCs w:val="14"/>
                <w:color w:val="auto"/>
                <w:w w:val="85"/>
              </w:rPr>
              <w:t>Three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center"/>
              <w:ind w:left="407"/>
              <w:spacing w:after="0"/>
              <w:rPr>
                <w:sz w:val="20"/>
                <w:szCs w:val="20"/>
                <w:color w:val="auto"/>
              </w:rPr>
            </w:pPr>
            <w:r>
              <w:rPr>
                <w:rFonts w:ascii="Arial" w:cs="Arial" w:eastAsia="Arial" w:hAnsi="Arial"/>
                <w:sz w:val="14"/>
                <w:szCs w:val="14"/>
                <w:color w:val="auto"/>
                <w:w w:val="85"/>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left="299"/>
              <w:spacing w:after="0" w:line="159" w:lineRule="exact"/>
              <w:rPr>
                <w:sz w:val="20"/>
                <w:szCs w:val="20"/>
                <w:color w:val="auto"/>
              </w:rPr>
            </w:pPr>
            <w:r>
              <w:rPr>
                <w:rFonts w:ascii="Arial" w:cs="Arial" w:eastAsia="Arial" w:hAnsi="Arial"/>
                <w:sz w:val="14"/>
                <w:szCs w:val="14"/>
                <w:color w:val="auto"/>
                <w:w w:val="88"/>
              </w:rPr>
              <w:t>March 31, 2012</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Borders>
              <w:bottom w:val="single" w:sz="8" w:color="auto"/>
            </w:tcBorders>
            <w:gridSpan w:val="4"/>
          </w:tcPr>
          <w:p>
            <w:pPr>
              <w:jc w:val="center"/>
              <w:ind w:left="407"/>
              <w:spacing w:after="0" w:line="159" w:lineRule="exact"/>
              <w:rPr>
                <w:sz w:val="20"/>
                <w:szCs w:val="20"/>
                <w:color w:val="auto"/>
              </w:rPr>
            </w:pPr>
            <w:r>
              <w:rPr>
                <w:rFonts w:ascii="Arial" w:cs="Arial" w:eastAsia="Arial" w:hAnsi="Arial"/>
                <w:sz w:val="14"/>
                <w:szCs w:val="14"/>
                <w:color w:val="auto"/>
                <w:w w:val="88"/>
              </w:rPr>
              <w:t>March 31, 2011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right"/>
              <w:ind w:right="57"/>
              <w:spacing w:after="0" w:line="131" w:lineRule="exact"/>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4"/>
              </w:rPr>
              <w:t>Average</w:t>
            </w:r>
          </w:p>
        </w:tc>
        <w:tc>
          <w:tcPr>
            <w:tcW w:w="1120" w:type="dxa"/>
            <w:vAlign w:val="bottom"/>
            <w:gridSpan w:val="3"/>
          </w:tcPr>
          <w:p>
            <w:pPr>
              <w:jc w:val="right"/>
              <w:ind w:right="177"/>
              <w:spacing w:after="0" w:line="159" w:lineRule="exact"/>
              <w:rPr>
                <w:sz w:val="20"/>
                <w:szCs w:val="20"/>
                <w:color w:val="auto"/>
              </w:rPr>
            </w:pPr>
            <w:r>
              <w:rPr>
                <w:rFonts w:ascii="Arial" w:cs="Arial" w:eastAsia="Arial" w:hAnsi="Arial"/>
                <w:sz w:val="14"/>
                <w:szCs w:val="14"/>
                <w:color w:val="auto"/>
              </w:rPr>
              <w:t>recognized</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4"/>
              </w:rPr>
              <w:t>Average</w:t>
            </w:r>
          </w:p>
        </w:tc>
        <w:tc>
          <w:tcPr>
            <w:tcW w:w="122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18"/>
        </w:trPr>
        <w:tc>
          <w:tcPr>
            <w:tcW w:w="6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recorded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17"/>
              <w:spacing w:after="0" w:line="149" w:lineRule="exact"/>
              <w:rPr>
                <w:sz w:val="20"/>
                <w:szCs w:val="20"/>
                <w:color w:val="auto"/>
              </w:rPr>
            </w:pPr>
            <w:r>
              <w:rPr>
                <w:rFonts w:ascii="Arial" w:cs="Arial" w:eastAsia="Arial" w:hAnsi="Arial"/>
                <w:sz w:val="14"/>
                <w:szCs w:val="14"/>
                <w:color w:val="auto"/>
              </w:rPr>
              <w:t>Cash</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recorded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8"/>
              </w:rPr>
              <w:t>investment</w:t>
            </w:r>
          </w:p>
        </w:tc>
        <w:tc>
          <w:tcPr>
            <w:tcW w:w="6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Total</w:t>
            </w:r>
          </w:p>
        </w:tc>
        <w:tc>
          <w:tcPr>
            <w:tcW w:w="460" w:type="dxa"/>
            <w:vAlign w:val="bottom"/>
          </w:tcPr>
          <w:p>
            <w:pPr>
              <w:jc w:val="right"/>
              <w:ind w:right="17"/>
              <w:spacing w:after="0" w:line="159" w:lineRule="exact"/>
              <w:rPr>
                <w:sz w:val="20"/>
                <w:szCs w:val="20"/>
                <w:color w:val="auto"/>
              </w:rPr>
            </w:pPr>
            <w:r>
              <w:rPr>
                <w:rFonts w:ascii="Arial" w:cs="Arial" w:eastAsia="Arial" w:hAnsi="Arial"/>
                <w:sz w:val="14"/>
                <w:szCs w:val="14"/>
                <w:color w:val="auto"/>
              </w:rPr>
              <w:t>basis</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investment</w:t>
            </w:r>
          </w:p>
        </w:tc>
        <w:tc>
          <w:tcPr>
            <w:tcW w:w="6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Total</w:t>
            </w:r>
          </w:p>
        </w:tc>
        <w:tc>
          <w:tcPr>
            <w:tcW w:w="5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700"/>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167,724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170,337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189,779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282,495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326,815</w:t>
            </w:r>
          </w:p>
        </w:tc>
        <w:tc>
          <w:tcPr>
            <w:tcW w:w="46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111,232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126,376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83,527</w:t>
            </w:r>
          </w:p>
        </w:tc>
        <w:tc>
          <w:tcPr>
            <w:tcW w:w="460" w:type="dxa"/>
            <w:vAlign w:val="bottom"/>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205,632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53,289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58,863</w:t>
            </w:r>
          </w:p>
        </w:tc>
        <w:tc>
          <w:tcPr>
            <w:tcW w:w="460" w:type="dxa"/>
            <w:vAlign w:val="bottom"/>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1,111,622</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5,580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2,759</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1,161,292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6,603</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In general, acquired loans that were recorded at estimated fair value on the acquisition date are assigned a “pass” loan grade because their net financial statement value is based on the present value of expected cash flows.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 as of March 31, 2012 and December 31, 2011.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9"/>
              </w:rPr>
              <w:t>Commercial,</w:t>
            </w: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85"/>
              </w:rPr>
              <w:t>Real Estate</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6"/>
              </w:rPr>
              <w:t>Residential</w:t>
            </w:r>
          </w:p>
        </w:tc>
        <w:tc>
          <w:tcPr>
            <w:tcW w:w="1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Financial,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Builder and</w:t>
            </w:r>
          </w:p>
        </w:tc>
        <w:tc>
          <w:tcPr>
            <w:tcW w:w="1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Commercial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color w:val="auto"/>
                <w:w w:val="88"/>
              </w:rPr>
              <w:t>Leasing, etc.</w:t>
            </w:r>
          </w:p>
        </w:tc>
        <w:tc>
          <w:tcPr>
            <w:tcW w:w="180" w:type="dxa"/>
            <w:vAlign w:val="bottom"/>
          </w:tcPr>
          <w:p>
            <w:pPr>
              <w:spacing w:after="0"/>
              <w:rPr>
                <w:sz w:val="13"/>
                <w:szCs w:val="13"/>
                <w:color w:val="auto"/>
              </w:rPr>
            </w:pPr>
          </w:p>
        </w:tc>
        <w:tc>
          <w:tcPr>
            <w:tcW w:w="10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Commercial</w:t>
            </w: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7"/>
              </w:rPr>
              <w:t>Developer</w:t>
            </w:r>
          </w:p>
        </w:tc>
        <w:tc>
          <w:tcPr>
            <w:tcW w:w="180" w:type="dxa"/>
            <w:vAlign w:val="bottom"/>
          </w:tcPr>
          <w:p>
            <w:pPr>
              <w:spacing w:after="0"/>
              <w:rPr>
                <w:sz w:val="13"/>
                <w:szCs w:val="13"/>
                <w:color w:val="auto"/>
              </w:rPr>
            </w:pP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right"/>
              <w:ind w:right="499"/>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Pass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$14,981,173</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19,901,115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1,051,018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802,862</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887,390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154,637</w:t>
            </w: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173,443</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267,065</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15,938,672</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20,961,948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1,445,821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5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$14,869,636</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19,089,252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1,085,970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Criticized 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701,202</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999,085</w:t>
            </w:r>
          </w:p>
        </w:tc>
        <w:tc>
          <w:tcPr>
            <w:tcW w:w="760" w:type="dxa"/>
            <w:vAlign w:val="bottom"/>
          </w:tcPr>
          <w:p>
            <w:pPr>
              <w:jc w:val="right"/>
              <w:spacing w:after="0"/>
              <w:rPr>
                <w:sz w:val="20"/>
                <w:szCs w:val="20"/>
                <w:color w:val="auto"/>
              </w:rPr>
            </w:pPr>
            <w:r>
              <w:rPr>
                <w:rFonts w:ascii="Arial" w:cs="Arial" w:eastAsia="Arial" w:hAnsi="Arial"/>
                <w:sz w:val="18"/>
                <w:szCs w:val="18"/>
                <w:color w:val="auto"/>
              </w:rPr>
              <w:t>140,787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282,399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163,598</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171,111</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281,576</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15,734,436</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20,259,448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1,508,333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2,643,333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determining the allowance for credit losses, residential real estate loans and consumer loans are generally evaluated collectively by loan type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M&amp;T’s Credit Department. In arriving at such forecasts, M&amp;T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0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At March 31, 2012 and December 31, 2011, the allocation of the allowance for credit losses summarized on the basis of the Company’s impairment methodology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Commercial,</w:t>
            </w:r>
          </w:p>
        </w:tc>
        <w:tc>
          <w:tcPr>
            <w:tcW w:w="2060" w:type="dxa"/>
            <w:vAlign w:val="bottom"/>
            <w:gridSpan w:val="4"/>
            <w:vMerge w:val="restart"/>
          </w:tcPr>
          <w:p>
            <w:pPr>
              <w:ind w:left="58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1000" w:type="dxa"/>
            <w:vAlign w:val="bottom"/>
            <w:gridSpan w:val="3"/>
            <w:vMerge w:val="restart"/>
          </w:tcPr>
          <w:p>
            <w:pPr>
              <w:jc w:val="right"/>
              <w:ind w:right="380"/>
              <w:spacing w:after="0" w:line="149" w:lineRule="exact"/>
              <w:rPr>
                <w:sz w:val="20"/>
                <w:szCs w:val="20"/>
                <w:color w:val="auto"/>
              </w:rPr>
            </w:pPr>
            <w:r>
              <w:rPr>
                <w:rFonts w:ascii="Arial" w:cs="Arial" w:eastAsia="Arial" w:hAnsi="Arial"/>
                <w:sz w:val="14"/>
                <w:szCs w:val="14"/>
                <w:color w:val="auto"/>
              </w:rPr>
              <w:t>Financial,</w:t>
            </w:r>
          </w:p>
        </w:tc>
        <w:tc>
          <w:tcPr>
            <w:tcW w:w="206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000" w:type="dxa"/>
            <w:vAlign w:val="bottom"/>
            <w:gridSpan w:val="3"/>
          </w:tcPr>
          <w:p>
            <w:pPr>
              <w:spacing w:after="0" w:line="159" w:lineRule="exact"/>
              <w:rPr>
                <w:sz w:val="20"/>
                <w:szCs w:val="20"/>
                <w:color w:val="auto"/>
              </w:rPr>
            </w:pPr>
            <w:r>
              <w:rPr>
                <w:rFonts w:ascii="Arial" w:cs="Arial" w:eastAsia="Arial" w:hAnsi="Arial"/>
                <w:sz w:val="14"/>
                <w:szCs w:val="14"/>
                <w:color w:val="auto"/>
              </w:rPr>
              <w:t>Leasing, etc.</w:t>
            </w:r>
          </w:p>
        </w:tc>
        <w:tc>
          <w:tcPr>
            <w:tcW w:w="980" w:type="dxa"/>
            <w:vAlign w:val="bottom"/>
            <w:gridSpan w:val="2"/>
          </w:tcPr>
          <w:p>
            <w:pPr>
              <w:spacing w:after="0" w:line="159" w:lineRule="exact"/>
              <w:rPr>
                <w:sz w:val="20"/>
                <w:szCs w:val="20"/>
                <w:color w:val="auto"/>
              </w:rPr>
            </w:pPr>
            <w:r>
              <w:rPr>
                <w:rFonts w:ascii="Arial" w:cs="Arial" w:eastAsia="Arial" w:hAnsi="Arial"/>
                <w:sz w:val="14"/>
                <w:szCs w:val="14"/>
                <w:color w:val="auto"/>
              </w:rPr>
              <w:t>Commercial</w:t>
            </w:r>
          </w:p>
        </w:tc>
        <w:tc>
          <w:tcPr>
            <w:tcW w:w="10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Residential</w:t>
            </w:r>
          </w:p>
        </w:tc>
        <w:tc>
          <w:tcPr>
            <w:tcW w:w="9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Consumer</w:t>
            </w:r>
          </w:p>
        </w:tc>
        <w:tc>
          <w:tcPr>
            <w:tcW w:w="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(in thousands)</w:t>
            </w:r>
          </w:p>
        </w:tc>
        <w:tc>
          <w:tcPr>
            <w:tcW w:w="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47,127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66,344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27,389</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16,067</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$156,927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191,970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288,770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68,261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126,348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675,349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176</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1,440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1,651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497</w:t>
            </w:r>
          </w:p>
        </w:tc>
        <w:tc>
          <w:tcPr>
            <w:tcW w:w="66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239,273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356,554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97,301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142,912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836,040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72,966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909,006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48,517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71,784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29,420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185,048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291,271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60,742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126,613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663,674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Allocated</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234,022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367,637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91,915</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143,121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908,290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recorded investment in loans and leases summarized on the basis of the Company’s impairment methodology as of March 31, 2012 and December 31, 2011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Commercial,</w:t>
            </w:r>
          </w:p>
        </w:tc>
        <w:tc>
          <w:tcPr>
            <w:tcW w:w="200" w:type="dxa"/>
            <w:vAlign w:val="bottom"/>
          </w:tcPr>
          <w:p>
            <w:pPr>
              <w:spacing w:after="0"/>
              <w:rPr>
                <w:sz w:val="14"/>
                <w:szCs w:val="14"/>
                <w:color w:val="auto"/>
              </w:rPr>
            </w:pPr>
          </w:p>
        </w:tc>
        <w:tc>
          <w:tcPr>
            <w:tcW w:w="2020" w:type="dxa"/>
            <w:vAlign w:val="bottom"/>
            <w:gridSpan w:val="4"/>
            <w:vMerge w:val="restart"/>
          </w:tcPr>
          <w:p>
            <w:pPr>
              <w:ind w:left="60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6"/>
              </w:rPr>
              <w:t>Financial,</w:t>
            </w:r>
          </w:p>
        </w:tc>
        <w:tc>
          <w:tcPr>
            <w:tcW w:w="200" w:type="dxa"/>
            <w:vAlign w:val="bottom"/>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85"/>
              </w:rPr>
              <w:t>Leasing, etc.</w:t>
            </w:r>
          </w:p>
        </w:tc>
        <w:tc>
          <w:tcPr>
            <w:tcW w:w="200" w:type="dxa"/>
            <w:vAlign w:val="bottom"/>
          </w:tcPr>
          <w:p>
            <w:pPr>
              <w:spacing w:after="0"/>
              <w:rPr>
                <w:sz w:val="13"/>
                <w:szCs w:val="13"/>
                <w:color w:val="auto"/>
              </w:rPr>
            </w:pPr>
          </w:p>
        </w:tc>
        <w:tc>
          <w:tcPr>
            <w:tcW w:w="860" w:type="dxa"/>
            <w:vAlign w:val="bottom"/>
          </w:tcPr>
          <w:p>
            <w:pPr>
              <w:jc w:val="right"/>
              <w:ind w:right="26"/>
              <w:spacing w:after="0" w:line="159" w:lineRule="exact"/>
              <w:rPr>
                <w:sz w:val="20"/>
                <w:szCs w:val="20"/>
                <w:color w:val="auto"/>
              </w:rPr>
            </w:pPr>
            <w:r>
              <w:rPr>
                <w:rFonts w:ascii="Arial" w:cs="Arial" w:eastAsia="Arial" w:hAnsi="Arial"/>
                <w:sz w:val="14"/>
                <w:szCs w:val="14"/>
                <w:color w:val="auto"/>
                <w:w w:val="99"/>
              </w:rPr>
              <w:t>Commercial</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6"/>
              </w:rPr>
              <w:t>Residential</w:t>
            </w:r>
          </w:p>
        </w:tc>
        <w:tc>
          <w:tcPr>
            <w:tcW w:w="9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162,494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547,011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303,813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72,308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1,085,626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15,758,064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23,408,556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8,341,743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11,722,982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59,231,345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18,114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530,988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51,038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15,938,672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24,486,555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8,696,594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11,799,929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60,921,750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561,615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306,320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1,110,873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15,539,232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23,281,585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7,560,104</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11,950,849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58,331,770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23,762</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567,914</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56,741</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15,734,436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24,411,114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7,923,165</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12,027,290</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60,096,005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renegotiated loans. The types of concessions that the Company grants typically include principal deferrals and interest rate concessions, but may also include other types of concessions.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6"/>
          </w:tcPr>
          <w:p>
            <w:pPr>
              <w:ind w:left="160"/>
              <w:spacing w:after="0" w:line="159" w:lineRule="exact"/>
              <w:rPr>
                <w:sz w:val="20"/>
                <w:szCs w:val="20"/>
                <w:color w:val="auto"/>
              </w:rPr>
            </w:pPr>
            <w:r>
              <w:rPr>
                <w:rFonts w:ascii="Arial" w:cs="Arial" w:eastAsia="Arial" w:hAnsi="Arial"/>
                <w:sz w:val="14"/>
                <w:szCs w:val="14"/>
                <w:color w:val="auto"/>
              </w:rPr>
              <w:t>Recorded investment</w:t>
            </w:r>
          </w:p>
        </w:tc>
        <w:tc>
          <w:tcPr>
            <w:tcW w:w="140" w:type="dxa"/>
            <w:vAlign w:val="bottom"/>
          </w:tcPr>
          <w:p>
            <w:pPr>
              <w:spacing w:after="0"/>
              <w:rPr>
                <w:sz w:val="13"/>
                <w:szCs w:val="13"/>
                <w:color w:val="auto"/>
              </w:rPr>
            </w:pPr>
          </w:p>
        </w:tc>
        <w:tc>
          <w:tcPr>
            <w:tcW w:w="138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top w:val="single" w:sz="8" w:color="auto"/>
            </w:tcBorders>
            <w:gridSpan w:val="3"/>
          </w:tcPr>
          <w:p>
            <w:pPr>
              <w:ind w:left="40"/>
              <w:spacing w:after="0" w:line="131" w:lineRule="exact"/>
              <w:rPr>
                <w:sz w:val="20"/>
                <w:szCs w:val="20"/>
                <w:color w:val="auto"/>
              </w:rPr>
            </w:pPr>
            <w:r>
              <w:rPr>
                <w:rFonts w:ascii="Arial" w:cs="Arial" w:eastAsia="Arial" w:hAnsi="Arial"/>
                <w:sz w:val="14"/>
                <w:szCs w:val="14"/>
                <w:color w:val="auto"/>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Pre-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8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4"/>
              </w:rPr>
              <w:t>Number</w:t>
            </w:r>
          </w:p>
        </w:tc>
        <w:tc>
          <w:tcPr>
            <w:tcW w:w="740" w:type="dxa"/>
            <w:vAlign w:val="bottom"/>
            <w:gridSpan w:val="3"/>
          </w:tcPr>
          <w:p>
            <w:pPr>
              <w:spacing w:after="0" w:line="159" w:lineRule="exact"/>
              <w:rPr>
                <w:sz w:val="20"/>
                <w:szCs w:val="20"/>
                <w:color w:val="auto"/>
              </w:rPr>
            </w:pPr>
            <w:r>
              <w:rPr>
                <w:rFonts w:ascii="Arial" w:cs="Arial" w:eastAsia="Arial" w:hAnsi="Arial"/>
                <w:sz w:val="14"/>
                <w:szCs w:val="14"/>
                <w:color w:val="auto"/>
                <w:w w:val="96"/>
              </w:rPr>
              <w:t>modification</w:t>
            </w:r>
          </w:p>
        </w:tc>
        <w:tc>
          <w:tcPr>
            <w:tcW w:w="360" w:type="dxa"/>
            <w:vAlign w:val="bottom"/>
          </w:tcPr>
          <w:p>
            <w:pPr>
              <w:spacing w:after="0"/>
              <w:rPr>
                <w:sz w:val="13"/>
                <w:szCs w:val="13"/>
                <w:color w:val="auto"/>
              </w:rPr>
            </w:pPr>
          </w:p>
        </w:tc>
        <w:tc>
          <w:tcPr>
            <w:tcW w:w="1080" w:type="dxa"/>
            <w:vAlign w:val="bottom"/>
            <w:gridSpan w:val="3"/>
          </w:tcPr>
          <w:p>
            <w:pPr>
              <w:spacing w:after="0" w:line="159" w:lineRule="exact"/>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3"/>
                <w:szCs w:val="13"/>
                <w:color w:val="auto"/>
              </w:rPr>
            </w:pPr>
          </w:p>
        </w:tc>
        <w:tc>
          <w:tcPr>
            <w:tcW w:w="6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color w:val="auto"/>
              </w:rPr>
              <w:t>(dollars in thousands)</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2,812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2,954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142</w:t>
            </w:r>
          </w:p>
        </w:tc>
        <w:tc>
          <w:tcPr>
            <w:tcW w:w="22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Residential builder and developer</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2,350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2,726</w:t>
            </w:r>
          </w:p>
        </w:tc>
        <w:tc>
          <w:tcPr>
            <w:tcW w:w="1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1,360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1,609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1,609</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gridSpan w:val="2"/>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445</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26,628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26,661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right"/>
              <w:ind w:right="360"/>
              <w:spacing w:after="0"/>
              <w:rPr>
                <w:sz w:val="20"/>
                <w:szCs w:val="20"/>
                <w:color w:val="auto"/>
              </w:rPr>
            </w:pPr>
            <w:r>
              <w:rPr>
                <w:rFonts w:ascii="Arial" w:cs="Arial" w:eastAsia="Arial" w:hAnsi="Arial"/>
                <w:sz w:val="14"/>
                <w:szCs w:val="14"/>
                <w:color w:val="auto"/>
                <w:w w:val="99"/>
              </w:rPr>
              <w:t>Financial effects of</w:t>
            </w:r>
          </w:p>
        </w:tc>
        <w:tc>
          <w:tcPr>
            <w:tcW w:w="0" w:type="dxa"/>
            <w:vAlign w:val="bottom"/>
          </w:tcPr>
          <w:p>
            <w:pPr>
              <w:spacing w:after="0"/>
              <w:rPr>
                <w:sz w:val="1"/>
                <w:szCs w:val="1"/>
                <w:color w:val="auto"/>
              </w:rPr>
            </w:pPr>
          </w:p>
        </w:tc>
      </w:tr>
      <w:tr>
        <w:trPr>
          <w:trHeight w:val="159"/>
        </w:trPr>
        <w:tc>
          <w:tcPr>
            <w:tcW w:w="6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jc w:val="right"/>
              <w:ind w:right="54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60"/>
              <w:spacing w:after="0" w:line="131" w:lineRule="exact"/>
              <w:rPr>
                <w:sz w:val="20"/>
                <w:szCs w:val="20"/>
                <w:color w:val="auto"/>
              </w:rPr>
            </w:pPr>
            <w:r>
              <w:rPr>
                <w:rFonts w:ascii="Arial" w:cs="Arial" w:eastAsia="Arial" w:hAnsi="Arial"/>
                <w:sz w:val="14"/>
                <w:szCs w:val="14"/>
                <w:color w:val="auto"/>
                <w:w w:val="88"/>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Pre-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Post-</w:t>
            </w:r>
          </w:p>
        </w:tc>
        <w:tc>
          <w:tcPr>
            <w:tcW w:w="1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9"/>
        </w:trPr>
        <w:tc>
          <w:tcPr>
            <w:tcW w:w="6700" w:type="dxa"/>
            <w:vAlign w:val="bottom"/>
          </w:tcPr>
          <w:p>
            <w:pPr>
              <w:spacing w:after="0"/>
              <w:rPr>
                <w:sz w:val="13"/>
                <w:szCs w:val="13"/>
                <w:color w:val="auto"/>
              </w:rPr>
            </w:pPr>
          </w:p>
        </w:tc>
        <w:tc>
          <w:tcPr>
            <w:tcW w:w="840" w:type="dxa"/>
            <w:vAlign w:val="bottom"/>
            <w:gridSpan w:val="2"/>
          </w:tcPr>
          <w:p>
            <w:pPr>
              <w:spacing w:after="0" w:line="159" w:lineRule="exact"/>
              <w:rPr>
                <w:sz w:val="20"/>
                <w:szCs w:val="20"/>
                <w:color w:val="auto"/>
              </w:rPr>
            </w:pPr>
            <w:r>
              <w:rPr>
                <w:rFonts w:ascii="Arial" w:cs="Arial" w:eastAsia="Arial" w:hAnsi="Arial"/>
                <w:sz w:val="14"/>
                <w:szCs w:val="14"/>
                <w:color w:val="auto"/>
              </w:rPr>
              <w:t>Number</w:t>
            </w:r>
          </w:p>
        </w:tc>
        <w:tc>
          <w:tcPr>
            <w:tcW w:w="70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8"/>
              </w:rPr>
              <w:t>modification</w:t>
            </w:r>
          </w:p>
        </w:tc>
        <w:tc>
          <w:tcPr>
            <w:tcW w:w="420" w:type="dxa"/>
            <w:vAlign w:val="bottom"/>
          </w:tcPr>
          <w:p>
            <w:pPr>
              <w:spacing w:after="0"/>
              <w:rPr>
                <w:sz w:val="13"/>
                <w:szCs w:val="13"/>
                <w:color w:val="auto"/>
              </w:rPr>
            </w:pPr>
          </w:p>
        </w:tc>
        <w:tc>
          <w:tcPr>
            <w:tcW w:w="980" w:type="dxa"/>
            <w:vAlign w:val="bottom"/>
            <w:gridSpan w:val="3"/>
          </w:tcPr>
          <w:p>
            <w:pPr>
              <w:spacing w:after="0" w:line="159" w:lineRule="exact"/>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1,349</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1,334</w:t>
            </w:r>
          </w:p>
        </w:tc>
        <w:tc>
          <w:tcPr>
            <w:tcW w:w="2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116,002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108,394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(7,608)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Other commercial construction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Residential Alt-A</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Automobile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485</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147,951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140,449</w:t>
            </w:r>
          </w:p>
        </w:tc>
        <w:tc>
          <w:tcPr>
            <w:tcW w:w="2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(7,502)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(1,512)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Loans that were modified as troubled debt restructurings during the twelve months ended March 31, 2012 and 2011 and for which there was a subsequent payment default during the three-month periods ended March 31, 2012 and 2011, respectively, were not material.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M&amp;T had $1.2 billion of fixed and floating rate junior subordinated deferrable interest debentures (“Junior Subordinated Debentures”) outstanding at March 31, 2012 that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Federal Reserve Board’s current risk-based capital guidelines, the Capital Securities are includable in M&amp;T’s Tier 1 capital. However, the Dodd-Frank Wall Street Reform and Consumer Protection Act of 2010 that was signed into law on July 21, 2010 provides for a three-year phase-in related to the exclusion of trust preferred capital securities from Tier 1 capital for large financial institutions, including M&amp;T. That phase-in period begins on January 1, 2013.</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2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164" w:lineRule="exact"/>
        <w:rPr>
          <w:sz w:val="20"/>
          <w:szCs w:val="20"/>
          <w:color w:val="auto"/>
        </w:rPr>
      </w:pPr>
    </w:p>
    <w:p>
      <w:pPr>
        <w:ind w:right="120" w:firstLine="8"/>
        <w:spacing w:after="0" w:line="259"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Including the unamortized portions of acquisition accounting adjustments to reflect estimated fair value at the acquisition dates of the Common Securities of various trusts, the Junior Subordinated Debentures associated with Capital Securities had financial statement carrying values of $1.2 billion at each of March 31, 2012 and December 31, 2011.</w:t>
      </w:r>
    </w:p>
    <w:p>
      <w:pPr>
        <w:spacing w:after="0" w:line="17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center"/>
              <w:ind w:right="252"/>
              <w:spacing w:after="0"/>
              <w:rPr>
                <w:sz w:val="20"/>
                <w:szCs w:val="20"/>
                <w:color w:val="auto"/>
              </w:rPr>
            </w:pPr>
            <w:r>
              <w:rPr>
                <w:rFonts w:ascii="Arial" w:cs="Arial" w:eastAsia="Arial" w:hAnsi="Arial"/>
                <w:sz w:val="14"/>
                <w:szCs w:val="14"/>
                <w:color w:val="auto"/>
                <w:w w:val="90"/>
              </w:rPr>
              <w:t>Carrying</w:t>
            </w:r>
          </w:p>
        </w:tc>
        <w:tc>
          <w:tcPr>
            <w:tcW w:w="1220" w:type="dxa"/>
            <w:vAlign w:val="bottom"/>
            <w:gridSpan w:val="2"/>
          </w:tcPr>
          <w:p>
            <w:pPr>
              <w:jc w:val="center"/>
              <w:ind w:left="144"/>
              <w:spacing w:after="0"/>
              <w:rPr>
                <w:sz w:val="20"/>
                <w:szCs w:val="20"/>
                <w:color w:val="auto"/>
              </w:rPr>
            </w:pPr>
            <w:r>
              <w:rPr>
                <w:rFonts w:ascii="Arial" w:cs="Arial" w:eastAsia="Arial" w:hAnsi="Arial"/>
                <w:sz w:val="14"/>
                <w:szCs w:val="14"/>
                <w:color w:val="auto"/>
                <w:w w:val="90"/>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640" w:type="dxa"/>
            <w:vAlign w:val="bottom"/>
          </w:tcPr>
          <w:p>
            <w:pPr>
              <w:spacing w:after="0"/>
              <w:rPr>
                <w:sz w:val="12"/>
                <w:szCs w:val="12"/>
                <w:color w:val="auto"/>
              </w:rPr>
            </w:pPr>
          </w:p>
        </w:tc>
        <w:tc>
          <w:tcPr>
            <w:tcW w:w="1000" w:type="dxa"/>
            <w:vAlign w:val="bottom"/>
          </w:tcPr>
          <w:p>
            <w:pPr>
              <w:jc w:val="center"/>
              <w:ind w:right="272"/>
              <w:spacing w:after="0" w:line="149" w:lineRule="exact"/>
              <w:rPr>
                <w:sz w:val="20"/>
                <w:szCs w:val="20"/>
                <w:color w:val="auto"/>
              </w:rPr>
            </w:pPr>
            <w:r>
              <w:rPr>
                <w:rFonts w:ascii="Arial" w:cs="Arial" w:eastAsia="Arial" w:hAnsi="Arial"/>
                <w:sz w:val="14"/>
                <w:szCs w:val="14"/>
                <w:color w:val="auto"/>
                <w:w w:val="89"/>
              </w:rPr>
              <w:t>value</w:t>
            </w:r>
          </w:p>
        </w:tc>
        <w:tc>
          <w:tcPr>
            <w:tcW w:w="1220" w:type="dxa"/>
            <w:vAlign w:val="bottom"/>
            <w:gridSpan w:val="2"/>
          </w:tcPr>
          <w:p>
            <w:pPr>
              <w:jc w:val="center"/>
              <w:ind w:left="144"/>
              <w:spacing w:after="0" w:line="14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issued and</w:t>
            </w:r>
          </w:p>
        </w:tc>
        <w:tc>
          <w:tcPr>
            <w:tcW w:w="640" w:type="dxa"/>
            <w:vAlign w:val="bottom"/>
          </w:tcPr>
          <w:p>
            <w:pPr>
              <w:spacing w:after="0"/>
              <w:rPr>
                <w:sz w:val="12"/>
                <w:szCs w:val="12"/>
                <w:color w:val="auto"/>
              </w:rPr>
            </w:pPr>
          </w:p>
        </w:tc>
        <w:tc>
          <w:tcPr>
            <w:tcW w:w="1000" w:type="dxa"/>
            <w:vAlign w:val="bottom"/>
          </w:tcPr>
          <w:p>
            <w:pPr>
              <w:jc w:val="center"/>
              <w:ind w:right="292"/>
              <w:spacing w:after="0" w:line="149" w:lineRule="exact"/>
              <w:rPr>
                <w:sz w:val="20"/>
                <w:szCs w:val="20"/>
                <w:color w:val="auto"/>
              </w:rPr>
            </w:pPr>
            <w:r>
              <w:rPr>
                <w:rFonts w:ascii="Arial" w:cs="Arial" w:eastAsia="Arial" w:hAnsi="Arial"/>
                <w:sz w:val="14"/>
                <w:szCs w:val="14"/>
                <w:color w:val="auto"/>
                <w:w w:val="89"/>
              </w:rPr>
              <w:t>March 31,</w:t>
            </w:r>
          </w:p>
        </w:tc>
        <w:tc>
          <w:tcPr>
            <w:tcW w:w="1220" w:type="dxa"/>
            <w:vAlign w:val="bottom"/>
            <w:gridSpan w:val="2"/>
          </w:tcPr>
          <w:p>
            <w:pPr>
              <w:jc w:val="center"/>
              <w:ind w:left="104"/>
              <w:spacing w:after="0" w:line="149" w:lineRule="exact"/>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940" w:type="dxa"/>
            <w:vAlign w:val="bottom"/>
            <w:gridSpan w:val="2"/>
          </w:tcPr>
          <w:p>
            <w:pPr>
              <w:jc w:val="center"/>
              <w:ind w:left="197"/>
              <w:spacing w:after="0" w:line="159" w:lineRule="exact"/>
              <w:rPr>
                <w:sz w:val="20"/>
                <w:szCs w:val="20"/>
                <w:color w:val="auto"/>
              </w:rPr>
            </w:pPr>
            <w:r>
              <w:rPr>
                <w:rFonts w:ascii="Arial" w:cs="Arial" w:eastAsia="Arial" w:hAnsi="Arial"/>
                <w:sz w:val="14"/>
                <w:szCs w:val="14"/>
                <w:color w:val="auto"/>
                <w:w w:val="85"/>
              </w:rPr>
              <w:t>outstanding</w:t>
            </w:r>
          </w:p>
        </w:tc>
        <w:tc>
          <w:tcPr>
            <w:tcW w:w="1640" w:type="dxa"/>
            <w:vAlign w:val="bottom"/>
            <w:gridSpan w:val="2"/>
          </w:tcPr>
          <w:p>
            <w:pPr>
              <w:jc w:val="center"/>
              <w:ind w:left="217"/>
              <w:spacing w:after="0" w:line="159" w:lineRule="exact"/>
              <w:rPr>
                <w:sz w:val="20"/>
                <w:szCs w:val="20"/>
                <w:color w:val="auto"/>
              </w:rPr>
            </w:pPr>
            <w:r>
              <w:rPr>
                <w:rFonts w:ascii="Arial" w:cs="Arial" w:eastAsia="Arial" w:hAnsi="Arial"/>
                <w:sz w:val="14"/>
                <w:szCs w:val="14"/>
                <w:color w:val="auto"/>
                <w:w w:val="83"/>
              </w:rPr>
              <w:t>2012</w:t>
            </w:r>
          </w:p>
        </w:tc>
        <w:tc>
          <w:tcPr>
            <w:tcW w:w="1120" w:type="dxa"/>
            <w:vAlign w:val="bottom"/>
          </w:tcPr>
          <w:p>
            <w:pPr>
              <w:jc w:val="center"/>
              <w:ind w:left="224"/>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120" w:type="dxa"/>
            <w:vAlign w:val="bottom"/>
            <w:tcBorders>
              <w:top w:val="single" w:sz="8" w:color="auto"/>
            </w:tcBorders>
            <w:gridSpan w:val="2"/>
          </w:tcPr>
          <w:p>
            <w:pPr>
              <w:jc w:val="right"/>
              <w:ind w:right="404"/>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Series A (a)(b)</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Fixed Rate Cumulative Perpetual Preferred Stock, Series A,</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$1,000 liquidation preference per share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640" w:type="dxa"/>
            <w:vAlign w:val="bottom"/>
            <w:gridSpan w:val="2"/>
          </w:tcPr>
          <w:p>
            <w:pPr>
              <w:jc w:val="right"/>
              <w:ind w:right="272"/>
              <w:spacing w:after="0"/>
              <w:rPr>
                <w:sz w:val="20"/>
                <w:szCs w:val="20"/>
                <w:color w:val="auto"/>
              </w:rPr>
            </w:pPr>
            <w:r>
              <w:rPr>
                <w:rFonts w:ascii="Arial" w:cs="Arial" w:eastAsia="Arial" w:hAnsi="Arial"/>
                <w:sz w:val="18"/>
                <w:szCs w:val="18"/>
                <w:color w:val="auto"/>
              </w:rPr>
              <w:t>$224,919</w:t>
            </w:r>
          </w:p>
        </w:tc>
        <w:tc>
          <w:tcPr>
            <w:tcW w:w="1120" w:type="dxa"/>
            <w:vAlign w:val="bottom"/>
          </w:tcPr>
          <w:p>
            <w:pPr>
              <w:jc w:val="right"/>
              <w:spacing w:after="0"/>
              <w:rPr>
                <w:sz w:val="20"/>
                <w:szCs w:val="20"/>
                <w:color w:val="auto"/>
              </w:rPr>
            </w:pPr>
            <w:r>
              <w:rPr>
                <w:rFonts w:ascii="Arial" w:cs="Arial" w:eastAsia="Arial" w:hAnsi="Arial"/>
                <w:sz w:val="18"/>
                <w:szCs w:val="18"/>
                <w:color w:val="auto"/>
              </w:rPr>
              <w:t>$  224,277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Fixed Rate Cumulative Perpetual Preferred Stock, Series C,</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$1,000 liquidation preference per share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151,500</w:t>
            </w:r>
          </w:p>
        </w:tc>
        <w:tc>
          <w:tcPr>
            <w:tcW w:w="1640" w:type="dxa"/>
            <w:vAlign w:val="bottom"/>
            <w:gridSpan w:val="2"/>
          </w:tcPr>
          <w:p>
            <w:pPr>
              <w:jc w:val="right"/>
              <w:ind w:right="272"/>
              <w:spacing w:after="0"/>
              <w:rPr>
                <w:sz w:val="20"/>
                <w:szCs w:val="20"/>
                <w:color w:val="auto"/>
              </w:rPr>
            </w:pPr>
            <w:r>
              <w:rPr>
                <w:rFonts w:ascii="Arial" w:cs="Arial" w:eastAsia="Arial" w:hAnsi="Arial"/>
                <w:sz w:val="18"/>
                <w:szCs w:val="18"/>
                <w:color w:val="auto"/>
              </w:rPr>
              <w:t>141,570</w:t>
            </w:r>
          </w:p>
        </w:tc>
        <w:tc>
          <w:tcPr>
            <w:tcW w:w="1120" w:type="dxa"/>
            <w:vAlign w:val="bottom"/>
          </w:tcPr>
          <w:p>
            <w:pPr>
              <w:jc w:val="right"/>
              <w:spacing w:after="0"/>
              <w:rPr>
                <w:sz w:val="20"/>
                <w:szCs w:val="20"/>
                <w:color w:val="auto"/>
              </w:rPr>
            </w:pPr>
            <w:r>
              <w:rPr>
                <w:rFonts w:ascii="Arial" w:cs="Arial" w:eastAsia="Arial" w:hAnsi="Arial"/>
                <w:sz w:val="18"/>
                <w:szCs w:val="18"/>
                <w:color w:val="auto"/>
              </w:rPr>
              <w:t>140,308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Series D (d)</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3"/>
              </w:rPr>
              <w:t>Fixed Rate Non-Cumulative Perpetual Preferred Stock, Series D,</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$10,000 liquidation preference per share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640" w:type="dxa"/>
            <w:vAlign w:val="bottom"/>
            <w:gridSpan w:val="2"/>
          </w:tcPr>
          <w:p>
            <w:pPr>
              <w:jc w:val="right"/>
              <w:ind w:right="272"/>
              <w:spacing w:after="0"/>
              <w:rPr>
                <w:sz w:val="20"/>
                <w:szCs w:val="20"/>
                <w:color w:val="auto"/>
              </w:rPr>
            </w:pPr>
            <w:r>
              <w:rPr>
                <w:rFonts w:ascii="Arial" w:cs="Arial" w:eastAsia="Arial" w:hAnsi="Arial"/>
                <w:sz w:val="18"/>
                <w:szCs w:val="18"/>
                <w:color w:val="auto"/>
              </w:rPr>
              <w:t>500,000</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line="251" w:lineRule="auto"/>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3" w:lineRule="exact"/>
        <w:rPr>
          <w:rFonts w:ascii="Arial" w:cs="Arial" w:eastAsia="Arial" w:hAnsi="Arial"/>
          <w:sz w:val="18"/>
          <w:szCs w:val="18"/>
          <w:i w:val="1"/>
          <w:iCs w:val="1"/>
          <w:color w:val="auto"/>
        </w:rPr>
      </w:pPr>
    </w:p>
    <w:p>
      <w:pPr>
        <w:ind w:left="460" w:right="60" w:hanging="452"/>
        <w:spacing w:after="0" w:line="261" w:lineRule="auto"/>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On May 18, 2011, M&amp;T redeemed and retired 370,000 shares of Series A Preferred Stock. Accelerated amortization of preferred stock discount associated with the redemption was $11.2 million.</w:t>
      </w:r>
    </w:p>
    <w:p>
      <w:pPr>
        <w:spacing w:after="0" w:line="124" w:lineRule="exact"/>
        <w:rPr>
          <w:rFonts w:ascii="Arial" w:cs="Arial" w:eastAsia="Arial" w:hAnsi="Arial"/>
          <w:sz w:val="18"/>
          <w:szCs w:val="18"/>
          <w:i w:val="1"/>
          <w:iCs w:val="1"/>
          <w:color w:val="auto"/>
        </w:rPr>
      </w:pPr>
    </w:p>
    <w:p>
      <w:pPr>
        <w:ind w:left="5620" w:hanging="96"/>
        <w:spacing w:after="0"/>
        <w:tabs>
          <w:tab w:leader="none" w:pos="5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15" w:lineRule="exact"/>
        <w:rPr>
          <w:rFonts w:ascii="Arial" w:cs="Arial" w:eastAsia="Arial" w:hAnsi="Arial"/>
          <w:sz w:val="18"/>
          <w:szCs w:val="18"/>
          <w:i w:val="1"/>
          <w:iCs w:val="1"/>
          <w:color w:val="auto"/>
        </w:rPr>
      </w:pPr>
    </w:p>
    <w:p>
      <w:pPr>
        <w:ind w:left="460" w:hanging="452"/>
        <w:spacing w:after="0" w:line="255" w:lineRule="auto"/>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on May 31, 2011. 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to the Series A and Series C warrants mentioned in (a) above, a ten-year warrant to purchase 95,383 shares of M&amp;T common stock at $518.96 per share was outstanding at March 31, 2012 and December 31, 2011. This warrant was issued by Wilmington Trust in December 2008 as part of the Troubled Asset Relief Program – Capital Purchase Program of the U.S. Treasury along with $330 million of fixed rate cumulative perpetual preferred stock, which was redeemed by M&amp;T immediately prior to the May 16, 2011 acquisition of Wilmington Trust.</w:t>
      </w:r>
    </w:p>
    <w:p>
      <w:pPr>
        <w:spacing w:after="0" w:line="22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for defined benefit plans consisted of the following:</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left="240"/>
              <w:spacing w:after="0"/>
              <w:rPr>
                <w:sz w:val="20"/>
                <w:szCs w:val="20"/>
                <w:color w:val="auto"/>
              </w:rPr>
            </w:pPr>
            <w:r>
              <w:rPr>
                <w:rFonts w:ascii="Arial" w:cs="Arial" w:eastAsia="Arial" w:hAnsi="Arial"/>
                <w:sz w:val="14"/>
                <w:szCs w:val="14"/>
                <w:color w:val="auto"/>
                <w:w w:val="91"/>
              </w:rPr>
              <w:t>Other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7"/>
              </w:rPr>
              <w:t>postretirement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left="240"/>
              <w:spacing w:after="0" w:line="159" w:lineRule="exact"/>
              <w:rPr>
                <w:sz w:val="20"/>
                <w:szCs w:val="20"/>
                <w:color w:val="auto"/>
              </w:rPr>
            </w:pPr>
            <w:r>
              <w:rPr>
                <w:rFonts w:ascii="Arial" w:cs="Arial" w:eastAsia="Arial" w:hAnsi="Arial"/>
                <w:sz w:val="14"/>
                <w:szCs w:val="14"/>
                <w:color w:val="auto"/>
                <w:w w:val="89"/>
              </w:rPr>
              <w:t>benefits</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60" w:type="dxa"/>
            <w:vAlign w:val="bottom"/>
            <w:gridSpan w:val="5"/>
          </w:tcPr>
          <w:p>
            <w:pPr>
              <w:ind w:left="140"/>
              <w:spacing w:after="0" w:line="131" w:lineRule="exact"/>
              <w:rPr>
                <w:sz w:val="20"/>
                <w:szCs w:val="20"/>
                <w:color w:val="auto"/>
              </w:rPr>
            </w:pPr>
            <w:r>
              <w:rPr>
                <w:rFonts w:ascii="Arial" w:cs="Arial" w:eastAsia="Arial" w:hAnsi="Arial"/>
                <w:sz w:val="14"/>
                <w:szCs w:val="14"/>
                <w:color w:val="auto"/>
              </w:rPr>
              <w:t>Three months ended March 31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160"/>
              <w:spacing w:after="0" w:line="159" w:lineRule="exact"/>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80"/>
              <w:spacing w:after="0" w:line="159"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color w:val="auto"/>
                <w:w w:val="92"/>
              </w:rPr>
              <w:t>(in thousands)</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175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15,600</w:t>
            </w:r>
          </w:p>
        </w:tc>
        <w:tc>
          <w:tcPr>
            <w:tcW w:w="4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12,150</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950</w:t>
            </w:r>
          </w:p>
        </w:tc>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79"/>
              </w:rPr>
              <w:t>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(17,675)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(12,700)</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(1,650)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(1,650)</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100</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16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13,575</w:t>
            </w:r>
          </w:p>
        </w:tc>
        <w:tc>
          <w:tcPr>
            <w:tcW w:w="4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8,200</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1,225</w:t>
            </w:r>
          </w:p>
        </w:tc>
        <w:tc>
          <w:tcPr>
            <w:tcW w:w="3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79"/>
              </w:rPr>
              <w:t>925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$14,625,000 and $10,176,000 for the three months ended March 31, 2012 and 2011,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438"/>
              <w:spacing w:after="0" w:line="149" w:lineRule="exact"/>
              <w:rPr>
                <w:sz w:val="20"/>
                <w:szCs w:val="20"/>
                <w:color w:val="auto"/>
              </w:rPr>
            </w:pPr>
            <w:r>
              <w:rPr>
                <w:rFonts w:ascii="Arial" w:cs="Arial" w:eastAsia="Arial" w:hAnsi="Arial"/>
                <w:sz w:val="14"/>
                <w:szCs w:val="14"/>
                <w:color w:val="auto"/>
                <w:w w:val="89"/>
              </w:rPr>
              <w:t>March 31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spacing w:after="0" w:line="142" w:lineRule="exact"/>
              <w:rPr>
                <w:sz w:val="20"/>
                <w:szCs w:val="20"/>
                <w:color w:val="auto"/>
              </w:rPr>
            </w:pPr>
            <w:r>
              <w:rPr>
                <w:rFonts w:ascii="Arial" w:cs="Arial" w:eastAsia="Arial" w:hAnsi="Arial"/>
                <w:sz w:val="14"/>
                <w:szCs w:val="14"/>
                <w:color w:val="auto"/>
                <w:w w:val="84"/>
              </w:rPr>
              <w:t>(in thousands, except per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206,463</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206,273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 (a)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40"/>
              <w:spacing w:after="0"/>
              <w:rPr>
                <w:sz w:val="20"/>
                <w:szCs w:val="20"/>
                <w:color w:val="auto"/>
              </w:rPr>
            </w:pPr>
            <w:r>
              <w:rPr>
                <w:rFonts w:ascii="Arial" w:cs="Arial" w:eastAsia="Arial" w:hAnsi="Arial"/>
                <w:sz w:val="18"/>
                <w:szCs w:val="18"/>
                <w:color w:val="auto"/>
              </w:rPr>
              <w:t>Amortization of preferred stock discount (a)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(1,924)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to common equity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(2,940)</w:t>
            </w: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188,236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shares outstanding (including common stock issuable) and unvested stock-</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based compensation awards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127,157</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(1,937)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8.</w:t>
            </w:r>
          </w:p>
        </w:tc>
        <w:tc>
          <w:tcPr>
            <w:tcW w:w="7580" w:type="dxa"/>
            <w:vAlign w:val="bottom"/>
            <w:gridSpan w:val="2"/>
          </w:tcPr>
          <w:p>
            <w:pPr>
              <w:ind w:left="160"/>
              <w:spacing w:after="0"/>
              <w:rPr>
                <w:sz w:val="20"/>
                <w:szCs w:val="20"/>
                <w:color w:val="auto"/>
              </w:rPr>
            </w:pPr>
            <w:r>
              <w:rPr>
                <w:rFonts w:ascii="Arial" w:cs="Arial" w:eastAsia="Arial" w:hAnsi="Arial"/>
                <w:sz w:val="18"/>
                <w:szCs w:val="18"/>
                <w:b w:val="1"/>
                <w:bCs w:val="1"/>
                <w:color w:val="auto"/>
              </w:rPr>
              <w:t>Earnings per common share, continued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7580" w:type="dxa"/>
            <w:vAlign w:val="bottom"/>
            <w:gridSpan w:val="2"/>
          </w:tcPr>
          <w:p>
            <w:pPr>
              <w:ind w:left="160"/>
              <w:spacing w:after="0"/>
              <w:rPr>
                <w:sz w:val="20"/>
                <w:szCs w:val="20"/>
                <w:color w:val="auto"/>
              </w:rPr>
            </w:pPr>
            <w:r>
              <w:rPr>
                <w:rFonts w:ascii="Arial" w:cs="Arial" w:eastAsia="Arial" w:hAnsi="Arial"/>
                <w:sz w:val="18"/>
                <w:szCs w:val="18"/>
                <w:color w:val="auto"/>
              </w:rPr>
              <w:t>The computations of diluted earnings per common share follow:</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left="459"/>
              <w:spacing w:after="0" w:line="149" w:lineRule="exact"/>
              <w:rPr>
                <w:sz w:val="20"/>
                <w:szCs w:val="20"/>
                <w:color w:val="auto"/>
              </w:rPr>
            </w:pPr>
            <w:r>
              <w:rPr>
                <w:rFonts w:ascii="Arial" w:cs="Arial" w:eastAsia="Arial" w:hAnsi="Arial"/>
                <w:sz w:val="14"/>
                <w:szCs w:val="14"/>
                <w:color w:val="auto"/>
                <w:w w:val="89"/>
              </w:rPr>
              <w:t>March 31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line="159"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14"/>
              <w:spacing w:after="0" w:line="142" w:lineRule="exact"/>
              <w:rPr>
                <w:sz w:val="20"/>
                <w:szCs w:val="20"/>
                <w:color w:val="auto"/>
              </w:rPr>
            </w:pPr>
            <w:r>
              <w:rPr>
                <w:rFonts w:ascii="Arial" w:cs="Arial" w:eastAsia="Arial" w:hAnsi="Arial"/>
                <w:sz w:val="14"/>
                <w:szCs w:val="14"/>
                <w:color w:val="auto"/>
                <w:w w:val="85"/>
              </w:rPr>
              <w:t>(in thousands, except per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08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 w:type="dxa"/>
            <w:vAlign w:val="bottom"/>
          </w:tcPr>
          <w:p>
            <w:pPr>
              <w:spacing w:after="0"/>
              <w:rPr>
                <w:sz w:val="24"/>
                <w:szCs w:val="24"/>
                <w:color w:val="auto"/>
              </w:rPr>
            </w:pPr>
          </w:p>
        </w:tc>
        <w:tc>
          <w:tcPr>
            <w:tcW w:w="7580" w:type="dxa"/>
            <w:vAlign w:val="bottom"/>
            <w:gridSpan w:val="2"/>
          </w:tcPr>
          <w:p>
            <w:pPr>
              <w:ind w:left="1080"/>
              <w:spacing w:after="0"/>
              <w:rPr>
                <w:sz w:val="20"/>
                <w:szCs w:val="20"/>
                <w:color w:val="auto"/>
              </w:rPr>
            </w:pPr>
            <w:r>
              <w:rPr>
                <w:rFonts w:ascii="Arial" w:cs="Arial" w:eastAsia="Arial" w:hAnsi="Arial"/>
                <w:sz w:val="18"/>
                <w:szCs w:val="18"/>
                <w:color w:val="auto"/>
              </w:rPr>
              <w:t>Adjusted weighted-average shares outstanding: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Common shares outstanding (including common stock issuable) and unvested stock-</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based compensation awards</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127,157</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120,992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Plus: Incremental shares from assumed conversion of stock-based compensation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 and convertible preferred stock</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300" w:type="dxa"/>
            <w:vAlign w:val="bottom"/>
          </w:tcPr>
          <w:p>
            <w:pPr>
              <w:spacing w:after="0"/>
              <w:rPr>
                <w:sz w:val="24"/>
                <w:szCs w:val="24"/>
                <w:color w:val="auto"/>
              </w:rPr>
            </w:pPr>
          </w:p>
        </w:tc>
        <w:tc>
          <w:tcPr>
            <w:tcW w:w="7580" w:type="dxa"/>
            <w:vAlign w:val="bottom"/>
            <w:gridSpan w:val="2"/>
          </w:tcPr>
          <w:p>
            <w:pPr>
              <w:ind w:left="1080"/>
              <w:spacing w:after="0"/>
              <w:rPr>
                <w:sz w:val="20"/>
                <w:szCs w:val="20"/>
                <w:color w:val="auto"/>
              </w:rPr>
            </w:pPr>
            <w:r>
              <w:rPr>
                <w:rFonts w:ascii="Arial" w:cs="Arial" w:eastAsia="Arial" w:hAnsi="Arial"/>
                <w:sz w:val="18"/>
                <w:szCs w:val="18"/>
                <w:color w:val="auto"/>
              </w:rPr>
              <w:t>Adjusted weighted-average shares outstanding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125,616</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119,852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08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Stock-based compensation awards, warrants to purchase common stock of M&amp;T and preferred stock convertible into shares of M&amp;T common stock representing approximately 10.0 million and 10.5 million common shares during the three-month periods ended March 31, 2012 and 2011, respectively, were not included in the computations of diluted earnings per common share because the effect on those periods would have been antidilutive.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Income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1"/>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77"/>
              </w:rPr>
              <w:t>taxes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color w:val="auto"/>
                <w:w w:val="87"/>
              </w:rPr>
              <w:t>(in thousands)</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March 31, 2012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Unrealized gains (losses) on investment securities: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8"/>
              </w:rPr>
              <w:t>Available-for-sale (“AFS”) investment securities with other-than-temporary impairment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(“OTTI”):</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6740" w:type="dxa"/>
            <w:vAlign w:val="bottom"/>
          </w:tcPr>
          <w:p>
            <w:pPr>
              <w:ind w:left="440"/>
              <w:spacing w:after="0"/>
              <w:rPr>
                <w:sz w:val="20"/>
                <w:szCs w:val="20"/>
                <w:color w:val="auto"/>
              </w:rPr>
            </w:pPr>
            <w:r>
              <w:rPr>
                <w:rFonts w:ascii="Arial" w:cs="Arial" w:eastAsia="Arial" w:hAnsi="Arial"/>
                <w:sz w:val="18"/>
                <w:szCs w:val="18"/>
                <w:color w:val="auto"/>
              </w:rPr>
              <w:t>Unrealized holding losses, net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(8,242)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3,235</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(5,007)</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OTTI charges recognized in 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(7,676)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(4,663)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880"/>
              <w:spacing w:after="0"/>
              <w:rPr>
                <w:sz w:val="20"/>
                <w:szCs w:val="20"/>
                <w:color w:val="auto"/>
              </w:rPr>
            </w:pPr>
            <w:r>
              <w:rPr>
                <w:rFonts w:ascii="Arial" w:cs="Arial" w:eastAsia="Arial" w:hAnsi="Arial"/>
                <w:sz w:val="18"/>
                <w:szCs w:val="18"/>
                <w:color w:val="auto"/>
              </w:rPr>
              <w:t>Net change for AFS investment securities with OTTI</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10"/>
        </w:trPr>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AFS investment securities – all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40" w:type="dxa"/>
            <w:vAlign w:val="bottom"/>
          </w:tcPr>
          <w:p>
            <w:pPr>
              <w:ind w:left="440"/>
              <w:spacing w:after="0"/>
              <w:rPr>
                <w:sz w:val="20"/>
                <w:szCs w:val="20"/>
                <w:color w:val="auto"/>
              </w:rPr>
            </w:pPr>
            <w:r>
              <w:rPr>
                <w:rFonts w:ascii="Arial" w:cs="Arial" w:eastAsia="Arial" w:hAnsi="Arial"/>
                <w:sz w:val="18"/>
                <w:szCs w:val="18"/>
                <w:color w:val="auto"/>
              </w:rPr>
              <w:t>Unrealized holding gains, net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29,695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(11,614)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18,081</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40"/>
              <w:spacing w:after="0"/>
              <w:rPr>
                <w:sz w:val="20"/>
                <w:szCs w:val="20"/>
                <w:color w:val="auto"/>
              </w:rPr>
            </w:pPr>
            <w:r>
              <w:rPr>
                <w:rFonts w:ascii="Arial" w:cs="Arial" w:eastAsia="Arial" w:hAnsi="Arial"/>
                <w:sz w:val="18"/>
                <w:szCs w:val="18"/>
                <w:color w:val="auto"/>
              </w:rPr>
              <w:t>Net change for AFS investment securities – all other</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29,650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(11,599)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18,051</w:t>
            </w:r>
          </w:p>
        </w:tc>
        <w:tc>
          <w:tcPr>
            <w:tcW w:w="0" w:type="dxa"/>
            <w:vAlign w:val="bottom"/>
          </w:tcPr>
          <w:p>
            <w:pPr>
              <w:spacing w:after="0"/>
              <w:rPr>
                <w:sz w:val="1"/>
                <w:szCs w:val="1"/>
                <w:color w:val="auto"/>
              </w:rPr>
            </w:pPr>
          </w:p>
        </w:tc>
      </w:tr>
      <w:tr>
        <w:trPr>
          <w:trHeight w:val="110"/>
        </w:trPr>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(“HTM”) investment securities with OTTI:</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40" w:type="dxa"/>
            <w:vAlign w:val="bottom"/>
          </w:tcPr>
          <w:p>
            <w:pPr>
              <w:ind w:left="440"/>
              <w:spacing w:after="0"/>
              <w:rPr>
                <w:sz w:val="20"/>
                <w:szCs w:val="20"/>
                <w:color w:val="auto"/>
              </w:rPr>
            </w:pPr>
            <w:r>
              <w:rPr>
                <w:rFonts w:ascii="Arial" w:cs="Arial" w:eastAsia="Arial" w:hAnsi="Arial"/>
                <w:sz w:val="18"/>
                <w:szCs w:val="18"/>
                <w:color w:val="auto"/>
              </w:rPr>
              <w:t>Unrealized holding losses, net</w:t>
            </w:r>
          </w:p>
        </w:tc>
        <w:tc>
          <w:tcPr>
            <w:tcW w:w="1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(1,843)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(1,120)</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reclassification to income of unrealized holding losses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Less: OTTI charges recognized in net income</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(3,810)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for HTM investment securities with OTTI</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323"/>
        </w:trPr>
        <w:tc>
          <w:tcPr>
            <w:tcW w:w="6740" w:type="dxa"/>
            <w:vAlign w:val="bottom"/>
          </w:tcPr>
          <w:p>
            <w:pPr>
              <w:spacing w:after="0"/>
              <w:rPr>
                <w:sz w:val="20"/>
                <w:szCs w:val="20"/>
                <w:color w:val="auto"/>
              </w:rPr>
            </w:pPr>
            <w:r>
              <w:rPr>
                <w:rFonts w:ascii="Arial" w:cs="Arial" w:eastAsia="Arial" w:hAnsi="Arial"/>
                <w:sz w:val="18"/>
                <w:szCs w:val="18"/>
                <w:color w:val="auto"/>
              </w:rPr>
              <w:t>Reclassification to income of unrealized holding losses on investment securities</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color w:val="auto"/>
              </w:rPr>
              <w:t>previously transferred from AFS to HTM</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116"/>
        </w:trPr>
        <w:tc>
          <w:tcPr>
            <w:tcW w:w="6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32,993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(12,911)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20,082</w:t>
            </w:r>
          </w:p>
        </w:tc>
        <w:tc>
          <w:tcPr>
            <w:tcW w:w="0" w:type="dxa"/>
            <w:vAlign w:val="bottom"/>
          </w:tcPr>
          <w:p>
            <w:pPr>
              <w:spacing w:after="0"/>
              <w:rPr>
                <w:sz w:val="1"/>
                <w:szCs w:val="1"/>
                <w:color w:val="auto"/>
              </w:rPr>
            </w:pPr>
          </w:p>
        </w:tc>
      </w:tr>
      <w:tr>
        <w:trPr>
          <w:trHeight w:val="322"/>
        </w:trPr>
        <w:tc>
          <w:tcPr>
            <w:tcW w:w="6740" w:type="dxa"/>
            <w:vAlign w:val="bottom"/>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1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323"/>
        </w:trPr>
        <w:tc>
          <w:tcPr>
            <w:tcW w:w="674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7,850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(3,081)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41,353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25,183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For the three months ended March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740" w:type="dxa"/>
            <w:vAlign w:val="bottom"/>
          </w:tcPr>
          <w:p>
            <w:pPr>
              <w:spacing w:after="0"/>
              <w:rPr>
                <w:sz w:val="20"/>
                <w:szCs w:val="20"/>
                <w:color w:val="auto"/>
              </w:rPr>
            </w:pPr>
            <w:r>
              <w:rPr>
                <w:rFonts w:ascii="Arial" w:cs="Arial" w:eastAsia="Arial" w:hAnsi="Arial"/>
                <w:sz w:val="18"/>
                <w:szCs w:val="18"/>
                <w:color w:val="auto"/>
              </w:rPr>
              <w:t>AFS investment securities with OTTI:</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holding gains,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Less: OTTI charges recognized in net income</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(7,541)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for AFS investment securities with OTTI</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322"/>
        </w:trPr>
        <w:tc>
          <w:tcPr>
            <w:tcW w:w="6740" w:type="dxa"/>
            <w:vAlign w:val="bottom"/>
          </w:tcPr>
          <w:p>
            <w:pPr>
              <w:spacing w:after="0"/>
              <w:rPr>
                <w:sz w:val="20"/>
                <w:szCs w:val="20"/>
                <w:color w:val="auto"/>
              </w:rPr>
            </w:pPr>
            <w:r>
              <w:rPr>
                <w:rFonts w:ascii="Arial" w:cs="Arial" w:eastAsia="Arial" w:hAnsi="Arial"/>
                <w:sz w:val="18"/>
                <w:szCs w:val="18"/>
                <w:color w:val="auto"/>
              </w:rPr>
              <w:t>AFS investment securities – all other:</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holding gains,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31,577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(12,372)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19,205</w:t>
            </w: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39,353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(15,413)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23,940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for AFS investment securities – all 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(7,776)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(4,735)</w:t>
            </w:r>
          </w:p>
        </w:tc>
        <w:tc>
          <w:tcPr>
            <w:tcW w:w="0" w:type="dxa"/>
            <w:vAlign w:val="bottom"/>
          </w:tcPr>
          <w:p>
            <w:pPr>
              <w:spacing w:after="0"/>
              <w:rPr>
                <w:sz w:val="1"/>
                <w:szCs w:val="1"/>
                <w:color w:val="auto"/>
              </w:rPr>
            </w:pPr>
          </w:p>
        </w:tc>
      </w:tr>
      <w:tr>
        <w:trPr>
          <w:trHeight w:val="322"/>
        </w:trPr>
        <w:tc>
          <w:tcPr>
            <w:tcW w:w="6740" w:type="dxa"/>
            <w:vAlign w:val="bottom"/>
          </w:tcPr>
          <w:p>
            <w:pPr>
              <w:spacing w:after="0"/>
              <w:rPr>
                <w:sz w:val="20"/>
                <w:szCs w:val="20"/>
                <w:color w:val="auto"/>
              </w:rPr>
            </w:pPr>
            <w:r>
              <w:rPr>
                <w:rFonts w:ascii="Arial" w:cs="Arial" w:eastAsia="Arial" w:hAnsi="Arial"/>
                <w:sz w:val="18"/>
                <w:szCs w:val="18"/>
                <w:color w:val="auto"/>
              </w:rPr>
              <w:t>HTM investment securities with OTTI:</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holding losses,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(8,355)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(5,076)</w:t>
            </w: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Less: reclassification to income of unrealized holding losses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OTTI charges recognized in 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(8,500)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(5,164)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40"/>
              <w:spacing w:after="0"/>
              <w:rPr>
                <w:sz w:val="20"/>
                <w:szCs w:val="20"/>
                <w:color w:val="auto"/>
              </w:rPr>
            </w:pPr>
            <w:r>
              <w:rPr>
                <w:rFonts w:ascii="Arial" w:cs="Arial" w:eastAsia="Arial" w:hAnsi="Arial"/>
                <w:sz w:val="18"/>
                <w:szCs w:val="18"/>
                <w:color w:val="auto"/>
              </w:rPr>
              <w:t>Net change for HTM investment securities with OTTI</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16"/>
        </w:trPr>
        <w:tc>
          <w:tcPr>
            <w:tcW w:w="6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income of unrealized holding losses on investment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previously transferred from AFS to HTM</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740" w:type="dxa"/>
            <w:vAlign w:val="bottom"/>
          </w:tcPr>
          <w:p>
            <w:pPr>
              <w:spacing w:after="0"/>
              <w:rPr>
                <w:sz w:val="20"/>
                <w:szCs w:val="20"/>
                <w:color w:val="auto"/>
              </w:rPr>
            </w:pPr>
            <w:r>
              <w:rPr>
                <w:rFonts w:ascii="Arial" w:cs="Arial" w:eastAsia="Arial" w:hAnsi="Arial"/>
                <w:sz w:val="18"/>
                <w:szCs w:val="18"/>
                <w:color w:val="auto"/>
              </w:rPr>
              <w:t>Net unrealized gains on investment securities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9,308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110"/>
        </w:trPr>
        <w:tc>
          <w:tcPr>
            <w:tcW w:w="6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23"/>
        </w:trPr>
        <w:tc>
          <w:tcPr>
            <w:tcW w:w="674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600"/>
              <w:spacing w:after="0"/>
              <w:rPr>
                <w:sz w:val="20"/>
                <w:szCs w:val="20"/>
                <w:color w:val="auto"/>
              </w:rPr>
            </w:pPr>
            <w:r>
              <w:rPr>
                <w:rFonts w:ascii="Arial" w:cs="Arial" w:eastAsia="Arial" w:hAnsi="Arial"/>
                <w:sz w:val="18"/>
                <w:szCs w:val="18"/>
                <w:color w:val="auto"/>
              </w:rPr>
              <w:t>- 29 -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income (loss), net consisted of unrealized gains (losses)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Foreign</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Cash</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currency</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Defined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820" w:type="dxa"/>
            <w:vAlign w:val="bottom"/>
            <w:gridSpan w:val="4"/>
          </w:tcPr>
          <w:p>
            <w:pPr>
              <w:ind w:left="180"/>
              <w:spacing w:after="0" w:line="159" w:lineRule="exact"/>
              <w:rPr>
                <w:sz w:val="20"/>
                <w:szCs w:val="20"/>
                <w:color w:val="auto"/>
              </w:rPr>
            </w:pPr>
            <w:r>
              <w:rPr>
                <w:rFonts w:ascii="Arial" w:cs="Arial" w:eastAsia="Arial" w:hAnsi="Arial"/>
                <w:sz w:val="14"/>
                <w:szCs w:val="14"/>
                <w:color w:val="auto"/>
              </w:rPr>
              <w:t>Investment securities</w:t>
            </w:r>
          </w:p>
        </w:tc>
        <w:tc>
          <w:tcPr>
            <w:tcW w:w="68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6"/>
              </w:rPr>
              <w:t>flow</w:t>
            </w:r>
          </w:p>
        </w:tc>
        <w:tc>
          <w:tcPr>
            <w:tcW w:w="9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6"/>
              </w:rPr>
              <w:t>translation</w:t>
            </w: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90"/>
              </w:rPr>
              <w:t>benefit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With OTTI</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All other</w:t>
            </w:r>
          </w:p>
        </w:tc>
        <w:tc>
          <w:tcPr>
            <w:tcW w:w="320" w:type="dxa"/>
            <w:vAlign w:val="bottom"/>
          </w:tcPr>
          <w:p>
            <w:pPr>
              <w:spacing w:after="0"/>
              <w:rPr>
                <w:sz w:val="12"/>
                <w:szCs w:val="12"/>
                <w:color w:val="auto"/>
              </w:rPr>
            </w:pPr>
          </w:p>
        </w:tc>
        <w:tc>
          <w:tcPr>
            <w:tcW w:w="68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w w:val="78"/>
              </w:rPr>
              <w:t>hedges</w:t>
            </w:r>
          </w:p>
        </w:tc>
        <w:tc>
          <w:tcPr>
            <w:tcW w:w="90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87"/>
              </w:rPr>
              <w:t>adjustment</w:t>
            </w:r>
          </w:p>
        </w:tc>
        <w:tc>
          <w:tcPr>
            <w:tcW w:w="100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89"/>
              </w:rPr>
              <w:t>plans</w:t>
            </w: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4"/>
          </w:tcPr>
          <w:p>
            <w:pPr>
              <w:ind w:left="34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(84,029)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5,995</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(803)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(277,716)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(356,441)</w:t>
            </w:r>
          </w:p>
        </w:tc>
        <w:tc>
          <w:tcPr>
            <w:tcW w:w="0" w:type="dxa"/>
            <w:vAlign w:val="bottom"/>
          </w:tcPr>
          <w:p>
            <w:pPr>
              <w:spacing w:after="0"/>
              <w:rPr>
                <w:sz w:val="1"/>
                <w:szCs w:val="1"/>
                <w:color w:val="auto"/>
              </w:rPr>
            </w:pPr>
          </w:p>
        </w:tc>
      </w:tr>
      <w:tr>
        <w:trPr>
          <w:trHeight w:val="323"/>
        </w:trPr>
        <w:tc>
          <w:tcPr>
            <w:tcW w:w="622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1,349</w:t>
            </w:r>
          </w:p>
        </w:tc>
        <w:tc>
          <w:tcPr>
            <w:tcW w:w="32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18,733</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402</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4,769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2012</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(82,680)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24,728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(401)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(272,947)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(331,258)</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Balance - January 1, 2011</w:t>
            </w:r>
          </w:p>
        </w:tc>
        <w:tc>
          <w:tcPr>
            <w:tcW w:w="960" w:type="dxa"/>
            <w:vAlign w:val="bottom"/>
            <w:gridSpan w:val="2"/>
          </w:tcPr>
          <w:p>
            <w:pPr>
              <w:spacing w:after="0"/>
              <w:rPr>
                <w:sz w:val="20"/>
                <w:szCs w:val="20"/>
                <w:color w:val="auto"/>
              </w:rPr>
            </w:pPr>
            <w:r>
              <w:rPr>
                <w:rFonts w:ascii="Arial" w:cs="Arial" w:eastAsia="Arial" w:hAnsi="Arial"/>
                <w:sz w:val="18"/>
                <w:szCs w:val="18"/>
                <w:color w:val="auto"/>
              </w:rPr>
              <w:t>$ (87,053)</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2,332</w:t>
            </w:r>
          </w:p>
        </w:tc>
        <w:tc>
          <w:tcPr>
            <w:tcW w:w="36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24"/>
                <w:szCs w:val="24"/>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(120,892)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(205,220)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9,362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220" w:type="dxa"/>
            <w:vAlign w:val="bottom"/>
            <w:gridSpan w:val="2"/>
          </w:tcPr>
          <w:p>
            <w:pPr>
              <w:spacing w:after="0"/>
              <w:rPr>
                <w:sz w:val="20"/>
                <w:szCs w:val="20"/>
                <w:color w:val="auto"/>
              </w:rPr>
            </w:pPr>
            <w:r>
              <w:rPr>
                <w:rFonts w:ascii="Arial" w:cs="Arial" w:eastAsia="Arial" w:hAnsi="Arial"/>
                <w:sz w:val="18"/>
                <w:szCs w:val="18"/>
                <w:color w:val="auto"/>
              </w:rPr>
              <w:t>Balance - March 31, 2011</w:t>
            </w:r>
          </w:p>
        </w:tc>
        <w:tc>
          <w:tcPr>
            <w:tcW w:w="96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(77,691)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(1,372)</w:t>
            </w:r>
          </w:p>
        </w:tc>
        <w:tc>
          <w:tcPr>
            <w:tcW w:w="360" w:type="dxa"/>
            <w:vAlign w:val="bottom"/>
          </w:tcPr>
          <w:p>
            <w:pPr>
              <w:jc w:val="right"/>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24"/>
                <w:szCs w:val="24"/>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(118,781)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(197,521)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March 31, 2012.</w:t>
      </w:r>
    </w:p>
    <w:p>
      <w:pPr>
        <w:spacing w:after="0" w:line="10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net effect of interest rate swap agreements was to increase net interest income by $9 million and $10 million for the three months ended March 31, 2012 and 2011, respectively.</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59"/>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Notional</w:t>
            </w:r>
          </w:p>
        </w:tc>
        <w:tc>
          <w:tcPr>
            <w:tcW w:w="10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Average</w:t>
            </w:r>
          </w:p>
        </w:tc>
        <w:tc>
          <w:tcPr>
            <w:tcW w:w="360" w:type="dxa"/>
            <w:vAlign w:val="bottom"/>
          </w:tcPr>
          <w:p>
            <w:pPr>
              <w:spacing w:after="0"/>
              <w:rPr>
                <w:sz w:val="13"/>
                <w:szCs w:val="13"/>
                <w:color w:val="auto"/>
              </w:rPr>
            </w:pPr>
          </w:p>
        </w:tc>
        <w:tc>
          <w:tcPr>
            <w:tcW w:w="130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6"/>
              </w:rPr>
              <w:t>average rate</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amount</w:t>
            </w: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maturity</w:t>
            </w:r>
          </w:p>
        </w:tc>
        <w:tc>
          <w:tcPr>
            <w:tcW w:w="1000" w:type="dxa"/>
            <w:vAlign w:val="bottom"/>
            <w:tcBorders>
              <w:top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color w:val="auto"/>
                <w:w w:val="93"/>
              </w:rPr>
              <w:t>Fixed</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3"/>
              </w:rPr>
              <w:t>(in thousands)</w:t>
            </w:r>
          </w:p>
        </w:tc>
        <w:tc>
          <w:tcPr>
            <w:tcW w:w="520" w:type="dxa"/>
            <w:vAlign w:val="bottom"/>
            <w:gridSpan w:val="2"/>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(in years)</w:t>
            </w:r>
          </w:p>
        </w:tc>
        <w:tc>
          <w:tcPr>
            <w:tcW w:w="5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900,000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7"/>
              </w:rPr>
              <w:t>6.07%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December 31,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89"/>
              </w:rPr>
              <w:t>900,000</w:t>
            </w:r>
          </w:p>
        </w:tc>
        <w:tc>
          <w:tcPr>
            <w:tcW w:w="5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5.4</w:t>
            </w:r>
          </w:p>
        </w:tc>
        <w:tc>
          <w:tcPr>
            <w:tcW w:w="1000" w:type="dxa"/>
            <w:vAlign w:val="bottom"/>
            <w:gridSpan w:val="2"/>
          </w:tcPr>
          <w:p>
            <w:pPr>
              <w:jc w:val="right"/>
              <w:ind w:right="412"/>
              <w:spacing w:after="0"/>
              <w:rPr>
                <w:sz w:val="20"/>
                <w:szCs w:val="20"/>
                <w:color w:val="auto"/>
              </w:rPr>
            </w:pPr>
            <w:r>
              <w:rPr>
                <w:rFonts w:ascii="Arial" w:cs="Arial" w:eastAsia="Arial" w:hAnsi="Arial"/>
                <w:sz w:val="18"/>
                <w:szCs w:val="18"/>
                <w:color w:val="auto"/>
                <w:w w:val="97"/>
              </w:rPr>
              <w:t>6.07%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57" w:lineRule="exact"/>
        <w:rPr>
          <w:rFonts w:ascii="Arial" w:cs="Arial" w:eastAsia="Arial" w:hAnsi="Arial"/>
          <w:sz w:val="18"/>
          <w:szCs w:val="18"/>
          <w:i w:val="1"/>
          <w:iCs w:val="1"/>
          <w:color w:val="auto"/>
        </w:rPr>
      </w:pPr>
    </w:p>
    <w:p>
      <w:pPr>
        <w:ind w:left="5620" w:hanging="96"/>
        <w:spacing w:after="0"/>
        <w:tabs>
          <w:tab w:leader="none" w:pos="5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$14.3 billion and $13.9 billion at March 31, 2012 and December 31, 2011, respectively. The notional amounts of foreign currency and other option and futures contracts entered into for trading purposes aggregated $1.4 billion at each of March 31, 2012 and December 31,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3"/>
          </w:tcPr>
          <w:p>
            <w:pPr>
              <w:jc w:val="right"/>
              <w:ind w:right="422"/>
              <w:spacing w:after="0"/>
              <w:rPr>
                <w:sz w:val="20"/>
                <w:szCs w:val="20"/>
                <w:color w:val="auto"/>
              </w:rPr>
            </w:pPr>
            <w:r>
              <w:rPr>
                <w:rFonts w:ascii="Arial" w:cs="Arial" w:eastAsia="Arial" w:hAnsi="Arial"/>
                <w:sz w:val="14"/>
                <w:szCs w:val="14"/>
                <w:color w:val="auto"/>
              </w:rPr>
              <w:t>Asset derivatives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ind w:left="32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622"/>
              <w:spacing w:after="0" w:line="142" w:lineRule="exact"/>
              <w:rPr>
                <w:sz w:val="20"/>
                <w:szCs w:val="20"/>
                <w:color w:val="auto"/>
              </w:rPr>
            </w:pPr>
            <w:r>
              <w:rPr>
                <w:rFonts w:ascii="Arial" w:cs="Arial" w:eastAsia="Arial" w:hAnsi="Arial"/>
                <w:sz w:val="14"/>
                <w:szCs w:val="14"/>
                <w:color w:val="auto"/>
                <w:w w:val="84"/>
              </w:rPr>
              <w:t>Fair value</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597"/>
              <w:spacing w:after="0" w:line="142" w:lineRule="exact"/>
              <w:rPr>
                <w:sz w:val="20"/>
                <w:szCs w:val="20"/>
                <w:color w:val="auto"/>
              </w:rPr>
            </w:pPr>
            <w:r>
              <w:rPr>
                <w:rFonts w:ascii="Arial" w:cs="Arial" w:eastAsia="Arial" w:hAnsi="Arial"/>
                <w:sz w:val="14"/>
                <w:szCs w:val="14"/>
                <w:color w:val="auto"/>
                <w:w w:val="87"/>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w w:val="96"/>
              </w:rPr>
              <w:t>March 31,</w:t>
            </w:r>
          </w:p>
        </w:tc>
        <w:tc>
          <w:tcPr>
            <w:tcW w:w="46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460" w:type="dxa"/>
            <w:vAlign w:val="bottom"/>
          </w:tcPr>
          <w:p>
            <w:pPr>
              <w:spacing w:after="0"/>
              <w:rPr>
                <w:sz w:val="11"/>
                <w:szCs w:val="11"/>
                <w:color w:val="auto"/>
              </w:rPr>
            </w:pPr>
          </w:p>
        </w:tc>
        <w:tc>
          <w:tcPr>
            <w:tcW w:w="68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6"/>
              </w:rPr>
              <w:t>March 31,</w:t>
            </w:r>
          </w:p>
        </w:tc>
        <w:tc>
          <w:tcPr>
            <w:tcW w:w="48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200" w:type="dxa"/>
            <w:vAlign w:val="bottom"/>
            <w:gridSpan w:val="2"/>
          </w:tcPr>
          <w:p>
            <w:pPr>
              <w:jc w:val="right"/>
              <w:ind w:right="122"/>
              <w:spacing w:after="0" w:line="159" w:lineRule="exact"/>
              <w:rPr>
                <w:sz w:val="20"/>
                <w:szCs w:val="20"/>
                <w:color w:val="auto"/>
              </w:rPr>
            </w:pPr>
            <w:r>
              <w:rPr>
                <w:rFonts w:ascii="Arial" w:cs="Arial" w:eastAsia="Arial" w:hAnsi="Arial"/>
                <w:sz w:val="14"/>
                <w:szCs w:val="14"/>
                <w:color w:val="auto"/>
              </w:rPr>
              <w:t>2012</w:t>
            </w:r>
          </w:p>
        </w:tc>
        <w:tc>
          <w:tcPr>
            <w:tcW w:w="1240" w:type="dxa"/>
            <w:vAlign w:val="bottom"/>
            <w:gridSpan w:val="2"/>
          </w:tcPr>
          <w:p>
            <w:pPr>
              <w:jc w:val="right"/>
              <w:ind w:right="182"/>
              <w:spacing w:after="0" w:line="159" w:lineRule="exact"/>
              <w:rPr>
                <w:sz w:val="20"/>
                <w:szCs w:val="20"/>
                <w:color w:val="auto"/>
              </w:rPr>
            </w:pPr>
            <w:r>
              <w:rPr>
                <w:rFonts w:ascii="Arial" w:cs="Arial" w:eastAsia="Arial" w:hAnsi="Arial"/>
                <w:sz w:val="14"/>
                <w:szCs w:val="14"/>
                <w:color w:val="auto"/>
              </w:rPr>
              <w:t>2011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2012</w:t>
            </w:r>
          </w:p>
        </w:tc>
        <w:tc>
          <w:tcPr>
            <w:tcW w:w="1240" w:type="dxa"/>
            <w:vAlign w:val="bottom"/>
            <w:gridSpan w:val="2"/>
          </w:tcPr>
          <w:p>
            <w:pPr>
              <w:jc w:val="right"/>
              <w:ind w:right="157"/>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436"/>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Fair value hedges: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$140,273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4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4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140,759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w w:val="98"/>
              </w:rPr>
              <w:t>Derivatives not designated and qualifying as hedging instruments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Mortgage-related commitments to originate real estate loans for sale (a)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20,529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Interest rate contracts (b)</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412,623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443,033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384,494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and other option and futures contracts (b)</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4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13,691</w:t>
            </w:r>
          </w:p>
        </w:tc>
        <w:tc>
          <w:tcPr>
            <w:tcW w:w="4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447,910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471,467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405,015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438,398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588,669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619,001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405,815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color w:val="auto"/>
                <w:w w:val="91"/>
              </w:rPr>
              <w:t>Amount of unrealized gain (loss) recognized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4"/>
          </w:tcPr>
          <w:p>
            <w:pPr>
              <w:jc w:val="right"/>
              <w:ind w:right="272"/>
              <w:spacing w:after="0" w:line="131" w:lineRule="exact"/>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center"/>
              <w:ind w:right="2"/>
              <w:spacing w:after="0" w:line="131" w:lineRule="exact"/>
              <w:rPr>
                <w:sz w:val="20"/>
                <w:szCs w:val="20"/>
                <w:color w:val="auto"/>
              </w:rPr>
            </w:pPr>
            <w:r>
              <w:rPr>
                <w:rFonts w:ascii="Arial" w:cs="Arial" w:eastAsia="Arial" w:hAnsi="Arial"/>
                <w:sz w:val="14"/>
                <w:szCs w:val="14"/>
                <w:color w:val="auto"/>
                <w:w w:val="85"/>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right"/>
              <w:ind w:right="392"/>
              <w:spacing w:after="0" w:line="159" w:lineRule="exact"/>
              <w:rPr>
                <w:sz w:val="20"/>
                <w:szCs w:val="20"/>
                <w:color w:val="auto"/>
              </w:rPr>
            </w:pPr>
            <w:r>
              <w:rPr>
                <w:rFonts w:ascii="Arial" w:cs="Arial" w:eastAsia="Arial" w:hAnsi="Arial"/>
                <w:sz w:val="14"/>
                <w:szCs w:val="14"/>
                <w:color w:val="auto"/>
              </w:rPr>
              <w:t>March 31, 2012</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jc w:val="center"/>
              <w:ind w:right="180"/>
              <w:spacing w:after="0" w:line="159" w:lineRule="exact"/>
              <w:rPr>
                <w:sz w:val="20"/>
                <w:szCs w:val="20"/>
                <w:color w:val="auto"/>
              </w:rPr>
            </w:pPr>
            <w:r>
              <w:rPr>
                <w:rFonts w:ascii="Arial" w:cs="Arial" w:eastAsia="Arial" w:hAnsi="Arial"/>
                <w:sz w:val="14"/>
                <w:szCs w:val="14"/>
                <w:color w:val="auto"/>
                <w:w w:val="88"/>
              </w:rPr>
              <w:t>March 31,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Derivative</w:t>
            </w: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Hedged item</w:t>
            </w:r>
          </w:p>
        </w:tc>
        <w:tc>
          <w:tcPr>
            <w:tcW w:w="46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color w:val="auto"/>
                <w:w w:val="96"/>
              </w:rPr>
              <w:t>Derivative</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gridSpan w:val="5"/>
          </w:tcPr>
          <w:p>
            <w:pPr>
              <w:jc w:val="right"/>
              <w:ind w:right="94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2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(7,029)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(12,405)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475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$19 million and $12 million at March 31, 2012 and December 31, 2011, respectively. Changes in unrealized gains and losses are included in mortgage banking revenues and, in general, are realized in subsequent periods as the related loans are sold and commitments satisfied.</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aggregate fair value of derivative financial instruments in a net liability position at March 31, 2012 for which the Company was required to post collateral was $277 million. The fair value of collateral posted for such instruments was $248 million.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March 31, 2012 was $90 million, for which the Company had posted collateral of $62 million in the normal course of business. If the credit-risk-related contingent features had been triggered on March 31, 2012, the maximum amount of additional collateral the Company would have been required to post to counterparties was $28 million.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credit exposure with respect to the estimated fair value as of March 31, 2012 of interest rate swap agreements used for managing interest rate risk has been substantially mitigated through master netting agreements with trading account interest rate contracts with the same counterparties as well as counterparty postings of $75 million of collateral with the Company. Trading account interest rate swap agreements entered into with customers are subject to the Company’s credit standards and often contain collateral provisions.</w:t>
      </w:r>
    </w:p>
    <w:p>
      <w:pPr>
        <w:spacing w:after="0" w:line="25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March 31, 2012 and December 31, 2011, the carrying values of the loans in the securitization trust were $185 million and $196 million, respectively. The outstanding principal amount of mortgage-backed securities issued by the qualified special purpose trust that was held by parties unrelated to M&amp;T at March 31, 2012 and December 31, 2011 was $29 million and $30 million, respectively. Because the transaction was non-recourse, the Company’s maximum exposure to loss as a result of its association with the trust at March 31, 2012 is limited to realizing the carrying value of the loans less the amount of the mortgage-backed securities held by third parties.</w:t>
      </w:r>
    </w:p>
    <w:p>
      <w:pPr>
        <w:spacing w:after="0" w:line="118" w:lineRule="exact"/>
        <w:rPr>
          <w:sz w:val="20"/>
          <w:szCs w:val="20"/>
          <w:color w:val="auto"/>
        </w:rPr>
      </w:pPr>
    </w:p>
    <w:p>
      <w:pPr>
        <w:ind w:right="480" w:firstLine="456"/>
        <w:spacing w:after="0" w:line="291" w:lineRule="auto"/>
        <w:rPr>
          <w:sz w:val="20"/>
          <w:szCs w:val="20"/>
          <w:color w:val="auto"/>
        </w:rPr>
      </w:pPr>
      <w:r>
        <w:rPr>
          <w:rFonts w:ascii="Arial" w:cs="Arial" w:eastAsia="Arial" w:hAnsi="Arial"/>
          <w:sz w:val="16"/>
          <w:szCs w:val="16"/>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March 31, 2012 and December 31, 2011,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invested as a limited partner in various real estate partnerships that collectively had total assets of approximately $1.5 billion and</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$1.4 billion at March 31, 2012 and December 31, 2011,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$262 million, including $70 million of unfunded commitments, at March 31, 2012 and $271 million, including $75 million of unfunded commitments, at December 31, 2011.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March 31, 2012.</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59"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0" w:lineRule="exact"/>
        <w:rPr>
          <w:rFonts w:ascii="Arial" w:cs="Arial" w:eastAsia="Arial" w:hAnsi="Arial"/>
          <w:sz w:val="18"/>
          <w:szCs w:val="18"/>
          <w:color w:val="auto"/>
        </w:rPr>
      </w:pPr>
    </w:p>
    <w:p>
      <w:pPr>
        <w:ind w:left="440" w:right="20" w:hanging="324"/>
        <w:spacing w:after="0" w:line="332"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 w:lineRule="exact"/>
        <w:rPr>
          <w:rFonts w:ascii="Arial" w:cs="Arial" w:eastAsia="Arial" w:hAnsi="Arial"/>
          <w:sz w:val="16"/>
          <w:szCs w:val="16"/>
          <w:color w:val="auto"/>
        </w:rPr>
      </w:pPr>
    </w:p>
    <w:p>
      <w:pPr>
        <w:ind w:left="440" w:right="60" w:hanging="324"/>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When available, the Company attempts to use quoted market prices in active markets to determine fair value and classifies such items as Level 1 or Level</w:t>
      </w:r>
    </w:p>
    <w:p>
      <w:pPr>
        <w:spacing w:after="0" w:line="50" w:lineRule="exact"/>
        <w:rPr>
          <w:sz w:val="20"/>
          <w:szCs w:val="20"/>
          <w:color w:val="auto"/>
        </w:rPr>
      </w:pPr>
    </w:p>
    <w:p>
      <w:pPr>
        <w:ind w:right="300" w:firstLine="8"/>
        <w:spacing w:after="0" w:line="295"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quoted market prices in active markets are not available, fair value is often determined using model-based techniques incorporating various assumptions including interest rates, prepayment speeds and credit losses. Assets and liabilities valued using model-based techniques are generally classified as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9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markets for privately issued mortgage-backed securities have experienced a sharp reduction of non-agency mortgage-backed securities issuances, a significant reduction in trading volumes and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Company supplemented its determination of fair value for many of its privately issued mortgage-backed securities by obtaining pricing indications from two independent sources at March 31, 2012 and December 31, 2011.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$1.3 billion at each of March 31, 2012 and December 31, 2011.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further home price depreciation and loss rates.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for each of the bonds, the Company averaged the internal model valuations and the indications obtained from the two independent pricing sources, such that at March 31, 2012, the weighted-average reliance on internal model pricing for the bonds modeled was 33% with a 67% average weighting placed on the values provided by the independent sources. Significant unobservable inputs used in the Company’s modeling of fair value for residential mortgage-backed securities are included in the accompanying table of significant unobservable inputs to Level 3 measurements. The Company concluded its estimate of fair value for the $1.3 billion of privately issued residential mortgage-backed securities to approximate $1.1 billion, which reflects a market yield based on reasonably likely cash flows of 7.6%. The Company determined the fair value of its privately issued commercial mortgage-backed securities held in its available-for-sale portfolio using quoted market prices obtained from third party pricing services without adjustment. Similar to privately-issued residential mortgage-backed securities, the market for commercial mortgage-backed securities has experienced significant declines in the level of market activity, resulting in the classification of such bonds as Level 3.</w:t>
      </w:r>
    </w:p>
    <w:p>
      <w:pPr>
        <w:spacing w:after="0" w:line="13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Given the severe disruption in the credit markets and the wide disparity in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March 31, 2012 and December 31, 2011. The modeling techniques included estimating cash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5% to 11% with a weighted-average of 8% was used. Significant unobservable inputs used in the determination of estimated fair value of collateralized debt obligations are included in the accompanying table of significant unobservable inputs to Level 3 measurements. At March 31, 2012, the total amortized cost and fair value of securities backed by trust preferred securities issued by financial institutions and other entities were $44 million and $58 million, respectively, and at December 31, 2011 were $44 million and $53 million, respectively. Privately issued mortgage-backed securities and securities backed by trust preferred securities issued by financial institutions and other entities constituted all of the available-for-sale investment securities classified as Level 3 valuations as of March 31, 2012 and December 31, 2011.</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ensures an appropriate control framework is in place over the valuation processes and techniques used for Level 3 fair value measurements. Specifically, the Company attempts to obtain the market observable inputs used by third party pricing sources on a sample of bonds each quarter. Analytical procedures are performed to understand changes in fair value from period to period. Internal pricing models are subject to validation procedures including testing of mathematical constructs, review of valuation methodology and significant assumptions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March 31, 2012 and December 31, 2011 measured at estimated fair value on a recurring basis: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color w:val="auto"/>
                <w:w w:val="87"/>
              </w:rPr>
              <w:t>Fair value</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w w:val="81"/>
              </w:rPr>
              <w:t>measurements at</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color w:val="auto"/>
                <w:w w:val="86"/>
              </w:rPr>
              <w:t>March 31,</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5"/>
              <w:spacing w:after="0" w:line="159" w:lineRule="exact"/>
              <w:rPr>
                <w:sz w:val="20"/>
                <w:szCs w:val="20"/>
                <w:color w:val="auto"/>
              </w:rPr>
            </w:pPr>
            <w:r>
              <w:rPr>
                <w:rFonts w:ascii="Arial" w:cs="Arial" w:eastAsia="Arial" w:hAnsi="Arial"/>
                <w:sz w:val="14"/>
                <w:szCs w:val="14"/>
                <w:color w:val="auto"/>
                <w:w w:val="83"/>
              </w:rPr>
              <w:t>2012</w:t>
            </w:r>
          </w:p>
        </w:tc>
        <w:tc>
          <w:tcPr>
            <w:tcW w:w="40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517,620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55,416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462,204</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53,140</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38,040</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38,040</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4,272,955</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4,272,955</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1,110,695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1,110,695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13,435</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168,925</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168,925</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113,991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8,657</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5,838,022</w:t>
            </w:r>
          </w:p>
        </w:tc>
        <w:tc>
          <w:tcPr>
            <w:tcW w:w="4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113,991</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4,541,717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1,182,314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225,710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225,710</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assets (b)</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161,853</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141,324</w:t>
            </w:r>
          </w:p>
        </w:tc>
        <w:tc>
          <w:tcPr>
            <w:tcW w:w="760" w:type="dxa"/>
            <w:vAlign w:val="bottom"/>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6,743,205</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169,407</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5,370,955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1,202,843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18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398,185</w:t>
            </w:r>
          </w:p>
        </w:tc>
        <w:tc>
          <w:tcPr>
            <w:tcW w:w="40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398,185</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405,815</w:t>
            </w:r>
          </w:p>
        </w:tc>
        <w:tc>
          <w:tcPr>
            <w:tcW w:w="4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405,721</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60" w:type="dxa"/>
            <w:vAlign w:val="bottom"/>
            <w:vMerge w:val="restart"/>
          </w:tcPr>
          <w:p>
            <w:pPr>
              <w:ind w:left="880"/>
              <w:spacing w:after="0"/>
              <w:rPr>
                <w:sz w:val="20"/>
                <w:szCs w:val="20"/>
                <w:color w:val="auto"/>
              </w:rPr>
            </w:pPr>
            <w:r>
              <w:rPr>
                <w:rFonts w:ascii="Arial" w:cs="Arial" w:eastAsia="Arial" w:hAnsi="Arial"/>
                <w:sz w:val="18"/>
                <w:szCs w:val="18"/>
                <w:color w:val="auto"/>
              </w:rPr>
              <w:t>- 37 -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color w:val="auto"/>
                <w:w w:val="87"/>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6"/>
              </w:rPr>
              <w:t>December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4"/>
              <w:spacing w:after="0" w:line="159" w:lineRule="exact"/>
              <w:rPr>
                <w:sz w:val="20"/>
                <w:szCs w:val="20"/>
                <w:color w:val="auto"/>
              </w:rPr>
            </w:pPr>
            <w:r>
              <w:rPr>
                <w:rFonts w:ascii="Arial" w:cs="Arial" w:eastAsia="Arial" w:hAnsi="Arial"/>
                <w:sz w:val="14"/>
                <w:szCs w:val="14"/>
                <w:color w:val="auto"/>
                <w:w w:val="83"/>
              </w:rPr>
              <w:t>2011</w:t>
            </w:r>
          </w:p>
        </w:tc>
        <w:tc>
          <w:tcPr>
            <w:tcW w:w="38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561,834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53,165</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508,669</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70,723</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40,269</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40,269</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4,521,233</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4,521,233</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Privately issued residential</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1,136,256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Privately issued commercial</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15,029</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Collateralized debt obligations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 debt 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176,845</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176,845</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215,705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205,587</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10,118</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6,228,560</w:t>
            </w:r>
          </w:p>
        </w:tc>
        <w:tc>
          <w:tcPr>
            <w:tcW w:w="3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205,587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4,819,188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1,203,785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371,437</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371,437</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assets (b)</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156,853</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148,862</w:t>
            </w:r>
          </w:p>
        </w:tc>
        <w:tc>
          <w:tcPr>
            <w:tcW w:w="760" w:type="dxa"/>
            <w:vAlign w:val="bottom"/>
          </w:tcPr>
          <w:p>
            <w:pPr>
              <w:jc w:val="right"/>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7,318,684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258,752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5,848,156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1,211,776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16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434,559</w:t>
            </w:r>
          </w:p>
        </w:tc>
        <w:tc>
          <w:tcPr>
            <w:tcW w:w="38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434,559</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440,685</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439,617</w:t>
            </w:r>
          </w:p>
        </w:tc>
        <w:tc>
          <w:tcPr>
            <w:tcW w:w="76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0" w:hanging="452"/>
        <w:spacing w:after="0" w:line="254"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transfers between Level 1 and Level 2 of the fair value hierarchy during the three months ended March 31, 2012 and the year ended December 31, 2011.</w:t>
      </w:r>
    </w:p>
    <w:p>
      <w:pPr>
        <w:ind w:left="460" w:hanging="452"/>
        <w:spacing w:after="0" w:line="261"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4" w:lineRule="exact"/>
        <w:rPr>
          <w:rFonts w:ascii="Arial" w:cs="Arial" w:eastAsia="Arial" w:hAnsi="Arial"/>
          <w:sz w:val="18"/>
          <w:szCs w:val="18"/>
          <w:i w:val="1"/>
          <w:iCs w:val="1"/>
          <w:color w:val="auto"/>
        </w:rPr>
      </w:pPr>
    </w:p>
    <w:p>
      <w:pPr>
        <w:ind w:left="5620" w:hanging="96"/>
        <w:spacing w:after="0"/>
        <w:tabs>
          <w:tab w:leader="none" w:pos="5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2012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color w:val="auto"/>
                <w:w w:val="91"/>
              </w:rPr>
              <w:t>Investment securities available for sale</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3"/>
          </w:tcPr>
          <w:p>
            <w:pPr>
              <w:jc w:val="center"/>
              <w:ind w:right="752"/>
              <w:spacing w:after="0" w:line="131" w:lineRule="exact"/>
              <w:rPr>
                <w:sz w:val="20"/>
                <w:szCs w:val="20"/>
                <w:color w:val="auto"/>
              </w:rPr>
            </w:pPr>
            <w:r>
              <w:rPr>
                <w:rFonts w:ascii="Arial" w:cs="Arial" w:eastAsia="Arial" w:hAnsi="Arial"/>
                <w:sz w:val="14"/>
                <w:szCs w:val="14"/>
                <w:color w:val="auto"/>
                <w:w w:val="87"/>
              </w:rPr>
              <w:t>Privately issued</w:t>
            </w:r>
          </w:p>
        </w:tc>
        <w:tc>
          <w:tcPr>
            <w:tcW w:w="1680" w:type="dxa"/>
            <w:vAlign w:val="bottom"/>
            <w:gridSpan w:val="3"/>
          </w:tcPr>
          <w:p>
            <w:pPr>
              <w:jc w:val="center"/>
              <w:ind w:right="740"/>
              <w:spacing w:after="0" w:line="131" w:lineRule="exact"/>
              <w:rPr>
                <w:sz w:val="20"/>
                <w:szCs w:val="20"/>
                <w:color w:val="auto"/>
              </w:rPr>
            </w:pPr>
            <w:r>
              <w:rPr>
                <w:rFonts w:ascii="Arial" w:cs="Arial" w:eastAsia="Arial" w:hAnsi="Arial"/>
                <w:sz w:val="14"/>
                <w:szCs w:val="14"/>
                <w:color w:val="auto"/>
                <w:w w:val="91"/>
              </w:rPr>
              <w:t>Privately issued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892"/>
              <w:spacing w:after="0" w:line="149" w:lineRule="exact"/>
              <w:rPr>
                <w:sz w:val="20"/>
                <w:szCs w:val="20"/>
                <w:color w:val="auto"/>
              </w:rPr>
            </w:pPr>
            <w:r>
              <w:rPr>
                <w:rFonts w:ascii="Arial" w:cs="Arial" w:eastAsia="Arial" w:hAnsi="Arial"/>
                <w:sz w:val="14"/>
                <w:szCs w:val="14"/>
                <w:color w:val="auto"/>
                <w:w w:val="90"/>
              </w:rPr>
              <w:t>residential</w:t>
            </w:r>
          </w:p>
        </w:tc>
        <w:tc>
          <w:tcPr>
            <w:tcW w:w="120" w:type="dxa"/>
            <w:vAlign w:val="bottom"/>
          </w:tcPr>
          <w:p>
            <w:pPr>
              <w:spacing w:after="0"/>
              <w:rPr>
                <w:sz w:val="12"/>
                <w:szCs w:val="12"/>
                <w:color w:val="auto"/>
              </w:rPr>
            </w:pPr>
          </w:p>
        </w:tc>
        <w:tc>
          <w:tcPr>
            <w:tcW w:w="156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89"/>
              </w:rPr>
              <w:t>commercial</w:t>
            </w: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80" w:type="dxa"/>
            <w:vAlign w:val="bottom"/>
          </w:tcPr>
          <w:p>
            <w:pPr>
              <w:spacing w:after="0"/>
              <w:rPr>
                <w:sz w:val="12"/>
                <w:szCs w:val="12"/>
                <w:color w:val="auto"/>
              </w:rPr>
            </w:pPr>
          </w:p>
        </w:tc>
        <w:tc>
          <w:tcPr>
            <w:tcW w:w="10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debt</w:t>
            </w:r>
          </w:p>
        </w:tc>
        <w:tc>
          <w:tcPr>
            <w:tcW w:w="28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892"/>
              <w:spacing w:after="0" w:line="159" w:lineRule="exact"/>
              <w:rPr>
                <w:sz w:val="20"/>
                <w:szCs w:val="20"/>
                <w:color w:val="auto"/>
              </w:rPr>
            </w:pPr>
            <w:r>
              <w:rPr>
                <w:rFonts w:ascii="Arial" w:cs="Arial" w:eastAsia="Arial" w:hAnsi="Arial"/>
                <w:sz w:val="14"/>
                <w:szCs w:val="14"/>
                <w:color w:val="auto"/>
                <w:w w:val="84"/>
              </w:rPr>
              <w:t>securities</w:t>
            </w:r>
          </w:p>
        </w:tc>
        <w:tc>
          <w:tcPr>
            <w:tcW w:w="120" w:type="dxa"/>
            <w:vAlign w:val="bottom"/>
          </w:tcPr>
          <w:p>
            <w:pPr>
              <w:spacing w:after="0"/>
              <w:rPr>
                <w:sz w:val="13"/>
                <w:szCs w:val="13"/>
                <w:color w:val="auto"/>
              </w:rPr>
            </w:pPr>
          </w:p>
        </w:tc>
        <w:tc>
          <w:tcPr>
            <w:tcW w:w="1560" w:type="dxa"/>
            <w:vAlign w:val="bottom"/>
            <w:gridSpan w:val="2"/>
          </w:tcPr>
          <w:p>
            <w:pPr>
              <w:jc w:val="center"/>
              <w:ind w:right="860"/>
              <w:spacing w:after="0" w:line="159" w:lineRule="exact"/>
              <w:rPr>
                <w:sz w:val="20"/>
                <w:szCs w:val="20"/>
                <w:color w:val="auto"/>
              </w:rPr>
            </w:pPr>
            <w:r>
              <w:rPr>
                <w:rFonts w:ascii="Arial" w:cs="Arial" w:eastAsia="Arial" w:hAnsi="Arial"/>
                <w:sz w:val="14"/>
                <w:szCs w:val="14"/>
                <w:color w:val="auto"/>
                <w:w w:val="84"/>
              </w:rPr>
              <w:t>securities</w:t>
            </w:r>
          </w:p>
        </w:tc>
        <w:tc>
          <w:tcPr>
            <w:tcW w:w="124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w w:val="98"/>
              </w:rPr>
              <w:t>obligations</w:t>
            </w:r>
          </w:p>
        </w:tc>
        <w:tc>
          <w:tcPr>
            <w:tcW w:w="280" w:type="dxa"/>
            <w:vAlign w:val="bottom"/>
          </w:tcPr>
          <w:p>
            <w:pPr>
              <w:spacing w:after="0"/>
              <w:rPr>
                <w:sz w:val="13"/>
                <w:szCs w:val="13"/>
                <w:color w:val="auto"/>
              </w:rPr>
            </w:pPr>
          </w:p>
        </w:tc>
        <w:tc>
          <w:tcPr>
            <w:tcW w:w="9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54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1,136,256</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52,500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323"/>
        </w:trPr>
        <w:tc>
          <w:tcPr>
            <w:tcW w:w="430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(7,676)(a)</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27,031(b)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552"/>
              <w:spacing w:after="0"/>
              <w:rPr>
                <w:sz w:val="20"/>
                <w:szCs w:val="20"/>
                <w:color w:val="auto"/>
              </w:rPr>
            </w:pPr>
            <w:r>
              <w:rPr>
                <w:rFonts w:ascii="Arial" w:cs="Arial" w:eastAsia="Arial" w:hAnsi="Arial"/>
                <w:sz w:val="18"/>
                <w:szCs w:val="18"/>
                <w:color w:val="auto"/>
              </w:rPr>
              <w:t>25,070(e)</w:t>
            </w:r>
          </w:p>
        </w:tc>
        <w:tc>
          <w:tcPr>
            <w:tcW w:w="12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348(e)</w:t>
            </w: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6,423(e)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(42,955)</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(1,942)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(13,519)(d)</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1,110,695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13,435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58,184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20,435</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w w:val="92"/>
              </w:rPr>
              <w:t>Changes in unrealized gains (losses) included in earnings</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3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related to assets still held at March 31, 2012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360"/>
              <w:spacing w:after="0"/>
              <w:rPr>
                <w:sz w:val="20"/>
                <w:szCs w:val="20"/>
                <w:color w:val="auto"/>
              </w:rPr>
            </w:pPr>
            <w:r>
              <w:rPr>
                <w:rFonts w:ascii="Arial" w:cs="Arial" w:eastAsia="Arial" w:hAnsi="Arial"/>
                <w:sz w:val="18"/>
                <w:szCs w:val="18"/>
                <w:color w:val="auto"/>
              </w:rPr>
              <w:t>(7,676)(a)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19,506(b)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w w:val="99"/>
              </w:rPr>
              <w:t>- 39 -</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2011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w w:val="93"/>
              </w:rPr>
              <w:t>Investment securities available for sale</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760" w:type="dxa"/>
            <w:vAlign w:val="bottom"/>
            <w:gridSpan w:val="3"/>
          </w:tcPr>
          <w:p>
            <w:pPr>
              <w:jc w:val="center"/>
              <w:ind w:right="752"/>
              <w:spacing w:after="0" w:line="131" w:lineRule="exact"/>
              <w:rPr>
                <w:sz w:val="20"/>
                <w:szCs w:val="20"/>
                <w:color w:val="auto"/>
              </w:rPr>
            </w:pPr>
            <w:r>
              <w:rPr>
                <w:rFonts w:ascii="Arial" w:cs="Arial" w:eastAsia="Arial" w:hAnsi="Arial"/>
                <w:sz w:val="14"/>
                <w:szCs w:val="14"/>
                <w:color w:val="auto"/>
                <w:w w:val="87"/>
              </w:rPr>
              <w:t>Privately issued</w:t>
            </w:r>
          </w:p>
        </w:tc>
        <w:tc>
          <w:tcPr>
            <w:tcW w:w="1620" w:type="dxa"/>
            <w:vAlign w:val="bottom"/>
            <w:gridSpan w:val="3"/>
          </w:tcPr>
          <w:p>
            <w:pPr>
              <w:jc w:val="center"/>
              <w:ind w:right="680"/>
              <w:spacing w:after="0" w:line="131" w:lineRule="exact"/>
              <w:rPr>
                <w:sz w:val="20"/>
                <w:szCs w:val="20"/>
                <w:color w:val="auto"/>
              </w:rPr>
            </w:pPr>
            <w:r>
              <w:rPr>
                <w:rFonts w:ascii="Arial" w:cs="Arial" w:eastAsia="Arial" w:hAnsi="Arial"/>
                <w:sz w:val="14"/>
                <w:szCs w:val="14"/>
                <w:color w:val="auto"/>
                <w:w w:val="91"/>
              </w:rPr>
              <w:t>Privately issued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872"/>
              <w:spacing w:after="0" w:line="149" w:lineRule="exact"/>
              <w:rPr>
                <w:sz w:val="20"/>
                <w:szCs w:val="20"/>
                <w:color w:val="auto"/>
              </w:rPr>
            </w:pPr>
            <w:r>
              <w:rPr>
                <w:rFonts w:ascii="Arial" w:cs="Arial" w:eastAsia="Arial" w:hAnsi="Arial"/>
                <w:sz w:val="14"/>
                <w:szCs w:val="14"/>
                <w:color w:val="auto"/>
                <w:w w:val="87"/>
              </w:rPr>
              <w:t>residential</w:t>
            </w:r>
          </w:p>
        </w:tc>
        <w:tc>
          <w:tcPr>
            <w:tcW w:w="120" w:type="dxa"/>
            <w:vAlign w:val="bottom"/>
          </w:tcPr>
          <w:p>
            <w:pPr>
              <w:spacing w:after="0"/>
              <w:rPr>
                <w:sz w:val="12"/>
                <w:szCs w:val="12"/>
                <w:color w:val="auto"/>
              </w:rPr>
            </w:pP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commercial</w:t>
            </w:r>
          </w:p>
        </w:tc>
        <w:tc>
          <w:tcPr>
            <w:tcW w:w="1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62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debt</w:t>
            </w:r>
          </w:p>
        </w:tc>
        <w:tc>
          <w:tcPr>
            <w:tcW w:w="26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872"/>
              <w:spacing w:after="0" w:line="159" w:lineRule="exact"/>
              <w:rPr>
                <w:sz w:val="20"/>
                <w:szCs w:val="20"/>
                <w:color w:val="auto"/>
              </w:rPr>
            </w:pPr>
            <w:r>
              <w:rPr>
                <w:rFonts w:ascii="Arial" w:cs="Arial" w:eastAsia="Arial" w:hAnsi="Arial"/>
                <w:sz w:val="14"/>
                <w:szCs w:val="14"/>
                <w:color w:val="auto"/>
                <w:w w:val="87"/>
              </w:rPr>
              <w:t>securities</w:t>
            </w:r>
          </w:p>
        </w:tc>
        <w:tc>
          <w:tcPr>
            <w:tcW w:w="120" w:type="dxa"/>
            <w:vAlign w:val="bottom"/>
          </w:tcPr>
          <w:p>
            <w:pPr>
              <w:spacing w:after="0"/>
              <w:rPr>
                <w:sz w:val="13"/>
                <w:szCs w:val="13"/>
                <w:color w:val="auto"/>
              </w:rPr>
            </w:pPr>
          </w:p>
        </w:tc>
        <w:tc>
          <w:tcPr>
            <w:tcW w:w="150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4"/>
              </w:rPr>
              <w:t>securities</w:t>
            </w:r>
          </w:p>
        </w:tc>
        <w:tc>
          <w:tcPr>
            <w:tcW w:w="140" w:type="dxa"/>
            <w:vAlign w:val="bottom"/>
          </w:tcPr>
          <w:p>
            <w:pPr>
              <w:spacing w:after="0"/>
              <w:rPr>
                <w:sz w:val="13"/>
                <w:szCs w:val="13"/>
                <w:color w:val="auto"/>
              </w:rPr>
            </w:pPr>
          </w:p>
        </w:tc>
        <w:tc>
          <w:tcPr>
            <w:tcW w:w="124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w w:val="98"/>
              </w:rPr>
              <w:t>obligations</w:t>
            </w:r>
          </w:p>
        </w:tc>
        <w:tc>
          <w:tcPr>
            <w:tcW w:w="260" w:type="dxa"/>
            <w:vAlign w:val="bottom"/>
          </w:tcPr>
          <w:p>
            <w:pPr>
              <w:spacing w:after="0"/>
              <w:rPr>
                <w:sz w:val="13"/>
                <w:szCs w:val="13"/>
                <w:color w:val="auto"/>
              </w:rPr>
            </w:pPr>
          </w:p>
        </w:tc>
        <w:tc>
          <w:tcPr>
            <w:tcW w:w="9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1,435,561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22,407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110,756</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(7,541)(a)</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20,444(b)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620" w:type="dxa"/>
            <w:vAlign w:val="bottom"/>
            <w:gridSpan w:val="2"/>
          </w:tcPr>
          <w:p>
            <w:pPr>
              <w:jc w:val="right"/>
              <w:ind w:right="552"/>
              <w:spacing w:after="0"/>
              <w:rPr>
                <w:sz w:val="20"/>
                <w:szCs w:val="20"/>
                <w:color w:val="auto"/>
              </w:rPr>
            </w:pPr>
            <w:r>
              <w:rPr>
                <w:rFonts w:ascii="Arial" w:cs="Arial" w:eastAsia="Arial" w:hAnsi="Arial"/>
                <w:sz w:val="18"/>
                <w:szCs w:val="18"/>
                <w:color w:val="auto"/>
              </w:rPr>
              <w:t>61,085(e)</w:t>
            </w:r>
          </w:p>
        </w:tc>
        <w:tc>
          <w:tcPr>
            <w:tcW w:w="1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(82)(e)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3,834(e)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(97,227)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40" w:type="dxa"/>
            <w:vAlign w:val="bottom"/>
          </w:tcPr>
          <w:p>
            <w:pPr>
              <w:spacing w:after="0"/>
              <w:rPr>
                <w:sz w:val="18"/>
                <w:szCs w:val="18"/>
                <w:color w:val="auto"/>
              </w:rPr>
            </w:pPr>
          </w:p>
        </w:tc>
        <w:tc>
          <w:tcPr>
            <w:tcW w:w="162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(6,541)(d)</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1,391,878</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20,467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114,265</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16,147</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w w:val="99"/>
              </w:rPr>
              <w:t>earnings related to assets still held at March 31, 2011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92"/>
              <w:spacing w:after="0"/>
              <w:rPr>
                <w:sz w:val="20"/>
                <w:szCs w:val="20"/>
                <w:color w:val="auto"/>
              </w:rPr>
            </w:pPr>
            <w:r>
              <w:rPr>
                <w:rFonts w:ascii="Arial" w:cs="Arial" w:eastAsia="Arial" w:hAnsi="Arial"/>
                <w:sz w:val="18"/>
                <w:szCs w:val="18"/>
                <w:color w:val="auto"/>
              </w:rPr>
              <w:t>(7,541)(a)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16,036(b)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other-than-temporary impairment loss in the consolidated statement of income or as gain (loss) on bank investment securities.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hanging="452"/>
        <w:spacing w:after="0" w:line="250" w:lineRule="auto"/>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three-month periods ended March 31, 2012 and 2011, the Company recognized other-than-temporary impairment losses related to certain collateralized mortgage obligations of $4 million and $9 million, respectively. In accordance with GAAP, the carrying value of such securities was reduced to fair value, with estimated credit losses recognized in earnings and any remaining unrealized loss recognized in accumulated other comprehensive income. The determination of fair value includes use of external and internal valuation sources that, as in the case of privately issued residential mortgage-backed securities, are weighted and averaged when estimating fair value. Due to the presence of significant unobservable inputs that valuation is classified as Level 3. The amortized cost, fair value and impact on the Company’s financial statements of the modeling described herein were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or that result from new information obtained subsequent to the time of the last appraisal. Estimates of fair value used for other collateral supporting commercial loans generally are based on assumptions not observable in the marketplace and therefore such valuations have been classified as Level 3. Loans subject to nonrecurring fair value measurement were $363 million at March 31, 2012 ($208 million and $155 million of which were classified as Level 2 and Level 3, respectively) and $550 million at March 31, 2011 ($267 million and $283 million of which were classified as Level 2 and Level 3, respectively). Changes in fair value recognized for partial charge-offs of loans and loan impairment reserves on loans held by the Company on March 31, 2012 and 2011 were decreases of $19 million and $48 million for the three-month periods ended March 31, 2012 and 2011, respectively.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$10 million and $19 million at March 31, 2012 and March 31, 2011, respectively. Changes in fair value recognized for those foreclosed assets held by the Company were not significant during the three months ended March 31, 2012 or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in the fair value measurements for Level 3 assets and liabilities at March 31,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ind w:left="1120"/>
              <w:spacing w:after="0"/>
              <w:rPr>
                <w:sz w:val="20"/>
                <w:szCs w:val="20"/>
                <w:color w:val="auto"/>
              </w:rPr>
            </w:pPr>
            <w:r>
              <w:rPr>
                <w:rFonts w:ascii="Arial" w:cs="Arial" w:eastAsia="Arial" w:hAnsi="Arial"/>
                <w:sz w:val="14"/>
                <w:szCs w:val="14"/>
                <w:color w:val="auto"/>
              </w:rPr>
              <w:t>Valuation</w:t>
            </w:r>
          </w:p>
        </w:tc>
        <w:tc>
          <w:tcPr>
            <w:tcW w:w="12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Unobservable</w:t>
            </w:r>
          </w:p>
        </w:tc>
        <w:tc>
          <w:tcPr>
            <w:tcW w:w="2620" w:type="dxa"/>
            <w:vAlign w:val="bottom"/>
          </w:tcPr>
          <w:p>
            <w:pPr>
              <w:ind w:left="820"/>
              <w:spacing w:after="0"/>
              <w:rPr>
                <w:sz w:val="20"/>
                <w:szCs w:val="20"/>
                <w:color w:val="auto"/>
              </w:rPr>
            </w:pPr>
            <w:r>
              <w:rPr>
                <w:rFonts w:ascii="Arial" w:cs="Arial" w:eastAsia="Arial" w:hAnsi="Arial"/>
                <w:sz w:val="14"/>
                <w:szCs w:val="14"/>
                <w:color w:val="auto"/>
              </w:rPr>
              <w:t>Range (weighted-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40" w:type="dxa"/>
            <w:vAlign w:val="bottom"/>
          </w:tcPr>
          <w:p>
            <w:pPr>
              <w:ind w:left="1100"/>
              <w:spacing w:after="0"/>
              <w:rPr>
                <w:sz w:val="20"/>
                <w:szCs w:val="20"/>
                <w:color w:val="auto"/>
              </w:rPr>
            </w:pPr>
            <w:r>
              <w:rPr>
                <w:rFonts w:ascii="Arial" w:cs="Arial" w:eastAsia="Arial" w:hAnsi="Arial"/>
                <w:sz w:val="14"/>
                <w:szCs w:val="14"/>
                <w:color w:val="auto"/>
              </w:rPr>
              <w:t>technique</w:t>
            </w:r>
          </w:p>
        </w:tc>
        <w:tc>
          <w:tcPr>
            <w:tcW w:w="12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input/assumptions</w:t>
            </w:r>
          </w:p>
        </w:tc>
        <w:tc>
          <w:tcPr>
            <w:tcW w:w="2620" w:type="dxa"/>
            <w:vAlign w:val="bottom"/>
          </w:tcPr>
          <w:p>
            <w:pPr>
              <w:ind w:left="108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Recurring fair value measurements</w:t>
            </w:r>
          </w:p>
        </w:tc>
        <w:tc>
          <w:tcPr>
            <w:tcW w:w="2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100" w:type="dxa"/>
            <w:vAlign w:val="bottom"/>
            <w:gridSpan w:val="3"/>
          </w:tcPr>
          <w:p>
            <w:pPr>
              <w:spacing w:after="0"/>
              <w:rPr>
                <w:sz w:val="20"/>
                <w:szCs w:val="20"/>
                <w:color w:val="auto"/>
              </w:rPr>
            </w:pPr>
            <w:r>
              <w:rPr>
                <w:rFonts w:ascii="Arial" w:cs="Arial" w:eastAsia="Arial" w:hAnsi="Arial"/>
                <w:sz w:val="18"/>
                <w:szCs w:val="18"/>
                <w:color w:val="auto"/>
                <w:w w:val="97"/>
              </w:rPr>
              <w:t>Residential mortgage-backed securities</w:t>
            </w:r>
          </w:p>
        </w:tc>
        <w:tc>
          <w:tcPr>
            <w:tcW w:w="2740" w:type="dxa"/>
            <w:vAlign w:val="bottom"/>
          </w:tcPr>
          <w:p>
            <w:pPr>
              <w:spacing w:after="0"/>
              <w:rPr>
                <w:sz w:val="24"/>
                <w:szCs w:val="24"/>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Probability of default</w:t>
            </w:r>
          </w:p>
        </w:tc>
        <w:tc>
          <w:tcPr>
            <w:tcW w:w="2620" w:type="dxa"/>
            <w:vAlign w:val="bottom"/>
          </w:tcPr>
          <w:p>
            <w:pPr>
              <w:spacing w:after="0"/>
              <w:rPr>
                <w:sz w:val="20"/>
                <w:szCs w:val="20"/>
                <w:color w:val="auto"/>
              </w:rPr>
            </w:pPr>
            <w:r>
              <w:rPr>
                <w:rFonts w:ascii="Arial" w:cs="Arial" w:eastAsia="Arial" w:hAnsi="Arial"/>
                <w:sz w:val="18"/>
                <w:szCs w:val="18"/>
                <w:color w:val="auto"/>
              </w:rPr>
              <w:t>2%-49% (19%)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Discounted cash flow</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Loss severity</w:t>
            </w:r>
          </w:p>
        </w:tc>
        <w:tc>
          <w:tcPr>
            <w:tcW w:w="2620" w:type="dxa"/>
            <w:vAlign w:val="bottom"/>
          </w:tcPr>
          <w:p>
            <w:pPr>
              <w:spacing w:after="0"/>
              <w:rPr>
                <w:sz w:val="20"/>
                <w:szCs w:val="20"/>
                <w:color w:val="auto"/>
              </w:rPr>
            </w:pPr>
            <w:r>
              <w:rPr>
                <w:rFonts w:ascii="Arial" w:cs="Arial" w:eastAsia="Arial" w:hAnsi="Arial"/>
                <w:sz w:val="18"/>
                <w:szCs w:val="18"/>
                <w:color w:val="auto"/>
              </w:rPr>
              <w:t>32%-74% (49%)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trust preferred securities</w:t>
            </w:r>
          </w:p>
        </w:tc>
        <w:tc>
          <w:tcPr>
            <w:tcW w:w="274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Probability of default</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0%-65% (12%)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Loss severity</w:t>
            </w: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16"/>
        </w:trPr>
        <w:tc>
          <w:tcPr>
            <w:tcW w:w="3100" w:type="dxa"/>
            <w:vAlign w:val="bottom"/>
            <w:gridSpan w:val="3"/>
          </w:tcPr>
          <w:p>
            <w:pPr>
              <w:spacing w:after="0"/>
              <w:rPr>
                <w:sz w:val="20"/>
                <w:szCs w:val="20"/>
                <w:color w:val="auto"/>
              </w:rPr>
            </w:pPr>
            <w:r>
              <w:rPr>
                <w:rFonts w:ascii="Arial" w:cs="Arial" w:eastAsia="Arial" w:hAnsi="Arial"/>
                <w:sz w:val="18"/>
                <w:szCs w:val="18"/>
                <w:color w:val="auto"/>
              </w:rPr>
              <w:t>Commitments to originate real estate</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loans</w:t>
            </w:r>
          </w:p>
        </w:tc>
        <w:tc>
          <w:tcPr>
            <w:tcW w:w="2740" w:type="dxa"/>
            <w:vAlign w:val="bottom"/>
          </w:tcPr>
          <w:p>
            <w:pPr>
              <w:spacing w:after="0"/>
              <w:rPr>
                <w:sz w:val="20"/>
                <w:szCs w:val="20"/>
                <w:color w:val="auto"/>
              </w:rPr>
            </w:pPr>
            <w:r>
              <w:rPr>
                <w:rFonts w:ascii="Arial" w:cs="Arial" w:eastAsia="Arial" w:hAnsi="Arial"/>
                <w:sz w:val="18"/>
                <w:szCs w:val="18"/>
                <w:color w:val="auto"/>
              </w:rPr>
              <w:t>Discounted cash flow</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Commitment expirations</w:t>
            </w:r>
          </w:p>
        </w:tc>
        <w:tc>
          <w:tcPr>
            <w:tcW w:w="2620" w:type="dxa"/>
            <w:vAlign w:val="bottom"/>
          </w:tcPr>
          <w:p>
            <w:pPr>
              <w:spacing w:after="0"/>
              <w:rPr>
                <w:sz w:val="20"/>
                <w:szCs w:val="20"/>
                <w:color w:val="auto"/>
              </w:rPr>
            </w:pPr>
            <w:r>
              <w:rPr>
                <w:rFonts w:ascii="Arial" w:cs="Arial" w:eastAsia="Arial" w:hAnsi="Arial"/>
                <w:sz w:val="18"/>
                <w:szCs w:val="18"/>
                <w:color w:val="auto"/>
              </w:rPr>
              <w:t>7%-69% (19%)</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 increase (decrease) in the probability of default and loss severity for residential mortgage-backed securities and collateralized debt securities backed by trust preferred securities would generally result in a lower (higher) fair value measurement.</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An increase (decrease) in the estimate of expirations for commitments to originate residential mortgage loans would generally result in a lower (higher) fair value measurement. Estimated commitment expirations are derived considering loan type, changes in interest rates and remaining length of time until closing.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March 31, 2012</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5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380"/>
              <w:spacing w:after="0" w:line="131" w:lineRule="exact"/>
              <w:rPr>
                <w:sz w:val="20"/>
                <w:szCs w:val="20"/>
                <w:color w:val="auto"/>
              </w:rPr>
            </w:pPr>
            <w:r>
              <w:rPr>
                <w:rFonts w:ascii="Arial" w:cs="Arial" w:eastAsia="Arial" w:hAnsi="Arial"/>
                <w:sz w:val="14"/>
                <w:szCs w:val="14"/>
                <w:color w:val="auto"/>
              </w:rPr>
              <w:t>Carrying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00"/>
              <w:spacing w:after="0" w:line="131" w:lineRule="exact"/>
              <w:rPr>
                <w:sz w:val="20"/>
                <w:szCs w:val="20"/>
                <w:color w:val="auto"/>
              </w:rPr>
            </w:pPr>
            <w:r>
              <w:rPr>
                <w:rFonts w:ascii="Arial" w:cs="Arial" w:eastAsia="Arial" w:hAnsi="Arial"/>
                <w:sz w:val="14"/>
                <w:szCs w:val="14"/>
                <w:color w:val="auto"/>
                <w:w w:val="99"/>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fair value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3"/>
                <w:szCs w:val="13"/>
                <w:color w:val="auto"/>
              </w:rPr>
            </w:pPr>
          </w:p>
        </w:tc>
        <w:tc>
          <w:tcPr>
            <w:tcW w:w="10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Level 3</w:t>
            </w:r>
          </w:p>
        </w:tc>
      </w:tr>
      <w:tr>
        <w:trPr>
          <w:trHeight w:val="142"/>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1,344,092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1,344,092</w:t>
            </w: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1,277,211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66,881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517,620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55,416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462,204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7,124,480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470,971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1,340,644</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loans and leases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15,938,672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15,687,745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15,687,745</w:t>
            </w:r>
          </w:p>
        </w:tc>
      </w:tr>
      <w:tr>
        <w:trPr>
          <w:trHeight w:val="216"/>
        </w:trPr>
        <w:tc>
          <w:tcPr>
            <w:tcW w:w="5920" w:type="dxa"/>
            <w:vAlign w:val="bottom"/>
          </w:tcPr>
          <w:p>
            <w:pPr>
              <w:ind w:left="880"/>
              <w:spacing w:after="0"/>
              <w:rPr>
                <w:sz w:val="20"/>
                <w:szCs w:val="20"/>
                <w:color w:val="auto"/>
              </w:rPr>
            </w:pPr>
            <w:r>
              <w:rPr>
                <w:rFonts w:ascii="Arial" w:cs="Arial" w:eastAsia="Arial" w:hAnsi="Arial"/>
                <w:sz w:val="18"/>
                <w:szCs w:val="18"/>
                <w:color w:val="auto"/>
              </w:rPr>
              <w:t>Commercial real estate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24,486,555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24,018,399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23,978,231</w:t>
            </w: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real estate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8,696,594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5,528,194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3,142,192</w:t>
            </w:r>
          </w:p>
        </w:tc>
      </w:tr>
      <w:tr>
        <w:trPr>
          <w:trHeight w:val="216"/>
        </w:trPr>
        <w:tc>
          <w:tcPr>
            <w:tcW w:w="5920" w:type="dxa"/>
            <w:vAlign w:val="bottom"/>
          </w:tcPr>
          <w:p>
            <w:pPr>
              <w:ind w:left="880"/>
              <w:spacing w:after="0"/>
              <w:rPr>
                <w:sz w:val="20"/>
                <w:szCs w:val="20"/>
                <w:color w:val="auto"/>
              </w:rPr>
            </w:pPr>
            <w:r>
              <w:rPr>
                <w:rFonts w:ascii="Arial" w:cs="Arial" w:eastAsia="Arial" w:hAnsi="Arial"/>
                <w:sz w:val="18"/>
                <w:szCs w:val="18"/>
                <w:color w:val="auto"/>
              </w:rPr>
              <w:t>Consumer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11,799,929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11,610,852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11,610,852</w:t>
            </w: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credit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5920" w:type="dxa"/>
            <w:vAlign w:val="bottom"/>
          </w:tcPr>
          <w:p>
            <w:pPr>
              <w:ind w:left="1300"/>
              <w:spacing w:after="0"/>
              <w:rPr>
                <w:sz w:val="20"/>
                <w:szCs w:val="20"/>
                <w:color w:val="auto"/>
              </w:rPr>
            </w:pPr>
            <w:r>
              <w:rPr>
                <w:rFonts w:ascii="Arial" w:cs="Arial" w:eastAsia="Arial" w:hAnsi="Arial"/>
                <w:sz w:val="18"/>
                <w:szCs w:val="18"/>
                <w:color w:val="auto"/>
              </w:rPr>
              <w:t>Loans and leases,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60,012,744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59,987,382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5,568,362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54,419,020</w:t>
            </w:r>
          </w:p>
        </w:tc>
        <w:tc>
          <w:tcPr>
            <w:tcW w:w="100" w:type="dxa"/>
            <w:vAlign w:val="bottom"/>
          </w:tcPr>
          <w:p>
            <w:pPr>
              <w:spacing w:after="0"/>
              <w:rPr>
                <w:sz w:val="19"/>
                <w:szCs w:val="19"/>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23"/>
        </w:trPr>
        <w:tc>
          <w:tcPr>
            <w:tcW w:w="59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(20,648,970)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(20,648,970)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(20,648,970)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(34,101,194)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(34,101,194)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(34,101,194)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(5,767,588)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(5,805,066)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(5,805,066)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(395,191)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(395,191)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(395,191)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(511,981)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(511,981)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(511,981)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(6,476,526)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(6,575,337)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(6,575,337)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592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(398,185)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(398,185)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(398,185)</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02"/>
        </w:trPr>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financial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88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20,435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20,435</w:t>
            </w: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20,435</w:t>
            </w: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Commitments to sell real estate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880"/>
              <w:spacing w:after="0"/>
              <w:rPr>
                <w:sz w:val="20"/>
                <w:szCs w:val="20"/>
                <w:color w:val="auto"/>
              </w:rPr>
            </w:pPr>
            <w:r>
              <w:rPr>
                <w:rFonts w:ascii="Arial" w:cs="Arial" w:eastAsia="Arial" w:hAnsi="Arial"/>
                <w:sz w:val="18"/>
                <w:szCs w:val="18"/>
                <w:color w:val="auto"/>
              </w:rPr>
              <w:t>Other credit-related commitments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(106,962)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(106,962)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(106,962)</w:t>
            </w:r>
          </w:p>
        </w:tc>
      </w:tr>
      <w:tr>
        <w:trPr>
          <w:trHeight w:val="216"/>
        </w:trPr>
        <w:tc>
          <w:tcPr>
            <w:tcW w:w="59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Interest rate swap agreements used for interest rate risk management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63"/>
        </w:trPr>
        <w:tc>
          <w:tcPr>
            <w:tcW w:w="5920" w:type="dxa"/>
            <w:vAlign w:val="bottom"/>
          </w:tcPr>
          <w:p>
            <w:pPr>
              <w:ind w:left="5520"/>
              <w:spacing w:after="0"/>
              <w:rPr>
                <w:sz w:val="20"/>
                <w:szCs w:val="20"/>
                <w:color w:val="auto"/>
              </w:rPr>
            </w:pPr>
            <w:r>
              <w:rPr>
                <w:rFonts w:ascii="Arial" w:cs="Arial" w:eastAsia="Arial" w:hAnsi="Arial"/>
                <w:sz w:val="18"/>
                <w:szCs w:val="18"/>
                <w:color w:val="auto"/>
                <w:w w:val="90"/>
              </w:rPr>
              <w:t>- 43 -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800"/>
              <w:spacing w:after="0"/>
              <w:rPr>
                <w:sz w:val="20"/>
                <w:szCs w:val="20"/>
                <w:color w:val="auto"/>
              </w:rPr>
            </w:pPr>
            <w:r>
              <w:rPr>
                <w:rFonts w:ascii="Arial" w:cs="Arial" w:eastAsia="Arial" w:hAnsi="Arial"/>
                <w:sz w:val="14"/>
                <w:szCs w:val="14"/>
                <w:color w:val="auto"/>
              </w:rPr>
              <w:t>December 31, 2011</w:t>
            </w:r>
          </w:p>
        </w:tc>
      </w:tr>
      <w:tr>
        <w:trPr>
          <w:trHeight w:val="131"/>
        </w:trPr>
        <w:tc>
          <w:tcPr>
            <w:tcW w:w="5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520"/>
              <w:spacing w:after="0" w:line="131" w:lineRule="exact"/>
              <w:rPr>
                <w:sz w:val="20"/>
                <w:szCs w:val="20"/>
                <w:color w:val="auto"/>
              </w:rPr>
            </w:pPr>
            <w:r>
              <w:rPr>
                <w:rFonts w:ascii="Arial" w:cs="Arial" w:eastAsia="Arial" w:hAnsi="Arial"/>
                <w:sz w:val="14"/>
                <w:szCs w:val="14"/>
                <w:color w:val="auto"/>
              </w:rPr>
              <w:t>Carrying</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4"/>
              <w:spacing w:after="0" w:line="131" w:lineRule="exact"/>
              <w:rPr>
                <w:sz w:val="20"/>
                <w:szCs w:val="20"/>
                <w:color w:val="auto"/>
              </w:rPr>
            </w:pPr>
            <w:r>
              <w:rPr>
                <w:rFonts w:ascii="Arial" w:cs="Arial" w:eastAsia="Arial" w:hAnsi="Arial"/>
                <w:sz w:val="14"/>
                <w:szCs w:val="14"/>
                <w:color w:val="auto"/>
              </w:rPr>
              <w:t>Estimated</w:t>
            </w:r>
          </w:p>
        </w:tc>
        <w:tc>
          <w:tcPr>
            <w:tcW w:w="120" w:type="dxa"/>
            <w:vAlign w:val="bottom"/>
          </w:tcPr>
          <w:p>
            <w:pPr>
              <w:spacing w:after="0"/>
              <w:rPr>
                <w:sz w:val="11"/>
                <w:szCs w:val="11"/>
                <w:color w:val="auto"/>
              </w:rPr>
            </w:pPr>
          </w:p>
        </w:tc>
      </w:tr>
      <w:tr>
        <w:trPr>
          <w:trHeight w:val="159"/>
        </w:trPr>
        <w:tc>
          <w:tcPr>
            <w:tcW w:w="5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fair value</w:t>
            </w:r>
          </w:p>
        </w:tc>
      </w:tr>
      <w:tr>
        <w:trPr>
          <w:trHeight w:val="142"/>
        </w:trPr>
        <w:tc>
          <w:tcPr>
            <w:tcW w:w="5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jc w:val="right"/>
              <w:ind w:right="734"/>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1,452,397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1,452,397</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561,834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561,834</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7,673,154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7,608,008</w:t>
            </w: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 loans and leases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15,734,436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15,507,342</w:t>
            </w: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Commercial real estate loans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24,411,114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24,024,585</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real estate loans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7,923,165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7,782,935</w:t>
            </w: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Consumer loans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12,027,290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11,869,813</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credit losses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(908,290)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5920" w:type="dxa"/>
            <w:vAlign w:val="bottom"/>
          </w:tcPr>
          <w:p>
            <w:pPr>
              <w:ind w:left="1300"/>
              <w:spacing w:after="0"/>
              <w:rPr>
                <w:sz w:val="20"/>
                <w:szCs w:val="20"/>
                <w:color w:val="auto"/>
              </w:rPr>
            </w:pPr>
            <w:r>
              <w:rPr>
                <w:rFonts w:ascii="Arial" w:cs="Arial" w:eastAsia="Arial" w:hAnsi="Arial"/>
                <w:sz w:val="18"/>
                <w:szCs w:val="18"/>
                <w:color w:val="auto"/>
              </w:rPr>
              <w:t>Loans and leases, net</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59,187,715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59,184,675</w:t>
            </w:r>
          </w:p>
        </w:tc>
        <w:tc>
          <w:tcPr>
            <w:tcW w:w="120" w:type="dxa"/>
            <w:vAlign w:val="bottom"/>
          </w:tcPr>
          <w:p>
            <w:pPr>
              <w:spacing w:after="0"/>
              <w:rPr>
                <w:sz w:val="19"/>
                <w:szCs w:val="19"/>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222,618</w:t>
            </w:r>
          </w:p>
        </w:tc>
        <w:tc>
          <w:tcPr>
            <w:tcW w:w="120" w:type="dxa"/>
            <w:vAlign w:val="bottom"/>
            <w:shd w:val="clear" w:color="auto" w:fill="CCEEFF"/>
          </w:tcPr>
          <w:p>
            <w:pPr>
              <w:spacing w:after="0"/>
              <w:rPr>
                <w:sz w:val="18"/>
                <w:szCs w:val="18"/>
                <w:color w:val="auto"/>
              </w:rPr>
            </w:pPr>
          </w:p>
        </w:tc>
      </w:tr>
      <w:tr>
        <w:trPr>
          <w:trHeight w:val="323"/>
        </w:trPr>
        <w:tc>
          <w:tcPr>
            <w:tcW w:w="59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(20,017,883)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(20,017,883)</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(32,913,309)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(32,913,309)</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(6,107,530)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(6,133,806)</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(355,927)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(355,927)</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(782,082)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(782,082)</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(6,686,226)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(6,720,174)</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(67,900)</w:t>
            </w:r>
          </w:p>
        </w:tc>
      </w:tr>
      <w:tr>
        <w:trPr>
          <w:trHeight w:val="222"/>
        </w:trPr>
        <w:tc>
          <w:tcPr>
            <w:tcW w:w="592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(434,559)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(434,559)</w:t>
            </w:r>
          </w:p>
        </w:tc>
      </w:tr>
      <w:tr>
        <w:trPr>
          <w:trHeight w:val="102"/>
        </w:trPr>
        <w:tc>
          <w:tcPr>
            <w:tcW w:w="5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financial instruments: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Commitments to originate real estate loans for 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6,923</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Commitments to sell real estate loans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(3,498)</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Other credit-related commitments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(109,828)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(109,828)</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Interest rate swap agreements used for interest rate risk management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1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90"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credit-related commitments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2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color w:val="auto"/>
              </w:rPr>
              <w:t>March 31,</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500" w:type="dxa"/>
            <w:vAlign w:val="bottom"/>
            <w:gridSpan w:val="2"/>
          </w:tcPr>
          <w:p>
            <w:pPr>
              <w:jc w:val="right"/>
              <w:ind w:right="492"/>
              <w:spacing w:after="0" w:line="159" w:lineRule="exact"/>
              <w:rPr>
                <w:sz w:val="20"/>
                <w:szCs w:val="20"/>
                <w:color w:val="auto"/>
              </w:rPr>
            </w:pPr>
            <w:r>
              <w:rPr>
                <w:rFonts w:ascii="Arial" w:cs="Arial" w:eastAsia="Arial" w:hAnsi="Arial"/>
                <w:sz w:val="14"/>
                <w:szCs w:val="14"/>
                <w:color w:val="auto"/>
              </w:rPr>
              <w:t>2012</w:t>
            </w:r>
          </w:p>
        </w:tc>
        <w:tc>
          <w:tcPr>
            <w:tcW w:w="104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80" w:type="dxa"/>
            <w:vAlign w:val="bottom"/>
            <w:tcBorders>
              <w:top w:val="single" w:sz="8" w:color="auto"/>
            </w:tcBorders>
            <w:gridSpan w:val="2"/>
          </w:tcPr>
          <w:p>
            <w:pPr>
              <w:jc w:val="right"/>
              <w:ind w:right="6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Home equity lines of credit</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$ 6,399,753</w:t>
            </w:r>
          </w:p>
        </w:tc>
        <w:tc>
          <w:tcPr>
            <w:tcW w:w="1040" w:type="dxa"/>
            <w:vAlign w:val="bottom"/>
          </w:tcPr>
          <w:p>
            <w:pPr>
              <w:jc w:val="right"/>
              <w:spacing w:after="0"/>
              <w:rPr>
                <w:sz w:val="20"/>
                <w:szCs w:val="20"/>
                <w:color w:val="auto"/>
              </w:rPr>
            </w:pPr>
            <w:r>
              <w:rPr>
                <w:rFonts w:ascii="Arial" w:cs="Arial" w:eastAsia="Arial" w:hAnsi="Arial"/>
                <w:sz w:val="18"/>
                <w:szCs w:val="18"/>
                <w:color w:val="auto"/>
              </w:rPr>
              <w:t>6,393,332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real estate loans to be sold</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190,397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commercial real estate and construction</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2,788,952</w:t>
            </w:r>
          </w:p>
        </w:tc>
        <w:tc>
          <w:tcPr>
            <w:tcW w:w="1040" w:type="dxa"/>
            <w:vAlign w:val="bottom"/>
          </w:tcPr>
          <w:p>
            <w:pPr>
              <w:jc w:val="right"/>
              <w:spacing w:after="0"/>
              <w:rPr>
                <w:sz w:val="20"/>
                <w:szCs w:val="20"/>
                <w:color w:val="auto"/>
              </w:rPr>
            </w:pPr>
            <w:r>
              <w:rPr>
                <w:rFonts w:ascii="Arial" w:cs="Arial" w:eastAsia="Arial" w:hAnsi="Arial"/>
                <w:sz w:val="18"/>
                <w:szCs w:val="18"/>
                <w:color w:val="auto"/>
              </w:rPr>
              <w:t>2,818,071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real estate loans to be sold</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295,169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residential real estate</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243,465</w:t>
            </w:r>
          </w:p>
        </w:tc>
        <w:tc>
          <w:tcPr>
            <w:tcW w:w="1040" w:type="dxa"/>
            <w:vAlign w:val="bottom"/>
          </w:tcPr>
          <w:p>
            <w:pPr>
              <w:jc w:val="right"/>
              <w:spacing w:after="0"/>
              <w:rPr>
                <w:sz w:val="20"/>
                <w:szCs w:val="20"/>
                <w:color w:val="auto"/>
              </w:rPr>
            </w:pPr>
            <w:r>
              <w:rPr>
                <w:rFonts w:ascii="Arial" w:cs="Arial" w:eastAsia="Arial" w:hAnsi="Arial"/>
                <w:sz w:val="18"/>
                <w:szCs w:val="18"/>
                <w:color w:val="auto"/>
              </w:rPr>
              <w:t>129,466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and other</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10,936,656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3,870,093</w:t>
            </w:r>
          </w:p>
        </w:tc>
        <w:tc>
          <w:tcPr>
            <w:tcW w:w="1040" w:type="dxa"/>
            <w:vAlign w:val="bottom"/>
          </w:tcPr>
          <w:p>
            <w:pPr>
              <w:jc w:val="right"/>
              <w:spacing w:after="0"/>
              <w:rPr>
                <w:sz w:val="20"/>
                <w:szCs w:val="20"/>
                <w:color w:val="auto"/>
              </w:rPr>
            </w:pPr>
            <w:r>
              <w:rPr>
                <w:rFonts w:ascii="Arial" w:cs="Arial" w:eastAsia="Arial" w:hAnsi="Arial"/>
                <w:sz w:val="18"/>
                <w:szCs w:val="18"/>
                <w:color w:val="auto"/>
              </w:rPr>
              <w:t>3,930,271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54,096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2,245,496</w:t>
            </w:r>
          </w:p>
        </w:tc>
        <w:tc>
          <w:tcPr>
            <w:tcW w:w="1040" w:type="dxa"/>
            <w:vAlign w:val="bottom"/>
          </w:tcPr>
          <w:p>
            <w:pPr>
              <w:jc w:val="right"/>
              <w:spacing w:after="0"/>
              <w:rPr>
                <w:sz w:val="20"/>
                <w:szCs w:val="20"/>
                <w:color w:val="auto"/>
              </w:rPr>
            </w:pPr>
            <w:r>
              <w:rPr>
                <w:rFonts w:ascii="Arial" w:cs="Arial" w:eastAsia="Arial" w:hAnsi="Arial"/>
                <w:sz w:val="18"/>
                <w:szCs w:val="18"/>
                <w:color w:val="auto"/>
              </w:rPr>
              <w:t>1,903,254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602,652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$1.9 billion at March 31, 2012 and $1.8 billion at December 31, 2011.</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$72 million at March 31, 2012. Assets of subsidiaries providing reinsurance that are available to satisfy claims totaled approximately $43 million at March 31, 2012. The amounts noted above are not necessarily indicative of losses which may ultimately be incurred. Such losses are expected to be substantially less because most loans are repaid by borrowers in accordance with the original loan terms. Management believes any reinsurance losses that may be payable by the Company will not be material to the Company’s consolidated financial position.</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2012, management believes that any remaining liability arising out of the Company’s obligation to loan purchasers is not material to the Company’s consolidated financial position.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to the Company’s consolidated financial statements as of and for the year ended December 31, 2011.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2011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Information about the Company’s segments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color w:val="auto"/>
                <w:w w:val="85"/>
              </w:rPr>
              <w:t>Three months ended March 31</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2012</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60"/>
              <w:spacing w:after="0" w:line="131" w:lineRule="exact"/>
              <w:rPr>
                <w:sz w:val="20"/>
                <w:szCs w:val="20"/>
                <w:color w:val="auto"/>
              </w:rPr>
            </w:pPr>
            <w:r>
              <w:rPr>
                <w:rFonts w:ascii="Arial" w:cs="Arial" w:eastAsia="Arial" w:hAnsi="Arial"/>
                <w:sz w:val="14"/>
                <w:szCs w:val="14"/>
                <w:color w:val="auto"/>
                <w:w w:val="91"/>
              </w:rPr>
              <w:t>Inter-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2"/>
              </w:rPr>
              <w:t>Net</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ind w:right="160"/>
              <w:spacing w:after="0" w:line="131" w:lineRule="exact"/>
              <w:rPr>
                <w:sz w:val="20"/>
                <w:szCs w:val="20"/>
                <w:color w:val="auto"/>
              </w:rPr>
            </w:pPr>
            <w:r>
              <w:rPr>
                <w:rFonts w:ascii="Arial" w:cs="Arial" w:eastAsia="Arial" w:hAnsi="Arial"/>
                <w:sz w:val="14"/>
                <w:szCs w:val="14"/>
                <w:color w:val="auto"/>
                <w:w w:val="91"/>
              </w:rPr>
              <w:t>Inter-</w:t>
            </w:r>
          </w:p>
        </w:tc>
        <w:tc>
          <w:tcPr>
            <w:tcW w:w="8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Total</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segment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4"/>
              </w:rPr>
              <w:t>income</w:t>
            </w:r>
          </w:p>
        </w:tc>
        <w:tc>
          <w:tcPr>
            <w:tcW w:w="86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rPr>
              <w:t>Total</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segment</w:t>
            </w:r>
          </w:p>
        </w:tc>
        <w:tc>
          <w:tcPr>
            <w:tcW w:w="8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5"/>
              </w:rPr>
              <w:t>revenues(a)</w:t>
            </w:r>
          </w:p>
        </w:tc>
        <w:tc>
          <w:tcPr>
            <w:tcW w:w="68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3"/>
              </w:rPr>
              <w:t>revenues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center"/>
              <w:ind w:right="260"/>
              <w:spacing w:after="0" w:line="159" w:lineRule="exact"/>
              <w:rPr>
                <w:sz w:val="20"/>
                <w:szCs w:val="20"/>
                <w:color w:val="auto"/>
              </w:rPr>
            </w:pPr>
            <w:r>
              <w:rPr>
                <w:rFonts w:ascii="Arial" w:cs="Arial" w:eastAsia="Arial" w:hAnsi="Arial"/>
                <w:sz w:val="14"/>
                <w:szCs w:val="14"/>
                <w:color w:val="auto"/>
                <w:w w:val="87"/>
              </w:rPr>
              <w:t>(loss)</w:t>
            </w:r>
          </w:p>
        </w:tc>
        <w:tc>
          <w:tcPr>
            <w:tcW w:w="86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w w:val="82"/>
              </w:rPr>
              <w:t>revenues(a)</w:t>
            </w:r>
          </w:p>
        </w:tc>
        <w:tc>
          <w:tcPr>
            <w:tcW w:w="66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3"/>
              </w:rPr>
              <w:t>revenues</w:t>
            </w:r>
          </w:p>
        </w:tc>
        <w:tc>
          <w:tcPr>
            <w:tcW w:w="80" w:type="dxa"/>
            <w:vAlign w:val="bottom"/>
          </w:tcPr>
          <w:p>
            <w:pPr>
              <w:spacing w:after="0"/>
              <w:rPr>
                <w:sz w:val="13"/>
                <w:szCs w:val="13"/>
                <w:color w:val="auto"/>
              </w:rPr>
            </w:pPr>
          </w:p>
        </w:tc>
        <w:tc>
          <w:tcPr>
            <w:tcW w:w="74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7"/>
          </w:tcPr>
          <w:p>
            <w:pPr>
              <w:jc w:val="right"/>
              <w:ind w:right="640"/>
              <w:spacing w:after="0" w:line="142" w:lineRule="exact"/>
              <w:rPr>
                <w:sz w:val="20"/>
                <w:szCs w:val="20"/>
                <w:color w:val="auto"/>
              </w:rPr>
            </w:pPr>
            <w:r>
              <w:rPr>
                <w:rFonts w:ascii="Arial" w:cs="Arial" w:eastAsia="Arial" w:hAnsi="Arial"/>
                <w:sz w:val="14"/>
                <w:szCs w:val="14"/>
                <w:color w:val="auto"/>
              </w:rPr>
              <w:t>(in thousands)</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$ 111,976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35,333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Commercial Banking</w:t>
            </w:r>
          </w:p>
        </w:tc>
        <w:tc>
          <w:tcPr>
            <w:tcW w:w="680" w:type="dxa"/>
            <w:vAlign w:val="bottom"/>
          </w:tcPr>
          <w:p>
            <w:pPr>
              <w:jc w:val="right"/>
              <w:spacing w:after="0"/>
              <w:rPr>
                <w:sz w:val="20"/>
                <w:szCs w:val="20"/>
                <w:color w:val="auto"/>
              </w:rPr>
            </w:pPr>
            <w:r>
              <w:rPr>
                <w:rFonts w:ascii="Arial" w:cs="Arial" w:eastAsia="Arial" w:hAnsi="Arial"/>
                <w:sz w:val="18"/>
                <w:szCs w:val="18"/>
                <w:color w:val="auto"/>
              </w:rPr>
              <w:t>237,462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103,096</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213,612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88,331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68,631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125,306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(14,781)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(8,241)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42,483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(7,787)</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16,127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10,307</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Retail Banking</w:t>
            </w:r>
          </w:p>
        </w:tc>
        <w:tc>
          <w:tcPr>
            <w:tcW w:w="680" w:type="dxa"/>
            <w:vAlign w:val="bottom"/>
          </w:tcPr>
          <w:p>
            <w:pPr>
              <w:jc w:val="right"/>
              <w:spacing w:after="0"/>
              <w:rPr>
                <w:sz w:val="20"/>
                <w:szCs w:val="20"/>
                <w:color w:val="auto"/>
              </w:rPr>
            </w:pPr>
            <w:r>
              <w:rPr>
                <w:rFonts w:ascii="Arial" w:cs="Arial" w:eastAsia="Arial" w:hAnsi="Arial"/>
                <w:sz w:val="18"/>
                <w:szCs w:val="18"/>
                <w:color w:val="auto"/>
              </w:rPr>
              <w:t>306,848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48,657</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295,048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2,987</w:t>
            </w: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52,726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(25,617)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(64,530)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(7,991)</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(31,006)</w:t>
            </w: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$ 997,112</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206,463</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883,224</w:t>
            </w: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206,273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color w:val="auto"/>
                <w:w w:val="92"/>
              </w:rPr>
              <w:t>Average total assets</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7"/>
          </w:tcPr>
          <w:p>
            <w:pPr>
              <w:jc w:val="right"/>
              <w:ind w:right="320"/>
              <w:spacing w:after="0" w:line="131" w:lineRule="exact"/>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20"/>
              <w:spacing w:after="0" w:line="131" w:lineRule="exact"/>
              <w:rPr>
                <w:sz w:val="20"/>
                <w:szCs w:val="20"/>
                <w:color w:val="auto"/>
              </w:rPr>
            </w:pPr>
            <w:r>
              <w:rPr>
                <w:rFonts w:ascii="Arial" w:cs="Arial" w:eastAsia="Arial" w:hAnsi="Arial"/>
                <w:sz w:val="14"/>
                <w:szCs w:val="14"/>
                <w:color w:val="auto"/>
                <w:w w:val="82"/>
              </w:rPr>
              <w:t>Year ended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6"/>
          </w:tcPr>
          <w:p>
            <w:pPr>
              <w:jc w:val="right"/>
              <w:ind w:right="620"/>
              <w:spacing w:after="0" w:line="149" w:lineRule="exact"/>
              <w:rPr>
                <w:sz w:val="20"/>
                <w:szCs w:val="20"/>
                <w:color w:val="auto"/>
              </w:rPr>
            </w:pPr>
            <w:r>
              <w:rPr>
                <w:rFonts w:ascii="Arial" w:cs="Arial" w:eastAsia="Arial" w:hAnsi="Arial"/>
                <w:sz w:val="14"/>
                <w:szCs w:val="14"/>
                <w:color w:val="auto"/>
                <w:w w:val="92"/>
              </w:rPr>
              <w:t>March 31</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w w:val="96"/>
              </w:rPr>
              <w:t>2012</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100"/>
              <w:spacing w:after="0" w:line="159" w:lineRule="exact"/>
              <w:rPr>
                <w:sz w:val="20"/>
                <w:szCs w:val="20"/>
                <w:color w:val="auto"/>
              </w:rPr>
            </w:pPr>
            <w:r>
              <w:rPr>
                <w:rFonts w:ascii="Arial" w:cs="Arial" w:eastAsia="Arial" w:hAnsi="Arial"/>
                <w:sz w:val="14"/>
                <w:szCs w:val="14"/>
                <w:color w:val="auto"/>
              </w:rPr>
              <w:t>2011</w:t>
            </w: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9"/>
              </w:rPr>
              <w:t>2011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5"/>
          </w:tcPr>
          <w:p>
            <w:pPr>
              <w:jc w:val="right"/>
              <w:ind w:right="520"/>
              <w:spacing w:after="0"/>
              <w:rPr>
                <w:sz w:val="20"/>
                <w:szCs w:val="20"/>
                <w:color w:val="auto"/>
              </w:rPr>
            </w:pPr>
            <w:r>
              <w:rPr>
                <w:rFonts w:ascii="Arial" w:cs="Arial" w:eastAsia="Arial" w:hAnsi="Arial"/>
                <w:sz w:val="14"/>
                <w:szCs w:val="14"/>
                <w:color w:val="auto"/>
                <w:w w:val="93"/>
              </w:rPr>
              <w:t>(in millions)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gridSpan w:val="3"/>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3"/>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19,158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16,114</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17,650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16,316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13,931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14,170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11,856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11,653</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11,940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78,026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68,045</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73,977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80" w:hanging="452"/>
        <w:spacing w:after="0" w:line="306" w:lineRule="auto"/>
        <w:tabs>
          <w:tab w:leader="none" w:pos="46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w:t>
      </w:r>
    </w:p>
    <w:p>
      <w:pPr>
        <w:spacing w:after="0" w:line="93" w:lineRule="exact"/>
        <w:rPr>
          <w:rFonts w:ascii="Arial" w:cs="Arial" w:eastAsia="Arial" w:hAnsi="Arial"/>
          <w:sz w:val="16"/>
          <w:szCs w:val="16"/>
          <w:i w:val="1"/>
          <w:iCs w:val="1"/>
          <w:color w:val="auto"/>
        </w:rPr>
      </w:pPr>
    </w:p>
    <w:p>
      <w:pPr>
        <w:ind w:left="5620" w:hanging="96"/>
        <w:spacing w:after="0"/>
        <w:tabs>
          <w:tab w:leader="none" w:pos="5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3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3"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color w:val="auto"/>
        </w:rPr>
        <w:t>(e.g. deposits). The taxable-equivalent adjustment aggregated $6,705,000 and $6,327,000 for the three-month periods ended March 31, 2012 and 2011,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lender. M&amp;T recognizes income or loss from BLG using the equity method of accounting. The carrying value of that investment was $110 million at March 31, 2012.</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$4.3 billion and $4.4 billion at March 31, 2012 and December 31, 2011, respectively. Amounts recorded as capitalized servicing assets for such loans totaled $14 million at March 31, 2012 and $16 million at December 31, 2011. In addition, capitalized servicing rights at March 31, 2012 and December 31, 2011 also included $4 million and $5 million, respectively, for servicing rights that were obtained from Bayview Financial related to residential mortgage loans with outstanding principal balances of $3.0 billion at March 31, 2012 and $3.1 billion at December 31, 2011. The Company sub-services residential mortgage loans for Bayview Financial having outstanding principal balances totaling $12.8 billion and $13.1 billion at March 31, 2012 and December 31, 2011. Revenues from servicing residential and small-balance commercial mortgage loans obtained from BLG and Bayview Financial were $12 million and $11 million during the quarters ended March 31, 2012 and 2011, respectively. In addition, at March 31, 2012 and December 31, 2011, the Company held $13 million and $15 million, respectively, of collateralized mortgage obligations in its available-for-sale investment securities portfolio that were securitized by Bayview Financial. Finally, the Company held $262 million and $269 million of similar investment securities in its held-to-maturity portfolio at March 31, 2012 and December 31, 2011, respectively.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M&amp;T Bank Corporation (“M&amp;T”) in each of the first quarters of 2012 and 2011 was $206 million. Diluted earnings per common share were $1.50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the recent quarter, compared with $1.59 in the year-earlier quarter. During the fourth quarter of 2011, net income aggregated $148 million or $1.04 of diluted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per common share. Basic earnings per common share were $1.50 in the initial 2012 quarter, compared with $1.59 and $1.04 in the first and fourth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quarters of 2011, respectively. The after-tax impact of acquisition and integration-related expenses (included herein as merger-related expenses) was $2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million pre-tax), or $.01 of basic and diluted earnings per common share in the recent quarter, compared with $3 million ($4 million pre-tax), or $.02 of basic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diluted earnings per common share in the first quarter of 2011 and $10 million ($16 million pre-tax), or $.08 of basic and diluted earnings per common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final 2011 quarter. Such expenses were associated with M&amp;T’s May 16, 2011 acquisition of Wilmington Trust Corporation (“Wilmington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Wilmington, Delaware.</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recent quarter was 1.06%, compared with 1.23% in the first quarter of 2011 and .75% in the fourth quarter of 2011. The annualized rate of return on average common shareholders’ equity was 9.04% in the first three months of 2012, compared with 10.16% and 6.12% in the first and fourth quarters of 2011, respectively.</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May 16, 2011, M&amp;T acquired all of the outstanding common stock of Wilmington Trust in a stock-for-stock transaction. Wilmington Trust operated 55 banking offices in Delaware and Pennsylvania at the date of acquisition. The results of operations acquired in the Wilmington Trust transaction have been included in the Company’s financial results since the acquisition date. Wilmington Trust shareholders received .051372 shares of M&amp;T common stock in exchange for each share of Wilmington Trust common stock, resulting in M&amp;T issuing a total of 4,694,486 common shares with an acquisition date fair value of $406 million. Assets acquired totaled approximately $10.8 billion, including $6.4 billion of loans and leases (including approximately $3.2 billion of commercial real estate loans, $1.4 billion of commercial loans and leases, $680 million of residential real estate loans and $1.1 billion of consumer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of the U.S. Department of Treasury (“U.S. Treasury”). In connection with the acquisition, the Company recorded $112 million of core deposit and other intangible assets. There was no goodwill recorded as a result of the transaction, however, in accordance with generally accepted accounting principles (“GAAP”),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condition of the domestic and global economy over the last several years has significantly impacted the financial services industry as a whole, and specifically, the financial results of the Company. In particular, high unemployment levels and significantly depressed residential real estate valuations have led to increased loan charge-offs experienced by financial institutions throughout that time period. In addition, many financial institutions have continued to experience unrealized losses related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investment securities backed by residential and commercial real estate due to a lack of liquidity in the financial markets and anticipated credit losses. Many financial institutions, including the Company, have taken charges for those unrealized losses that were deemed to be other than temporary. Also negatively impacting the financial results of financial institutions during 2011 and the first quarter of 2012, including the Company, has been a series of new regulations, resulting in higher assessments by the FDIC and lower fee income.</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Reflected in the Company’s first quarter 2011 results were gains from the sale of investment securities, predominantly residential mortgage-backed securities guaranteed by the Federal National Mortgage Association (“Fannie Mae”) and the Federal Home Loan Mortgage Corporation (“Freddie Mac”). Such gains increased net income in that quarter by $24 million ($39 million before taxes), or $.20 of diluted earnings per common share. In connection with the then pending acquisition of Wilmington Trust, the Company sold the securities in order to reposition the investment portfolio and to manage its forecasted balance sheet size and resultant capital ratios.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noteworthy items were reflected in the Company’s financial results for the fourth quarter of 2011, as follows:</w:t>
      </w:r>
    </w:p>
    <w:p>
      <w:pPr>
        <w:spacing w:after="0" w:line="90" w:lineRule="exact"/>
        <w:rPr>
          <w:sz w:val="20"/>
          <w:szCs w:val="20"/>
          <w:color w:val="auto"/>
        </w:rPr>
      </w:pPr>
    </w:p>
    <w:p>
      <w:pPr>
        <w:ind w:left="900" w:hanging="446"/>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$79 million other-than-temporary impairment charge was recorded in “other costs of operations” related to M&amp;T’s 20% investment in Bayview Lending Group LLC (“BLG”). While Bayview’s asset management operations continue to grow and its business of managing capital in the distressed real estate market is performing well, the small-balance commercial real estate securitization market that BLG previously operated in continues to be stagnant. Reflecting those conditions, management increased its estimate of the time frame over which M&amp;T could reasonably anticipate recovery of the previously recorded investment amount and, as a result, concluded that the investment was other-than-temporarily impaired. That investment was written-down to its estimated fair value of $115 million.</w:t>
      </w:r>
    </w:p>
    <w:p>
      <w:pPr>
        <w:spacing w:after="0" w:line="39" w:lineRule="exact"/>
        <w:rPr>
          <w:rFonts w:ascii="Arial" w:cs="Arial" w:eastAsia="Arial" w:hAnsi="Arial"/>
          <w:sz w:val="16"/>
          <w:szCs w:val="16"/>
          <w:color w:val="auto"/>
        </w:rPr>
      </w:pPr>
    </w:p>
    <w:p>
      <w:pPr>
        <w:jc w:val="both"/>
        <w:ind w:left="900" w:right="20" w:hanging="446"/>
        <w:spacing w:after="0" w:line="30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December 2011, M&amp;T received $55 million in cash resulting from the full settlement of a lawsuit initiated by M&amp;T in 2008 against Deutsche Bank Securities, Inc. and several other parties. M&amp;T sought damages arising from a 2007 investment in collateralized debt obligations (“CDOs”) and alleged that the quality of the investment was not as represented. The $55 million was included in “other revenues from operations.”</w:t>
      </w:r>
    </w:p>
    <w:p>
      <w:pPr>
        <w:spacing w:after="0" w:line="25" w:lineRule="exact"/>
        <w:rPr>
          <w:rFonts w:ascii="Arial" w:cs="Arial" w:eastAsia="Arial" w:hAnsi="Arial"/>
          <w:sz w:val="16"/>
          <w:szCs w:val="16"/>
          <w:color w:val="auto"/>
        </w:rPr>
      </w:pPr>
    </w:p>
    <w:p>
      <w:pPr>
        <w:ind w:left="900" w:right="28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made a $30 million tax-deductible cash contribution to The M&amp;T Charitable Foundation, a private charitable foundation that has supported thousands of not-for-profit organizations to improve the quality of life throughout the communities M&amp;T serves. That contribution was included in “other costs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after-tax impact of those noteworthy items reduced net income for the fourth quarter of 2011 by $33 million, or $.26 of diluted earnings per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discussed in the Company’s Form 10-K for the year ended December 31, 2011,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agencies to adopt a broad range of new implementing rules and regulations, and to prepare numerous studies and reports for Congress, many of which are not yet completed or implemented. The Dodd-Frank Act could have a material adverse impact either on the financial services industry as a whole, as well as on M&amp;T’s business, results of operations, financial condition and liquidity.</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Dodd-Frank Act broadened the base for FDIC insurance assessments. Beginning in the second quarter of 2011, assessments are based on average consolidated total assets less average Tier 1 capital and certain allowable deductions of a financial institution. The Dodd-Frank Act also permanently increased the maximum amount of deposit insurance for banks, savings institutions and credit unions to $250,000 per depositor, retroactive to January 1, 2009, and noninterest-bearing transaction accounts have unlimited deposit insurance through December 31,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Dodd-Frank Act, among other things:</w:t>
      </w:r>
    </w:p>
    <w:p>
      <w:pPr>
        <w:spacing w:after="0" w:line="90" w:lineRule="exact"/>
        <w:rPr>
          <w:sz w:val="20"/>
          <w:szCs w:val="20"/>
          <w:color w:val="auto"/>
        </w:rPr>
      </w:pPr>
    </w:p>
    <w:p>
      <w:pPr>
        <w:ind w:left="900" w:right="54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amended the Electronic Fund Transfer Act (“EFTA”) which resulted in, among other things, the Federal Reserve Board issuing rules aimed at limiting debit-card interchange fees;</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applied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 and</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created the Financial Stability Oversight Council, which will recommend to the Federal Reserve Board increasingly strict rules for capital, leverage, liquidity, risk management and other requirements as companies grow in size and complexity.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Many aspects of the Dodd-Frank Act still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directly impact the net income of financial institutions. Provisions in the legislation that revoke the Tier 1 capital treatment of trust preferred securities and otherwise require revisions to the capital requirements of M&amp;T and M&amp;T Bank could require M&amp;T and M&amp;T Bank to further seek other sources of capital in the future. The impact of new rules relating to overdraft fee practices and debit-card interchange fees are discussed herein under the heading “Other Income.”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further discussion of other provisions of the Dodd-Frank Act is included in Part II, Item 7 of the Company’s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result of business combinations and other acquisitions, the Company had intangible assets consisting of goodwill and core deposit and other intangible assets totaling $3.7 billion at each of March 31, 2012 and December 31, 2011 and $3.6 billion at March 31, 2011. Included in such intangible assets was goodwill of $3.5 billion at each of those dates. Amortization of core deposit and other intangible assets, after tax effect, was $10 million ($.08 per diluted common share) during each of the two most recent quarters, compared with $7 million ($.06 per diluted common share) during the first quarter of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Net operating income totaled $218 million in the recently completed quarter, compared with $216 million in the initial quarter of 2011. Diluted net operating earnings per common share for the first quarter of 2012 were $1.59, compared with $1.67 in the year-earlier quarter. Net operating income and diluted net operating earnings per common share were $168 million and $1.20, respectively, in the fourth quarter of 2011.</w:t>
      </w:r>
    </w:p>
    <w:p>
      <w:pPr>
        <w:spacing w:after="0" w:line="10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Net operating income in the recent quarter expressed as an annualized rate of return on average tangible assets was 1.18%, compared with 1.36% and .89% in the first and fourth quarters of 2011, respectively. Net operating income represented an annualized return on average tangible common equity of 16.79% in the initial 2012 quarter, compared with 20.16% in the year-earlier quarter and 12.36% in the final quarter of 2011.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Taxable-equivalent net interest income totaled $627 million in the first quarter of 2012, up 9% from $575 million in the year-earlier quarter and slightly higher than $625 million in the fourth quarter of 2011. The improvement in the recent quarter’s total as compared with the first quarter of 2011 reflects higher average earning assets, which rose $9.0 billion, or 15%, to $68.4 billion from $59.4 billion in the first quarter of 2011, partially offset by a 23 basis point (hundredths of one percent) narrowing of the Company’s net interest margin, or taxable-equivalent net interest income expressed as an annualized percentage of average earning assets. The increase in average earning assets was predominantly attributable to the impact of the Wilmington Trust acquisition, which added approximately $9.6 billion of such assets on the May 16, 2011 acquisition date. The narrowing of the net interest margin reflects the impact of the Wilmington Trust acquisition and the effect of declining interest rates on yields earned on loans, partially offset by lower rates paid on deposits.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Average loans and leases rose $8.5 billion, or 16%, to $60.5 billion in the recent quarter from $52.0 billion in the first quarter of 2011. Loans associated with Wilmington Trust totaled $6.4 billion on the May 16, 2011 acquisition date, consisting of approximately $1.4 billion of commercial loans and leases, $3.2 billion of commercial real estate loans, $680 million of residential real estate loans and $1.1 billion of consumer loans. Including the impact of the acquired loan balances, commercial loans and leases averaged $15.7 billion in the first quarter of 2012, up $2.1 billion or 16% from $13.6 billion in the year-earlier quarter. Average commercial real estate loans rose $3.6 billion or 17% to $24.6 billion in the recent quarter from $21.0 billion in the first quarter of 2011. That increase was also predominantly due to the impact of loans obtained in the acquisition of Wilmington Trust. Average residential real estate loans outstanding rose to $8.3 billion in the first quarter of 2012 from $6.1 billion in the similar quarter of 2011. Included in that portfolio were loans held for sale, which averaged $211 million in the recent quarter, compared with $192 million in the first quarter of 2011.</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growth in residential real estate loans largely reflects the Company’s decision during the third quarter of 2011 to retain for portfolio a higher proportion of originated loans rather than selling them. Average consumer loans and leases totaled $11.9 billion in the recent quarter, $565 million or 5% higher than $11.3 billion in 2011’s initial quarter. That increase was largely due to the impact of loans obtained in the acquisition of Wilmington Trust, partially offset by lower average balances of automobile and home equity loans (excluding acquired Wilmington Trust loans).</w:t>
      </w:r>
    </w:p>
    <w:p>
      <w:pPr>
        <w:spacing w:after="0" w:line="113"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Average loan balances in the recent quarter rose $1.4 billion, or 2%, from the fourth quarter of 2011. Reflecting increased loan demand and, in the case of residential real estate loans, increased retention of originated loans for portfolio, average outstanding commercial loan and lease balances increased $340 million, or 2%, commercial real estate loan average balances rose $451 million, or 2%, and average residential real estate loan balances were up $806 million, or 11%.</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Average outstanding consumer loans declined $191 million or 2% from 2011’s final quarter as the Company has decided it does not want to pursue growth in certain of those portfolios including indirect automobile loans and home equity loans outside of the Company’s footprint. The accompanying table summarizes quarterly changes in the major components of the loan and lease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1st Qtr.</w:t>
            </w: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2"/>
              </w:rPr>
              <w:t>1st Qtr.</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4th Qtr.</w:t>
            </w:r>
          </w:p>
        </w:tc>
        <w:tc>
          <w:tcPr>
            <w:tcW w:w="0" w:type="dxa"/>
            <w:vAlign w:val="bottom"/>
          </w:tcPr>
          <w:p>
            <w:pPr>
              <w:spacing w:after="0"/>
              <w:rPr>
                <w:sz w:val="1"/>
                <w:szCs w:val="1"/>
                <w:color w:val="auto"/>
              </w:rPr>
            </w:pPr>
          </w:p>
        </w:tc>
      </w:tr>
      <w:tr>
        <w:trPr>
          <w:trHeight w:val="159"/>
        </w:trPr>
        <w:tc>
          <w:tcPr>
            <w:tcW w:w="67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rPr>
              <w:t>2012</w:t>
            </w:r>
          </w:p>
        </w:tc>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2011</w:t>
            </w:r>
          </w:p>
        </w:tc>
        <w:tc>
          <w:tcPr>
            <w:tcW w:w="6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$15,732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24,559</w:t>
            </w:r>
          </w:p>
        </w:tc>
        <w:tc>
          <w:tcPr>
            <w:tcW w:w="5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17</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8,286</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Consumer</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Automobile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2,677</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Home equity lines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5,987</w:t>
            </w:r>
          </w:p>
        </w:tc>
        <w:tc>
          <w:tcPr>
            <w:tcW w:w="5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loans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700" w:type="dxa"/>
            <w:vAlign w:val="bottom"/>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consumer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60,484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investment securities portfolio averaged $7.5 billion in the recent quarter, up $287 million or 4% from $7.2 billion in the first quarter of 2011. That increase was largely the result of the impact of purchases during the second and third quarters of 2011 of residential mortgage-backed securities guaranteed by the Government National Mortgage Association (“Ginnie Mae”) and Fannie Mae, offset in part by maturities, paydowns and sales of mortgage-backed securities. In addition, the Wilmington Trust acquisition added approximately $510 million to the investment securities portfolio on the May 16, 2011 acquisition date. Average investment securities declined $127 million in the recent quarter as compared with the immediately preceding quarter. That decline was predominantly the result of maturities and paydowns of mortgage-backed securities. The investment securities portfolio is largely comprised of residential mortgage-backed securities and CMOs, debt securities issued by municipalities, trust preferred securities issued by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Near the end of the first quarter of 2011, the Company sold residential mortgage-backed securities guaranteed by Fannie Mae and Freddie Mac that were held in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available-for-sale portfolio. Those securities had an amortized cost of approximately $484 million, but because the transactions occurred near the end of the quarter, they did not have a significant effect on that quarter’s average balances.</w:t>
      </w:r>
    </w:p>
    <w:p>
      <w:pPr>
        <w:spacing w:after="0" w:line="132"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The Company regularly reviews its investment securities for declines in value below amortized cost that might be characterized as “other than temporary.” Other-than-temporary impairment charges recognized during the quarters ended March 31, 2012, March 31, 2011 and December 31, 2011 were $11 million, $16 million and $25 million, respectively. Such impairment charges related to certain privately issued CMOs backed by residential and commercial real estate loans.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Poor economic conditions, high unemployment and depressed real estate values, all leading to increasing loan delinquencies and foreclosures, were the significant factors contributing to the recognition of the other-than-temporary impairment charges related to the CMOs. Based on management’s assessment of future cash flows associated with individual investment securities, as of March 31, 2012,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12 of Notes to Financial Statements.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Other earning assets include interest-earning deposits at the Federal Reserve Bank of New York and other banks, trading account assets, federal funds sold and agreements to resell securities. Those other earning assets in the aggregate averaged $397 million in the recently completed quarter, compared with $240 million and $2.1 billion in the first and fourth quarters of 2011, respectively. Interest-bearing deposits at banks averaged $301 million, $115 million and $2.0 billion during the quarters-ended March 31, 2012, March 31, 2011 and December 31, 2011, respectively. The significantly lower balance of interest-bearing deposits in the recent quarter as compared with the fourth quarter of 2011 reflects the impact of the previously described loan growth.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a result of the changes described herein, average earning assets aggregated $68.4 billion in the first quarter of 2012, compared with $59.4 billion in the corresponding quarter of 2011 and $68.8 billion in the fourth quarter of 2011.</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most significant source of funding for the Company is core deposits. The Company considers noninterest-bearing deposits, interest-bearing transaction accounts, savings deposits and domestic time deposits of $250,000 or less as core deposits. The Company’s branch network is its principal source of core deposits, which generally carry lower interest rates than wholesale funds of comparable maturities. Certificates of deposit of $250,000 or less generated on a nationwide basis by Wilmington Trust, National Association (“Wilmington Trust, N.A.”), a wholly owned bank subsidiary of M&amp;T that was formerly named M&amp;T Bank, National Association, were also included in core deposits. Core deposits averaged $56.2 billion in the first quarter of 2012, up 22% from $46.2 billion in the year-earlier quarter, but 1% below $56.7 billion in the fourth quarter of 2011. The Wilmington Trust acquisition added approximately $6.6 billion of core deposits on May 16, 2011. In addition to the impact of the Wilmington Trust acquisition, the growth in core deposits since the first quarter of 2011 was due, in part, to the lack of attractive alternative investments available to the Company’s customers resulting from lower interest rates and from the economic environment in the U.S. The recent quarter’s modest decline in average core deposits as compared with the final three months of 2011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reflects lower balances held on behalf of trust customers. The low interest rate environment has resulted in a shift in customer savings trends, as average time deposits have continued to decline, while average noninterest-bearing deposits and savings deposits have generally increased. The following table provides an analysis of quarterly changes in the components of average core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4"/>
          </w:tcPr>
          <w:p>
            <w:pPr>
              <w:jc w:val="right"/>
              <w:ind w:right="580"/>
              <w:spacing w:after="0"/>
              <w:rPr>
                <w:sz w:val="20"/>
                <w:szCs w:val="20"/>
                <w:color w:val="auto"/>
              </w:rPr>
            </w:pPr>
            <w:r>
              <w:rPr>
                <w:rFonts w:ascii="Arial" w:cs="Arial" w:eastAsia="Arial" w:hAnsi="Arial"/>
                <w:sz w:val="14"/>
                <w:szCs w:val="14"/>
                <w:color w:val="auto"/>
              </w:rPr>
              <w:t>Percent increase</w:t>
            </w:r>
          </w:p>
        </w:tc>
      </w:tr>
      <w:tr>
        <w:trPr>
          <w:trHeight w:val="162"/>
        </w:trPr>
        <w:tc>
          <w:tcPr>
            <w:tcW w:w="6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4"/>
          </w:tcPr>
          <w:p>
            <w:pPr>
              <w:jc w:val="right"/>
              <w:ind w:right="580"/>
              <w:spacing w:after="0"/>
              <w:rPr>
                <w:sz w:val="20"/>
                <w:szCs w:val="20"/>
                <w:color w:val="auto"/>
              </w:rPr>
            </w:pPr>
            <w:r>
              <w:rPr>
                <w:rFonts w:ascii="Arial" w:cs="Arial" w:eastAsia="Arial" w:hAnsi="Arial"/>
                <w:sz w:val="14"/>
                <w:szCs w:val="14"/>
                <w:color w:val="auto"/>
              </w:rPr>
              <w:t>(decrease) from</w:t>
            </w:r>
          </w:p>
        </w:tc>
      </w:tr>
      <w:tr>
        <w:trPr>
          <w:trHeight w:val="149"/>
        </w:trPr>
        <w:tc>
          <w:tcPr>
            <w:tcW w:w="6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8"/>
              <w:spacing w:after="0" w:line="149" w:lineRule="exact"/>
              <w:rPr>
                <w:sz w:val="20"/>
                <w:szCs w:val="20"/>
                <w:color w:val="auto"/>
              </w:rPr>
            </w:pPr>
            <w:r>
              <w:rPr>
                <w:rFonts w:ascii="Arial" w:cs="Arial" w:eastAsia="Arial" w:hAnsi="Arial"/>
                <w:sz w:val="14"/>
                <w:szCs w:val="14"/>
                <w:color w:val="auto"/>
                <w:w w:val="82"/>
              </w:rPr>
              <w:t>1st Qtr.</w:t>
            </w:r>
          </w:p>
        </w:tc>
        <w:tc>
          <w:tcPr>
            <w:tcW w:w="580" w:type="dxa"/>
            <w:vAlign w:val="bottom"/>
          </w:tcPr>
          <w:p>
            <w:pPr>
              <w:spacing w:after="0"/>
              <w:rPr>
                <w:sz w:val="12"/>
                <w:szCs w:val="12"/>
                <w:color w:val="auto"/>
              </w:rPr>
            </w:pPr>
          </w:p>
        </w:tc>
        <w:tc>
          <w:tcPr>
            <w:tcW w:w="10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2"/>
              </w:rPr>
              <w:t>1st Qtr.</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4th Qtr.</w:t>
            </w:r>
          </w:p>
        </w:tc>
      </w:tr>
      <w:tr>
        <w:trPr>
          <w:trHeight w:val="159"/>
        </w:trPr>
        <w:tc>
          <w:tcPr>
            <w:tcW w:w="66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rPr>
              <w:t>2012</w:t>
            </w:r>
          </w:p>
        </w:tc>
        <w:tc>
          <w:tcPr>
            <w:tcW w:w="5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4"/>
              <w:spacing w:after="0" w:line="159" w:lineRule="exact"/>
              <w:rPr>
                <w:sz w:val="20"/>
                <w:szCs w:val="20"/>
                <w:color w:val="auto"/>
              </w:rPr>
            </w:pPr>
            <w:r>
              <w:rPr>
                <w:rFonts w:ascii="Arial" w:cs="Arial" w:eastAsia="Arial" w:hAnsi="Arial"/>
                <w:sz w:val="14"/>
                <w:szCs w:val="14"/>
                <w:color w:val="auto"/>
                <w:w w:val="96"/>
              </w:rPr>
              <w:t>2011</w:t>
            </w:r>
          </w:p>
        </w:tc>
        <w:tc>
          <w:tcPr>
            <w:tcW w:w="6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2011</w:t>
            </w:r>
          </w:p>
        </w:tc>
        <w:tc>
          <w:tcPr>
            <w:tcW w:w="260" w:type="dxa"/>
            <w:vAlign w:val="bottom"/>
            <w:tcBorders>
              <w:bottom w:val="single" w:sz="8" w:color="CCEEFF"/>
            </w:tcBorders>
          </w:tcPr>
          <w:p>
            <w:pPr>
              <w:spacing w:after="0"/>
              <w:rPr>
                <w:sz w:val="13"/>
                <w:szCs w:val="13"/>
                <w:color w:val="auto"/>
              </w:rPr>
            </w:pPr>
          </w:p>
        </w:tc>
      </w:tr>
      <w:tr>
        <w:trPr>
          <w:trHeight w:val="210"/>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31,353</w:t>
            </w: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19</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Time deposits $250,000 or less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19,598</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r>
      <w:tr>
        <w:trPr>
          <w:trHeight w:val="27"/>
        </w:trPr>
        <w:tc>
          <w:tcPr>
            <w:tcW w:w="6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56,249</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6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Additional funding sources for the Company included domestic time deposits over $250,000, deposits associated with the Company’s Cayman Islands branch office, and brokered deposits. Domestic time deposits over $250,000, excluding brokered certificates of deposit, averaged $495 million in the first quarter of 2012, compared with $520 million and $477 million in the first and fourth quarters of 2011, respectively. Cayman Islands branch deposits averaged $495 million, $1.2 billion and $512 million for the three-month periods ended March 31, 2012, March 31, 2011 and December 31, 2011, respectively. Brokered time deposits averaged $973 million during the recently completed quarter, compared with $482 million and $1.2 billion in the first and fourth quarters of 2011, respectively. Brokered time deposits obtained in the acquisition of Wilmington Trust totaled $1.4 billion as of May 16, 2011. The Company also had brokered NOW and brokered money-market deposit accounts, which in the aggregate averaged $1.1 billion during the two most recent quarters, compared with $1.3 billion in the first quarter of 2011. The levels of brokered NOW and brokered money-market deposit accounts reflect the demand for such deposits, largely resulting from continued uncertain economic markets and the desire of brokerage firms to earn reasonable yields while ensuring that customer deposits are fully insured. While the levels of Cayman Islands branch deposits and brokered deposits are reflective of customer demand, the Company has used such deposits in the past as alternatives to short-term borrowings. Additional amounts of Cayman Islands branch deposits or brokered deposits may be added in the future depending on market conditions, including demand by customers and other investors for those deposits, and the cost of funds available from alternative sources at the time.</w:t>
      </w:r>
    </w:p>
    <w:p>
      <w:pPr>
        <w:spacing w:after="0" w:line="116"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The Company also uses borrowings from banks, securities dealers, various Federal Home Loan Banks, the Federal Reserve Bank and others as sources of funding. Short-term borrowings averaged $828 million in the recent quarter, compared with $1.3 billion in the initial 2011 quarter and $674 million in the fourth quarter of 2011. Included in short-term borrowings were unsecured federal funds borrowings, which generally mature on the next business day, which averaged $628 million in 2012’s initial quarter, compared with $1.2 billion and $357 million in the first and fourth quarters of 2011, respectively. Overnight federal funds borrowings represented the largest component of short-term borrowings and were obtained from a wide variety of banks and other financial institutions.</w:t>
      </w:r>
    </w:p>
    <w:p>
      <w:pPr>
        <w:spacing w:after="0" w:line="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Overnight federal funds borrowings totaled $324 million and $407 million at March 31, 2012 and 2011, respectively, and $590 million at December 31, 2011. Average short-term borrowings included borrowings from the Federal Home Loan Bank (“FHLB”) of New York, the FHLB of Atlanta and the FHLB of Pittsburgh, which totaled $50 million during each of the two most recent quarters, compared with $19 million in the first quarter of 2011.</w:t>
      </w:r>
    </w:p>
    <w:p>
      <w:pPr>
        <w:spacing w:after="0" w:line="10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Long-term borrowings averaged $6.5 billion in the first quarter of 2012, compared with $7.4 billion in the corresponding 2011 quarter and $6.6 billion in the fourth quarter of 2011. Included in average long-term borrowings were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amounts borrowed from the FHLBs of $1.4 billion in each of the first quarter of 2012 and the last quarter of 2011 and $2.5 billion in the first quarter of 2011, and subordinated capital notes of $2.2 billion in each of the two most recent quarters and $1.7 billion in the three-month period ended March 31, 2011. Subordinated capital notes assumed in connection with the Wilmington Trust acquisition totaled $450 million at May 16, 2011. The Company has utilized interest rate swap agreements to modify the repricing characteristics of certain components of long-term debt. As of March 31, 2012, interest rate swap agreements were used to hedge approximately $900 million of fixed rate subordinated notes. Further information on interest rate swap agreements is provided in note 10 of Notes to Financial Statements. Junior subordinated debentures associated with trust preferred securities that were included in average long-term borrowings were $1.2 billion in each of the quarters ended March 31, 2012, March 31, 2011 and December 31, 2011. Additional information regarding junior subordinated debentures is provided in note 5 of Notes to Financial Statements. Also included in long-term borrowings were agreements to repurchase securities, which averaged $1.4 billion during each of the first quarter of 2012 and the fourth quarter of 2011, compared with $1.6 billion in 2011’s initial quarter. The agreements have various repurchase dates through 2017, however, the contractual maturities of the underlying securities extend beyond such repurchase dates.</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3.44% in the first quarter of 2012 and 3.69% in the year-earlier quarter. The yield on earning assets during the recent quarter was 4.24%, down 36 basis points from 4.60% in the first quarter of 2011, while the rate paid on interest-bearing liabilities decreased 11 basis points to ..80% from .91%. In the fourth quarter of 2011, the net interest spread was 3.35%, the yield on earning assets was 4.17% and the rate paid on interest-bearing liabilities was .82%. The narrowing of the net interest spread in the recent quarter as compared with the first quarter of 2011 reflects the impact of the Wilmington Trust acquisition and the effect of declining interest rates on yields earned on loans, partially offset by lower rates paid on deposits. The improvement in net interest spread in the recent quarter as compared with the fourth quarter of 2011 reflects the impact of a $1.4 billion increase in average loans outstanding in 2012’s initial quarter, which largely offset a decline in lower yielding balances held at the Federal Reserve Bank of New York.</w:t>
      </w:r>
    </w:p>
    <w:p>
      <w:pPr>
        <w:spacing w:after="0" w:line="12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$21.4 billion in the first quarter of 2012, compared with $15.5 billion and $21.6 billion in the first and fourth quarters of 2011, respectively. The significant increases in net interest-free funds in the two most recent quarters as compared with the first quarter of 2011 were predominantly the result of higher average balances of noninterest-bearing deposits. Such deposits averaged $19.6 billion in the recent quarter, compared with $14.5 billion and $20.1 billion in the first and fourth quarters of 2011, respectively. In connection with the Wilmington Trust acquisition, the Company added noninterest-bearing deposits totaling $2.0 billion at the acquisition date. Goodwill and core deposit and other intangible assets averaged $3.7 billion during the quarters ended March 31, 2012 and December 31, 2011, compared with $3.6 billion during the quarter ended March 31, 2011. Core deposit and other intangible assets added from the Wilmington Trust transaction were $112 million on May 16, 2011. The cash surrender value of bank owned life insurance averaged $1.6 billion in each of the quarters ended March 31, 2012 and December 31, 2011, compared with $1.5 billion in the first three months of 2011. Increases in the cash surrender value of bank owned life insurance and benefits received are not included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interest income, but rather are recorded in “other revenues from operations.” The contribution of net interest-free funds to net interest margin was .25% in each of the two most recent quarters, compared with .23% in the first quarter of 2011.</w:t>
      </w:r>
    </w:p>
    <w:p>
      <w:pPr>
        <w:spacing w:after="0" w:line="132"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 3.69% in the first quarter of 2012, compared with 3.92% in the year-earlier quarter and 3.60% in the fourth quarter of 2011.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1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March 31, 2012, March 31, 2011 and December 31, 2011. Under the terms of those swap agreements, the Company received payments based on the outstanding notional amount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 fair value hedge, the fair value of the derivative (the interest rate swap agreement) and changes in the fair value of the hedged item are recorded in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Company’s consolidated balance sheet with the corresponding gain or loss recognized in current earnings. The difference between changes in the fair value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 agreements and the hedged items represents hedge ineffectiveness and is recorded in “other revenues from operations”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income. In a cash flow hedge, unlike in a fair value hedge, the effective portion of the derivative’s gain or loss is initially reported as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component of other comprehensive income and subsequently reclassified into earnings when the forecasted transaction affects earnings. The ineffective portion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gain or loss is reported in “other revenues from operations” immediately. The amounts of hedge ineffectiveness recognized during the quarters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2012 and 2011 and the quarter ended December 31, 2011 were not material to the Company’s results of operations. The estimated aggregate fair value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interest rate swap agreements designated as fair value hedges represented gains of approximately $140 million at March 31, 2012, $84 million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2011 and $147 million at December 31, 2011. The fair values of such swap agreements were substantially offset by changes in the fair values of the hedged items.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the fair values of the interest rate swap agreements and the hedged items primarily result from the effects of changing interest rates and spreads.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Company’s credit exposure as of March 31, 2012 with respect to the estimated fair value of interest rate swap agreements used for managing interest rate risk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has been substantially mitigated through master netting arrangements with trading account interest rate contracts with the same counterparty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counterparty postings of $75 million of collateral with the Company.</w:t>
      </w:r>
    </w:p>
    <w:p>
      <w:pPr>
        <w:spacing w:after="0" w:line="165"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weighted-average rates to be received and paid under interest rate swap agreements currently in effect were 6.07% and 2.02%, respectively, at March 31, 2012. The average notional amounts of interest rate swap agreements entered into for interest rate risk management purposes, the related effect on net interest income and margin, and the weighted-average rates paid or received on those swap agreements are presented in the accompanying table. Additional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Company’s use of interest rate swap agreements and other derivatives is included in note 10 of Notes to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color w:val="auto"/>
                <w:w w:val="88"/>
              </w:rPr>
              <w:t>Three months ended 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w w:val="91"/>
              </w:rPr>
              <w:t>Amount</w:t>
            </w:r>
          </w:p>
        </w:tc>
        <w:tc>
          <w:tcPr>
            <w:tcW w:w="20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(8,989)</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(9,514)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8,989</w:t>
            </w:r>
          </w:p>
        </w:tc>
        <w:tc>
          <w:tcPr>
            <w:tcW w:w="28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9,514</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were $324 million at March 31, 2012, $407 million at March 31, 2011 and $590 million at December 31, 2011. In general, those borrowings were unsecured and matured on the next business day. As previously noted, Cayman Islands branch deposits and brokered certificates of deposit have been used by the Company as an alternative to short-term borrowings. Cayman Islands branch deposits also generally mature on the next business day and totaled $395 million, $1.1 billion and $356 million at March 31, 2012, March 31, 2011 and December 31, 2011, respectively. Outstanding brokered time deposits at March 31, 2012, March 31, 2011 and December 31, 2011 were $935 million, $478 million and $1.0 billion, respectively. At March 31, 2012, the weighted-average remaining term to maturity of brokered time deposits was 11 months. Certain of those brokered time deposits have provisions that allow for early redemption. The Company also had brokered NOW and brokered money-market deposit accounts which aggregated $1.1 billion at each of March 31, 2012 and December 31, 2011 and $1.3 billion at March 31, 2011.</w:t>
      </w:r>
    </w:p>
    <w:p>
      <w:pPr>
        <w:spacing w:after="0" w:line="12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$20 million at March 31, 2012, $23 million at March 31, 2011 and $40 million at December 31, 2011. The total amount of VRDBs outstanding backed by M&amp;T Bank letters of credit was $1.9 billion at each of March 31, 2012, March 31, 2011 and December 31, 2011. M&amp;T Bank also serves as remarketing agent for most of those bonds.</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approximately $580 million at March 31, 2012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 The $300 million of 5.375% senior notes of M&amp;T that were issued in 2007 mature in May 2012. M&amp;T also maintains a $30 million line of credit with an unaffiliated commercial bank, on which there were no borrowings outstanding at March 31, 2012 or at December 31, 2011.</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24"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accompanying table as of March 31, 2012 and December 31, 2011 displays the estimated impact on net interest income from non-trading financial instruments in the base scenario described above resulting from parallel changes in interest rates across repricing categories during the first modeling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20" w:type="dxa"/>
            <w:vAlign w:val="bottom"/>
            <w:gridSpan w:val="5"/>
          </w:tcPr>
          <w:p>
            <w:pPr>
              <w:jc w:val="right"/>
              <w:ind w:right="64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7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44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9"/>
        </w:trPr>
        <w:tc>
          <w:tcPr>
            <w:tcW w:w="1420" w:type="dxa"/>
            <w:vAlign w:val="bottom"/>
            <w:tcBorders>
              <w:bottom w:val="single" w:sz="8" w:color="auto"/>
            </w:tcBorders>
            <w:vMerge w:val="continue"/>
          </w:tcPr>
          <w:p>
            <w:pPr>
              <w:spacing w:after="0"/>
              <w:rPr>
                <w:sz w:val="14"/>
                <w:szCs w:val="14"/>
                <w:color w:val="auto"/>
              </w:rPr>
            </w:pPr>
          </w:p>
        </w:tc>
        <w:tc>
          <w:tcPr>
            <w:tcW w:w="57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March 31, 2012</w:t>
            </w:r>
          </w:p>
        </w:tc>
        <w:tc>
          <w:tcPr>
            <w:tcW w:w="15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December 31, 2011</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+200 basis points</w:t>
            </w:r>
          </w:p>
        </w:tc>
        <w:tc>
          <w:tcPr>
            <w:tcW w:w="4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119,746</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117,826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65,754</w:t>
            </w:r>
          </w:p>
        </w:tc>
        <w:tc>
          <w:tcPr>
            <w:tcW w:w="4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64,103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(66,298)</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(62,055)</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5720" w:type="dxa"/>
            <w:vAlign w:val="bottom"/>
            <w:gridSpan w:val="3"/>
          </w:tcPr>
          <w:p>
            <w:pPr>
              <w:jc w:val="right"/>
              <w:ind w:right="360"/>
              <w:spacing w:after="0"/>
              <w:rPr>
                <w:sz w:val="20"/>
                <w:szCs w:val="20"/>
                <w:color w:val="auto"/>
              </w:rPr>
            </w:pPr>
            <w:r>
              <w:rPr>
                <w:rFonts w:ascii="Arial" w:cs="Arial" w:eastAsia="Arial" w:hAnsi="Arial"/>
                <w:sz w:val="18"/>
                <w:szCs w:val="18"/>
                <w:color w:val="auto"/>
              </w:rPr>
              <w:t>(87,675)</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(83,369)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10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notional amounts of interest rate contracts entered into for trading purposes aggregated $14.3 billion at March 31, 2012, compared with $12.3 billion at March 31, 2011 and $13.9 billion at December 31, 2011. The notional amounts of foreign currency and other option and futures contracts entered into for trading purposes totaled $1.4 billion at each of March 31, 2012 and December 31, 2011, compared with $982 million at March 31, 2011.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were $518 million and $398 million, respectively, at March 31, 2012, $414 million and $304 million, respectively, at March 31, 2011, and $562 million and $435 million, respectively, at December 31, 2011. Included in trading account assets were assets related to deferred compensation plans totaling $35 million and $36 million at March 31, 2012 and 2011, respectively, and $34 million at December 31, 2011. Changes in the fair value of such assets are recorded as “trading account and foreign exchange gains” in the consolidated statement of income. Included in “other liabilities” in the consolidated balance sheet at March 31, 2012 and December 31, 2011 were $32 million of liabilities related to deferred compensation plans, compared with $35 million at March 31, 2011. Changes in the balances of such liabilities due to the valuation of allocated investment options to which the liabilities are indexed are recorded in “other costs of operations” in the consolidated statement of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10 of 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first quarter of 2012 was $49 million, compared with $75 million in the year-earlier quarter and $74 million in the fourth quarter of 2011. While the Company has experienced improvement in its credit metrics during the past two years, generally declining real estate valuations and higher than normal levels of delinquencies and charge-offs have significantly affected the quality of the Company’s residential real estate-related loan portfolios. Specifically, the Company’s alternative (“Alt-A”) residential real estate loan portfolio and its residential real estate builder and developer loan portfolio experienced the majority of the credit problems related to the turmoil in the residential real estate market place in recent years.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The Company also experienced increased levels of commercial loan and consumer loan charge-offs over the past three years due to, among other things, higher unemployment levels and the recessionary economy.</w:t>
      </w:r>
    </w:p>
    <w:p>
      <w:pPr>
        <w:spacing w:after="0" w:line="12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Net loan charge-offs were $48 million in the recent quarter, compared with $74 million during each of the three-month periods ended March 31, 2011 and December 31, 2011. Net charge-offs as an annualized percentage of average loans and leases were .32% in the first quarter of 2012, compared with .58% and .50% in the first and fourth quarters of 2011, respectively. A summary of net charge-offs by loan type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w w:val="86"/>
              </w:rPr>
              <w:t>First Quarter</w:t>
            </w:r>
          </w:p>
        </w:tc>
        <w:tc>
          <w:tcPr>
            <w:tcW w:w="6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First Quarter</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Fourth Quarter</w:t>
            </w:r>
          </w:p>
        </w:tc>
      </w:tr>
      <w:tr>
        <w:trPr>
          <w:trHeight w:val="159"/>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2012</w:t>
            </w:r>
          </w:p>
        </w:tc>
        <w:tc>
          <w:tcPr>
            <w:tcW w:w="1300" w:type="dxa"/>
            <w:vAlign w:val="bottom"/>
            <w:gridSpan w:val="2"/>
          </w:tcPr>
          <w:p>
            <w:pPr>
              <w:ind w:left="820"/>
              <w:spacing w:after="0" w:line="159" w:lineRule="exact"/>
              <w:rPr>
                <w:sz w:val="20"/>
                <w:szCs w:val="20"/>
                <w:color w:val="auto"/>
              </w:rPr>
            </w:pPr>
            <w:r>
              <w:rPr>
                <w:rFonts w:ascii="Arial" w:cs="Arial" w:eastAsia="Arial" w:hAnsi="Arial"/>
                <w:sz w:val="14"/>
                <w:szCs w:val="14"/>
                <w:color w:val="auto"/>
              </w:rPr>
              <w:t>2011</w:t>
            </w:r>
          </w:p>
        </w:tc>
        <w:tc>
          <w:tcPr>
            <w:tcW w:w="600" w:type="dxa"/>
            <w:vAlign w:val="bottom"/>
          </w:tcPr>
          <w:p>
            <w:pPr>
              <w:spacing w:after="0"/>
              <w:rPr>
                <w:sz w:val="13"/>
                <w:szCs w:val="13"/>
                <w:color w:val="auto"/>
              </w:rPr>
            </w:pPr>
          </w:p>
        </w:tc>
        <w:tc>
          <w:tcPr>
            <w:tcW w:w="800" w:type="dxa"/>
            <w:vAlign w:val="bottom"/>
          </w:tcPr>
          <w:p>
            <w:pPr>
              <w:jc w:val="right"/>
              <w:ind w:right="178"/>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leasing, etc.</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3"/>
              </w:rPr>
              <w:t>11,862</w:t>
            </w: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9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24,230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10,844</w:t>
            </w:r>
          </w:p>
        </w:tc>
        <w:tc>
          <w:tcPr>
            <w:tcW w:w="1900" w:type="dxa"/>
            <w:vAlign w:val="bottom"/>
            <w:gridSpan w:val="3"/>
          </w:tcPr>
          <w:p>
            <w:pPr>
              <w:ind w:left="820"/>
              <w:spacing w:after="0"/>
              <w:rPr>
                <w:sz w:val="20"/>
                <w:szCs w:val="20"/>
                <w:color w:val="auto"/>
              </w:rPr>
            </w:pPr>
            <w:r>
              <w:rPr>
                <w:rFonts w:ascii="Arial" w:cs="Arial" w:eastAsia="Arial" w:hAnsi="Arial"/>
                <w:sz w:val="18"/>
                <w:szCs w:val="18"/>
                <w:color w:val="auto"/>
              </w:rPr>
              <w:t>14,666</w:t>
            </w:r>
          </w:p>
        </w:tc>
        <w:tc>
          <w:tcPr>
            <w:tcW w:w="800" w:type="dxa"/>
            <w:vAlign w:val="bottom"/>
          </w:tcPr>
          <w:p>
            <w:pPr>
              <w:jc w:val="right"/>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23,747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23,480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w:t>
            </w:r>
          </w:p>
        </w:tc>
        <w:tc>
          <w:tcPr>
            <w:tcW w:w="100" w:type="dxa"/>
            <w:vAlign w:val="bottom"/>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0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48,284</w:t>
            </w:r>
          </w:p>
        </w:tc>
        <w:tc>
          <w:tcPr>
            <w:tcW w:w="60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74,238</w:t>
            </w:r>
          </w:p>
        </w:tc>
        <w:tc>
          <w:tcPr>
            <w:tcW w:w="800" w:type="dxa"/>
            <w:vAlign w:val="bottom"/>
          </w:tcPr>
          <w:p>
            <w:pPr>
              <w:jc w:val="right"/>
              <w:spacing w:after="0"/>
              <w:rPr>
                <w:sz w:val="20"/>
                <w:szCs w:val="20"/>
                <w:color w:val="auto"/>
              </w:rPr>
            </w:pPr>
            <w:r>
              <w:rPr>
                <w:rFonts w:ascii="Arial" w:cs="Arial" w:eastAsia="Arial" w:hAnsi="Arial"/>
                <w:sz w:val="18"/>
                <w:szCs w:val="18"/>
                <w:color w:val="auto"/>
              </w:rPr>
              <w:t>74,235</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Included in net charge-offs of commercial real estate loans were charge-offs of loans to residential homebuilders and developers of $3 million in the initial quarter of 2012, compared with $18 million and $25 million for the quarters ended March 31, 2011 and December 31, 2011, respectively. Reflected in net charge-offs of residential real estate loans were net charge-offs of Alt-A first mortgage loans of $6 million in the recent quarter, compared with $8 million in each of the quarters ended March 31, 2011 and December 31, 2011. Included in net charge-offs of consumer loans and leases were net charge-offs during the quarters ended March 31, 2012, March 31, 2011 and December 31, 2011, respectively, of: automobile loans of $4 million, $6 million and $6 million; recreational vehicle loans of $5 million, $6 million and $5 million; and home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equity loans and lines of credit, including Alt-A second lien loans, of $9 million, $8 million and $9 million. Including both first and second lien mortgages, net charge-offs of Alt-A loans totaled $7 million, $9 million and $8 million for the quarters ended March 31, 2012, March 31, 2011 and December 31, 2011, respectively.</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cash flows expected at acquisition over the estimated fair value is being recognized as interest income over the lives of loans. The difference between contractually required payments at acquisition and the cash flows expected to be collected at acquisition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$7.8 billion, $3.2 billion and $8.2 billion at March 31, 2012, March 31, 2011 and December 31, 2011, respectively.</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Nonaccrual loans totaled $1.07 billion or 1.75% of total loans and leases outstanding at March 31, 2012, compared with $1.08 billion or 2.08% a year earlier and $1.10 billion or 1.83% at December 31, 2011.</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Accruing loans past due 90 days or more (excluding acquired loans) were $273 million or .45% of total loans and leases at March 31, 2012, compared with $244 million or .47% at March 31, 2011 and $288 million or .48% at December 31, 2011. Those loans included loans guaranteed by government-related entities of $253 million at each of March 31, 2012 and December 31, 2011 and $210 million at March 31, 2011.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fully guaranteed by government-related entities totaled $241 million at each of March 31, 2012 and December 31, 2011 and $195 million at March 31, 2011.</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$605 million at March 31, 2012, or approximately 1% of total loans. Of that amount, $561 million related to the Wilmington Trust acquisition.</w:t>
      </w:r>
    </w:p>
    <w:p>
      <w:pPr>
        <w:spacing w:after="0" w:line="14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Reflecting the impact of the Wilmington Trust acquisition, such loans increased to $165 million at March 31, 2012 from $116 million at March 31, 2011, and totaled $164 million at December 31,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an effort to assist borrowers, the Company modified the terms of select loans secured by residential real estate, largely from the Company’s portfolio of Alt-A loans. Included in loans outstanding at March 31, 2012 were $286 million of modified loans, of which $131 million were classified as nonaccrual. The remaining modified loans have demonstrated payment capability consistent with the modified terms and, accordingly, were classified as renegotiated loans and were accruing interest at March 31, 2012.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Modified residential real estate loans totaled $305 million at March 31, 2011, of which $126 million were in nonaccrual status, and $293 million as of December 31, 2011, of which $133 million were classified as nonaccrual. Information about modifications of loans that are considered troubled debt restructurings is included in note 4 of Notes to Financial Statements.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M&amp;T has not granted a concession with respect to the ultimate collection of the original loan balance. Such loans aggregated $156 million, $120 million and $143 million at March 31, 2012, March 31, 2011 and December 31, 2011, respectively.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Nonaccrual commercial loans and leases aggregated $155 million at March 31, 2012, $162 million at March 31, 2011 and $164 million at December 31, 2011. Commercial real estate loans classified as nonaccrual totaled $542 million at March 31, 2012, $572 million at March 31, 2011 and $559 million at December 31, 2011. Reflected in such nonaccrual loans were loans to residential homebuilders and developers aggregating $267 million and $300 million at March 31, 2012 and 2011, respectively, and $281 million at December 31, 2011. Information about the location of nonaccrual and charged-off loans to residential real estate builders and developers as of and for the three-month period ended March 31, 2012 is presented in the accompanying table.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color w:val="auto"/>
                <w:w w:val="84"/>
              </w:rPr>
              <w:t>Quarter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ind w:left="120"/>
              <w:spacing w:after="0" w:line="159" w:lineRule="exact"/>
              <w:rPr>
                <w:sz w:val="20"/>
                <w:szCs w:val="20"/>
                <w:color w:val="auto"/>
              </w:rPr>
            </w:pPr>
            <w:r>
              <w:rPr>
                <w:rFonts w:ascii="Arial" w:cs="Arial" w:eastAsia="Arial" w:hAnsi="Arial"/>
                <w:sz w:val="14"/>
                <w:szCs w:val="14"/>
                <w:color w:val="auto"/>
              </w:rPr>
              <w:t>March 31, 2012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300"/>
              <w:spacing w:after="0" w:line="159" w:lineRule="exact"/>
              <w:rPr>
                <w:sz w:val="20"/>
                <w:szCs w:val="20"/>
                <w:color w:val="auto"/>
              </w:rPr>
            </w:pPr>
            <w:r>
              <w:rPr>
                <w:rFonts w:ascii="Arial" w:cs="Arial" w:eastAsia="Arial" w:hAnsi="Arial"/>
                <w:sz w:val="14"/>
                <w:szCs w:val="14"/>
                <w:color w:val="auto"/>
                <w:w w:val="88"/>
              </w:rPr>
              <w:t>March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color w:val="auto"/>
              </w:rPr>
              <w:t>Nonaccrual</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center"/>
              <w:ind w:right="2"/>
              <w:spacing w:after="0" w:line="142" w:lineRule="exact"/>
              <w:rPr>
                <w:sz w:val="20"/>
                <w:szCs w:val="20"/>
                <w:color w:val="auto"/>
              </w:rPr>
            </w:pPr>
            <w:r>
              <w:rPr>
                <w:rFonts w:ascii="Arial" w:cs="Arial" w:eastAsia="Arial" w:hAnsi="Arial"/>
                <w:sz w:val="14"/>
                <w:szCs w:val="14"/>
                <w:color w:val="auto"/>
                <w:w w:val="87"/>
              </w:rPr>
              <w:t>Net charge-offs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2"/>
              </w:rPr>
              <w:t>Annualized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Percent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outstanding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4"/>
              </w:rPr>
              <w:t>balances(a)</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8"/>
              <w:spacing w:after="0" w:line="159" w:lineRule="exact"/>
              <w:rPr>
                <w:sz w:val="20"/>
                <w:szCs w:val="20"/>
                <w:color w:val="auto"/>
              </w:rPr>
            </w:pPr>
            <w:r>
              <w:rPr>
                <w:rFonts w:ascii="Arial" w:cs="Arial" w:eastAsia="Arial" w:hAnsi="Arial"/>
                <w:sz w:val="14"/>
                <w:szCs w:val="14"/>
                <w:color w:val="auto"/>
                <w:w w:val="79"/>
              </w:rPr>
              <w:t>Balances</w:t>
            </w:r>
          </w:p>
        </w:tc>
        <w:tc>
          <w:tcPr>
            <w:tcW w:w="400" w:type="dxa"/>
            <w:vAlign w:val="bottom"/>
          </w:tcPr>
          <w:p>
            <w:pPr>
              <w:spacing w:after="0"/>
              <w:rPr>
                <w:sz w:val="13"/>
                <w:szCs w:val="13"/>
                <w:color w:val="auto"/>
              </w:rPr>
            </w:pPr>
          </w:p>
        </w:tc>
        <w:tc>
          <w:tcPr>
            <w:tcW w:w="94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2"/>
              </w:rPr>
              <w:t>balances</w:t>
            </w:r>
          </w:p>
        </w:tc>
        <w:tc>
          <w:tcPr>
            <w:tcW w:w="180" w:type="dxa"/>
            <w:vAlign w:val="bottom"/>
          </w:tcPr>
          <w:p>
            <w:pPr>
              <w:spacing w:after="0"/>
              <w:rPr>
                <w:sz w:val="13"/>
                <w:szCs w:val="13"/>
                <w:color w:val="auto"/>
              </w:rPr>
            </w:pPr>
          </w:p>
        </w:tc>
        <w:tc>
          <w:tcPr>
            <w:tcW w:w="88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w w:val="98"/>
              </w:rPr>
              <w:t>(dollars in thousands)</w:t>
            </w: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6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20,411</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10.70%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Pennsylvania</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277,802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82,251</w:t>
            </w: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29.61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646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863,650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153,244</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17.74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2,326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179,109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24,420</w:t>
            </w:r>
          </w:p>
        </w:tc>
        <w:tc>
          <w:tcPr>
            <w:tcW w:w="1340" w:type="dxa"/>
            <w:vAlign w:val="bottom"/>
            <w:gridSpan w:val="3"/>
          </w:tcPr>
          <w:p>
            <w:pPr>
              <w:ind w:left="640"/>
              <w:spacing w:after="0"/>
              <w:rPr>
                <w:sz w:val="20"/>
                <w:szCs w:val="20"/>
                <w:color w:val="auto"/>
              </w:rPr>
            </w:pPr>
            <w:r>
              <w:rPr>
                <w:rFonts w:ascii="Arial" w:cs="Arial" w:eastAsia="Arial" w:hAnsi="Arial"/>
                <w:sz w:val="18"/>
                <w:szCs w:val="18"/>
                <w:color w:val="auto"/>
              </w:rPr>
              <w:t>13.63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1,511,336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280,326</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18.55%</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3,148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$66 million of loans not secured by real estate, of which approximately $13 million are in nonaccrual status.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Residential real estate loans classified as nonaccrual were $277 million at March 31, 2012, compared with $269 million at March 31, 2011 and $278 million at December 31, 2011. Depressed real estate values and high levels of delinquencies have contributed to the higher than historical levels of residential real estate loans classified as nonaccrual and to the elevated level of charge-offs, largely in the Company’s Alt-A portfolio. Included in residential real estate loans classified as nonaccrual were Alt-A loans of $102 million, $111 million and $105 million at March 31, 2012, March 31, 2011 and December 31, 2011, respectively. Residential real estate loans past due 90 days or more and accruing interest (excluding acquired loans) totaled $249 million at March 31, 2012, compared with $195 million a year earlier and $250 million at December 31, 2011. A substantial portion of such amounts related to guaranteed loans repurchased from government-related entities. Information about the location of nonaccrual and charged-off residential real estate loans as of and for the quarter ended March 31, 2012 is presented in the accompanying table.</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Nonaccrual consumer loans and leases aggregated $91 million at March 31, 2012, compared with $80 million at March 31, 2011 and $97 million at December 31, 2011. Included in nonaccrual consumer loans and leases at March 31, 2012, March 31, 2011 and December 31, 2011 were automobile loans of $23 million, $30 million and $27 million, respectively; recreational vehicle loans of $11 million, $12 million and $13 million, respectively; and outstanding balances of home equity loans and lines of credit, including junior lien Alt-A loans, of $48 million, $36 million and $47 million, respectively. Information about the location of nonaccrual and charged-off home equity loans and lines of credit as of and for the quarter-ended March 31, 2012 is presented in the accompanying table. As noted in the table, in general, net charge-offs as a percentage of average loans for junior lien portfolios are higher than those for first lien portfolios. Increased net charge-off rates of junior lien loans and lines of credit located in New York State for the quarter-ended March 31, 2012 are reflective of the elevated level of such loans classified as nonaccrual.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color w:val="auto"/>
                <w:w w:val="86"/>
              </w:rPr>
              <w:t>Quarter ended</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8"/>
              </w:rPr>
              <w:t>March 31, 2012</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4"/>
          </w:tcPr>
          <w:p>
            <w:pPr>
              <w:jc w:val="center"/>
              <w:ind w:right="300"/>
              <w:spacing w:after="0" w:line="159" w:lineRule="exact"/>
              <w:rPr>
                <w:sz w:val="20"/>
                <w:szCs w:val="20"/>
                <w:color w:val="auto"/>
              </w:rPr>
            </w:pPr>
            <w:r>
              <w:rPr>
                <w:rFonts w:ascii="Arial" w:cs="Arial" w:eastAsia="Arial" w:hAnsi="Arial"/>
                <w:sz w:val="14"/>
                <w:szCs w:val="14"/>
                <w:color w:val="auto"/>
                <w:w w:val="88"/>
              </w:rPr>
              <w:t>March 31, 2012</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center"/>
              <w:ind w:right="34"/>
              <w:spacing w:after="0" w:line="131" w:lineRule="exact"/>
              <w:rPr>
                <w:sz w:val="20"/>
                <w:szCs w:val="20"/>
                <w:color w:val="auto"/>
              </w:rPr>
            </w:pPr>
            <w:r>
              <w:rPr>
                <w:rFonts w:ascii="Arial" w:cs="Arial" w:eastAsia="Arial" w:hAnsi="Arial"/>
                <w:sz w:val="14"/>
                <w:szCs w:val="14"/>
                <w:color w:val="auto"/>
                <w:w w:val="87"/>
              </w:rPr>
              <w:t>Net charge-offs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jc w:val="right"/>
              <w:ind w:right="1020"/>
              <w:spacing w:after="0" w:line="159" w:lineRule="exact"/>
              <w:rPr>
                <w:sz w:val="20"/>
                <w:szCs w:val="20"/>
                <w:color w:val="auto"/>
              </w:rPr>
            </w:pPr>
            <w:r>
              <w:rPr>
                <w:rFonts w:ascii="Arial" w:cs="Arial" w:eastAsia="Arial" w:hAnsi="Arial"/>
                <w:sz w:val="14"/>
                <w:szCs w:val="14"/>
                <w:color w:val="auto"/>
              </w:rPr>
              <w:t>Nonaccrual</w:t>
            </w:r>
          </w:p>
        </w:tc>
        <w:tc>
          <w:tcPr>
            <w:tcW w:w="100" w:type="dxa"/>
            <w:vAlign w:val="bottom"/>
          </w:tcPr>
          <w:p>
            <w:pPr>
              <w:spacing w:after="0"/>
              <w:rPr>
                <w:sz w:val="13"/>
                <w:szCs w:val="13"/>
                <w:color w:val="auto"/>
              </w:rPr>
            </w:pPr>
          </w:p>
        </w:tc>
        <w:tc>
          <w:tcPr>
            <w:tcW w:w="1640" w:type="dxa"/>
            <w:vAlign w:val="bottom"/>
            <w:gridSpan w:val="4"/>
          </w:tcPr>
          <w:p>
            <w:pPr>
              <w:jc w:val="center"/>
              <w:ind w:right="300"/>
              <w:spacing w:after="0" w:line="159" w:lineRule="exact"/>
              <w:rPr>
                <w:sz w:val="20"/>
                <w:szCs w:val="20"/>
                <w:color w:val="auto"/>
              </w:rPr>
            </w:pPr>
            <w:r>
              <w:rPr>
                <w:rFonts w:ascii="Arial" w:cs="Arial" w:eastAsia="Arial" w:hAnsi="Arial"/>
                <w:sz w:val="14"/>
                <w:szCs w:val="14"/>
                <w:color w:val="auto"/>
                <w:w w:val="89"/>
              </w:rPr>
              <w:t>(recoveries)</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2"/>
              </w:rPr>
              <w:t>Annualized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Percent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outstanding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3"/>
              </w:rPr>
              <w:t>Balances</w:t>
            </w:r>
          </w:p>
        </w:tc>
        <w:tc>
          <w:tcPr>
            <w:tcW w:w="380" w:type="dxa"/>
            <w:vAlign w:val="bottom"/>
          </w:tcPr>
          <w:p>
            <w:pPr>
              <w:spacing w:after="0"/>
              <w:rPr>
                <w:sz w:val="13"/>
                <w:szCs w:val="13"/>
                <w:color w:val="auto"/>
              </w:rPr>
            </w:pPr>
          </w:p>
        </w:tc>
        <w:tc>
          <w:tcPr>
            <w:tcW w:w="112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2"/>
              </w:rPr>
              <w:t>balances</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color w:val="auto"/>
                <w:w w:val="85"/>
              </w:rPr>
              <w:t>(dollars 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3,302,584</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52,842</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1,082</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1,175,826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18,158</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1,980,735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37,246</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1,402</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1,696,466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63,160</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8,155,611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171,406</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4,309</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1,062</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3,711</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79,137</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18,261</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909</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2,887</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93,592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16,745</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458</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64,032</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4,554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501,850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101,925</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6,155</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1,158</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788</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24,475</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3,183</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110,619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268,851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4,263</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904,668</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3,456</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2,431</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543,941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1,537</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334</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2,077,579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8,485</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699</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56,271</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3,084</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1,251</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320,007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5,507</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1,520,514</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21,625</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5,218</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1,646,914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2,877</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1,245</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3,867,957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28,195</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7,193</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vMerge w:val="restart"/>
          </w:tcPr>
          <w:p>
            <w:pPr>
              <w:jc w:val="right"/>
              <w:ind w:right="312"/>
              <w:spacing w:after="0"/>
              <w:rPr>
                <w:sz w:val="20"/>
                <w:szCs w:val="20"/>
                <w:color w:val="auto"/>
              </w:rPr>
            </w:pPr>
            <w:r>
              <w:rPr>
                <w:rFonts w:ascii="Arial" w:cs="Arial" w:eastAsia="Arial" w:hAnsi="Arial"/>
                <w:sz w:val="18"/>
                <w:szCs w:val="18"/>
                <w:color w:val="auto"/>
              </w:rPr>
              <w:t>- 68 -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Real estate and other foreclosed assets totaled $140 million and $218 million at March 31, 2012 and March 31, 2011, and $157 million at December 31, 2011. The significant decline in such assets at the two most recent quarter-ends as compared with March 31, 2011 resulted from the sale during the second quarter of 2011 of a commercial real estate property located in New York City with a carrying value of $98 million. At March 31, 2012, the Company’s holding of residential real estate-related properties comprised 67% of foreclosed assets. Reflected in real estate and other foreclosed assets at March 31, 2012 and December 31, 2011 were $40 million and $48 million, respectively, of such assets associated with the Wilmington Trust acquisition.</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213" w:lineRule="exact"/>
        <w:rPr>
          <w:sz w:val="20"/>
          <w:szCs w:val="20"/>
          <w:color w:val="auto"/>
        </w:rPr>
      </w:pPr>
    </w:p>
    <w:p>
      <w:pPr>
        <w:ind w:right="4280"/>
        <w:spacing w:after="0" w:line="268"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4"/>
                <w:szCs w:val="14"/>
                <w:color w:val="auto"/>
                <w:w w:val="89"/>
              </w:rPr>
              <w:t>2012 First</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4"/>
                <w:szCs w:val="14"/>
                <w:color w:val="auto"/>
              </w:rPr>
              <w:t>2011 Quarters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3"/>
                <w:szCs w:val="13"/>
                <w:color w:val="auto"/>
              </w:rPr>
            </w:pPr>
          </w:p>
        </w:tc>
        <w:tc>
          <w:tcPr>
            <w:tcW w:w="760" w:type="dxa"/>
            <w:vAlign w:val="bottom"/>
          </w:tcPr>
          <w:p>
            <w:pPr>
              <w:jc w:val="right"/>
              <w:ind w:right="117"/>
              <w:spacing w:after="0" w:line="159" w:lineRule="exact"/>
              <w:rPr>
                <w:sz w:val="20"/>
                <w:szCs w:val="20"/>
                <w:color w:val="auto"/>
              </w:rPr>
            </w:pPr>
            <w:r>
              <w:rPr>
                <w:rFonts w:ascii="Arial" w:cs="Arial" w:eastAsia="Arial" w:hAnsi="Arial"/>
                <w:sz w:val="14"/>
                <w:szCs w:val="14"/>
                <w:color w:val="auto"/>
              </w:rPr>
              <w:t>Fourth</w:t>
            </w:r>
          </w:p>
        </w:tc>
        <w:tc>
          <w:tcPr>
            <w:tcW w:w="380" w:type="dxa"/>
            <w:vAlign w:val="bottom"/>
          </w:tcPr>
          <w:p>
            <w:pPr>
              <w:spacing w:after="0"/>
              <w:rPr>
                <w:sz w:val="13"/>
                <w:szCs w:val="13"/>
                <w:color w:val="auto"/>
              </w:rPr>
            </w:pPr>
          </w:p>
        </w:tc>
        <w:tc>
          <w:tcPr>
            <w:tcW w:w="1120" w:type="dxa"/>
            <w:vAlign w:val="bottom"/>
            <w:gridSpan w:val="2"/>
          </w:tcPr>
          <w:p>
            <w:pPr>
              <w:jc w:val="right"/>
              <w:ind w:right="600"/>
              <w:spacing w:after="0" w:line="159" w:lineRule="exact"/>
              <w:rPr>
                <w:sz w:val="20"/>
                <w:szCs w:val="20"/>
                <w:color w:val="auto"/>
              </w:rPr>
            </w:pPr>
            <w:r>
              <w:rPr>
                <w:rFonts w:ascii="Arial" w:cs="Arial" w:eastAsia="Arial" w:hAnsi="Arial"/>
                <w:sz w:val="14"/>
                <w:szCs w:val="14"/>
                <w:color w:val="auto"/>
              </w:rPr>
              <w:t>Third</w:t>
            </w:r>
          </w:p>
        </w:tc>
        <w:tc>
          <w:tcPr>
            <w:tcW w:w="114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Second</w:t>
            </w: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1,065,229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1,097,581</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1,113,788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1,117,584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1,081,920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140,297</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156,592</w:t>
            </w:r>
          </w:p>
        </w:tc>
        <w:tc>
          <w:tcPr>
            <w:tcW w:w="3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149,868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158,873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218,203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1,205,526</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1,254,173</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1,263,656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1,276,457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1,300,123</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273,081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287,876</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239,970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239,527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860"/>
              <w:spacing w:after="0"/>
              <w:rPr>
                <w:sz w:val="20"/>
                <w:szCs w:val="20"/>
                <w:color w:val="auto"/>
              </w:rPr>
            </w:pPr>
            <w:r>
              <w:rPr>
                <w:rFonts w:ascii="Arial" w:cs="Arial" w:eastAsia="Arial" w:hAnsi="Arial"/>
                <w:sz w:val="18"/>
                <w:szCs w:val="18"/>
                <w:color w:val="auto"/>
              </w:rPr>
              <w:t>Nonaccrual loans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44,717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40,529</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32,937</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Accruing loans past due 90 days or more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252,622</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252,503</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210,407</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205,644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209,787</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213,024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214,379</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223,233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234,726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163,738</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211,958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228,304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115,554</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customer balance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1,158,829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1,267,762</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1,393,777</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1,473,237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Carrying amount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604,779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653,362</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703,632</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752,978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88,589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r>
      <w:tr>
        <w:trPr>
          <w:trHeight w:val="208"/>
        </w:trPr>
        <w:tc>
          <w:tcPr>
            <w:tcW w:w="5880" w:type="dxa"/>
            <w:vAlign w:val="bottom"/>
          </w:tcPr>
          <w:p>
            <w:pPr>
              <w:spacing w:after="0"/>
              <w:rPr>
                <w:sz w:val="20"/>
                <w:szCs w:val="20"/>
                <w:color w:val="auto"/>
              </w:rPr>
            </w:pPr>
            <w:r>
              <w:rPr>
                <w:rFonts w:ascii="Arial" w:cs="Arial" w:eastAsia="Arial" w:hAnsi="Arial"/>
                <w:sz w:val="18"/>
                <w:szCs w:val="18"/>
                <w:color w:val="auto"/>
                <w:w w:val="96"/>
              </w:rPr>
              <w:t>Nonperforming assets to total net loans and leases and real estate and other</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880" w:type="dxa"/>
            <w:vAlign w:val="bottom"/>
          </w:tcPr>
          <w:p>
            <w:pPr>
              <w:ind w:left="220"/>
              <w:spacing w:after="0"/>
              <w:rPr>
                <w:sz w:val="20"/>
                <w:szCs w:val="20"/>
                <w:color w:val="auto"/>
              </w:rPr>
            </w:pPr>
            <w:r>
              <w:rPr>
                <w:rFonts w:ascii="Arial" w:cs="Arial" w:eastAsia="Arial" w:hAnsi="Arial"/>
                <w:sz w:val="18"/>
                <w:szCs w:val="18"/>
                <w:color w:val="auto"/>
              </w:rPr>
              <w:t>foreclosed assets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6"/>
              </w:rPr>
              <w:t>Accruing loans past due 90 days or more (a) to total loans and leases, net of</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discount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0"/>
        </w:trPr>
        <w:tc>
          <w:tcPr>
            <w:tcW w:w="5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2" w:lineRule="exact"/>
        <w:rPr>
          <w:rFonts w:ascii="Arial" w:cs="Arial" w:eastAsia="Arial" w:hAnsi="Arial"/>
          <w:sz w:val="16"/>
          <w:szCs w:val="16"/>
          <w:i w:val="1"/>
          <w:iCs w:val="1"/>
          <w:color w:val="auto"/>
        </w:rPr>
      </w:pPr>
    </w:p>
    <w:p>
      <w:pPr>
        <w:ind w:left="460" w:hanging="452"/>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 (iii) the concentrations of commercial real estate loans in the Company’s loan portfolio;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Management cautiously and conservatively evaluated the allowance for credit losses as of March 31, 2012 in light of: (i) residential real estate values and the level of delinquencies of residential real estate loans;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continue to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regions of upstate New York and central Pennsylvania. Approximately 60% of the Company’s loans are to customers in New York State and Pennsylvania. Home prices in upstate New York and central Pennsylvania were relatively stable in recent years, in contrast to declines in values in many other regions of the country. Therefore, despite the conditions, as previously described, the most severe credit issues experienced by the Company during the recent financial downturn have been centered around residential real estate, including loans to builders and developers of residential real estate, in areas other than New York State and Pennsylvania.</w:t>
      </w:r>
    </w:p>
    <w:p>
      <w:pPr>
        <w:spacing w:after="0" w:line="12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determining the allowance for credit losses. Criticized loans may be classified as “nonaccrual” if the Company no longer expects to collect all amounts according to the contractual terms of the loan agreement or the loan is delinquent 90 days or more.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March 31, 2012, approximately 36% of the Company’s home equity portfolio consisted of first lien loans. Of the remaining junior lien loans in the portfolio, approximately 85% (or approximately 55% of the aggregate home equity portfolio) consisted of junior lien loans that were behind a first lien mortgage loan that was not owned or serviced by the Company. For the junior lien loans where an entity other than the Company held a first lien mortgage, the Company cannot precisely determine whether there is a delinquency on such first lien mortgage.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charged-off at that time. Home equity line of credit terms vary but such lines are generally originated with an open draw period of ten years followed by an amortization period of up to twenty years. At March 31, 2012, approximately 97% of all outstanding balances of home equity lines of credit related to lines that were still in the draw period, the weighted-average remaining draw periods were approximately five years, and approximately 18% were making contractually allowed payments that do not include any repayment of principal.</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Reflecting the factors and conditions as described herein, the Company has experienced historically high levels of nonaccrual loans and net charge-offs of residential real estate-related loans, including first and junior lien Alt-A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1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64%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leases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1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Management believes that the allowance for credit losses at March 31, 2012 appropriately reflected credit losses inherent in the portfolio as of that date. The allowance for credit losses was $909 million, or 1.49% of total loans and leases at March 31, 2012, compared with $904 million or 1.73% at March 31, 2011 and $908 million or 1.51% at December 31, 2011. The ratio of the allowance to total loans and leases at each respective date reflects the impact of loans obtained in acquisition transactions subsequent to 2008 that have been recorded at estimated fair value based on estimated cash flows expected to be received on those loans. Those cash flows reflect the impact of expected defaults on customer repayment performance. As noted earlier, GAAP prohibits any carry-over of an allowance for credit losses for acquired loans recorded at fair value. The decline in the ratio of the allowance to total loans and leases from March 31, 2011 to the two most recent quarter-ends reflects the impact of loans obtained in the acquisition of Wilmington Trust.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for credit losses to nonaccrual loans was 85% at March 31, 2012, compared with 84% a year earlier and 83% at December 31, 2011.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Other income totaled $377 million in the initial quarter of 2012, compared with $314 million in the similar 2011 quarter and $398 million in the fourth quarter of 2011. Reflected in those amounts were net losses on investment securities of $11 million in the recent quarter and $25 million in the fourth quarter of 2011, compared with net gains on investment securities of $23 million in the first quarter of 2011. Included in net securities gains and losses in each of the quarters were other-than-temporary impairment charges of $11 million in the recent quarter, $16 million in the year-earlier quarter and $25 million in the fourth quarter of 2011. Those other-than-temporary impairment charges were predominantly related to the Company’s holdings of privately issued CMOs and reflect the impact of lower real estate values and higher delinquencies on real estate loans underlying those impaired securities. During the first quarter of 2011, the Company sold residential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mortgage-backed securities guaranteed by Fannie Mae and Freddie Mac held in its available-for-sale investment securities portfolio having an amortized cost of $484 million, resulting in a gain of $39 million.</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Excluding gains and losses from bank investment securities (including other-than-temporary impairment losses) in all periods and the aforementioned $55 million CDO litigation settlement in the final 2011 quarter, other income aggregated $388 million, $291 million and $368 million in the three-month periods ended March 31, 2012, March 31, 2011 and December 31, 2011, respectively. Contributing to the rise in such income in the recent quarter as compared with the first quarter of 2011 were higher trust income, predominantly related to the Wilmington Trust acquisition, and mortgage banking revenues. As compared with the fourth quarter of 2011, higher residential mortgage banking revenues, fees for providing deposit services and trust income during the recent quarter were partially offset by lower letter of credit and other credit-related fees.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Mortgage banking revenues totaled $56 million in the recently completed quarter, up from $45 million in the year-earlier quarter and $41 million in the fourth quarter of 2011.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$38 million in the first quarter of 2012, compared with $29 million in the year-earlier quarter and $24 million in 2011’s fourth quarter. The rise in residential mortgage banking revenues from the initial quarter of 2011 to the first quarter of 2012 was due to wider margins on loans originated for sale. As compared with the final quarter of 2011, the recent quarter increase in residential mortgage banking revenues reflects higher volumes of loans originated for sale and wider margins related to such loans.</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New commitments to originate residential mortgage loans to be sold were approximately $439 million in the recent quarter, compared with $468 million in the first quarter of 2011 and $341 million in the fourth quarter of 2011.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 sale and commitments to sell loans totaled to a gain of $10 million in the first quarter of 2012, compared with a gain of $9 million in the first quarter of 2011 and a loss of $1 million in the fourth quarter of 2011.</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the three-month periods ended March 31, 2012, March 31, 2011 and December 31, 2011 were reduced by approximately $4 million, $3 million and $7 million, respectively, related to the actual or anticipated settlement of repurchase obligations.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Late in the third quarter of 2010, the Company began to originate certain residential real estate loans to be held in its loan portfolio, rather than continuing to sell such loans. The loans conform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From March through June 2011, the Company resumed originating for sale the majority of new residential real estate loans. However, beginning in July 2011, the Company resumed originating the majority of residential real estate loans to be held in its loan portfolio. The decision to retain for portfolio the majority of such loans originated rather than selling them resulted in a reduction of residential mortgage banking revenues of approximately $21 million, $2 million and $11 million during the three-month periods ended March 31, 2012, March 31, 2011 and December 31, 2011,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Loans held for sale that are secured by residential real estate totaled $186 million and $143 million at March 31, 2012 and 2011, respectively, and $210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at December 31, 2011. Commitments to sell residential mortgage loans and commitments to originate residential mortgage loans for sale at pre-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rates were $372 million and $295 million, respectively, at March 31, 2012, compared with $422 million and $438 million at March 31, 2011,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$296 million and $182 million, respectively, at December 31, 2011. Net unrealized gains on residential mortgage loans held for sale, commitments to sell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commitments to originate loans for sale were $13 million and $10 million at March 31, 2012 and March 31, 2011, respectively, and $6 million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Changes in such net unrealized gains and losses are recorded in mortgage banking revenues and resulted in net increases in revenue of $7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first quarter of 2012 and $204 thousand in the fourth quarter of 2011, compared with net decreases in revenue of $237 thousand in 2011’s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Revenues from servicing residential mortgage loans for others were $27 million in the recent quarter, compared with $20 million and $24 million during the quarters ended March 31, 2011 and December 31, 2011, respectively. Included in such servicing revenues were amounts related to purchased servicing rights associated with small balance commercial mortgage loans, totaling $5 million in each of the first quarter of 2012 and the fourth quarter of 2011 and $6 million in the initial 2011 quarter. Residential mortgage loans serviced for others were $39.4 billion at March 31, 2012, $21.4 billion at March 31, 2011 and $40.7 billion at December 31, 2011, including the small balance commercial mortgage loans noted above of approximately $4.3 billion at March 31, 2012, $5.1 billion at March 31, 2011 and $4.4 billion at December 31, 2011. Reflected in residential mortgage loans serviced for others were loans sub-serviced for others of $13.9 billion and $14.3 billion at March 31, 2012 and December 31, 2011, respectively. Loans sub-serviced for others were not significant at March 31, 2011. On September 30, 2011, the Company purchased servicing rights associated with residential mortgage loans having outstanding principal balances of approximately $6.7 billion. The outstanding balances of such loans as of March 31, 2012 and December 31, 2011 were $6.1 billion and $6.4 billion, respectively. Approximately $5 million of servicing fees relating to that portfolio of loans were included in mortgage banking revenues in each of the three-month periods ended March 31, 2012 and December 31, 2011. Capitalized residential mortgage servicing assets, net of any applicable valuation allowance for possible impairment, totaled $135 million at March 31, 2012, compared with $112 million at March 31, 2011 and $145 million at December 31, 2011. The valuation allowance for possible impairment of capitalized residential mortgage servicing assets totaled $1 million and $2 million at March 31, 2012 and December 31, 2011, respectively. There was no similar valuation allowance at March 31, 2011. Included in capitalized residential mortgage servicing assets were $14 million at March 31, 2012, $23 million at March 31, 2011 and $16 million at December 31, 2011 of purchased servicing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rights associated with the small balance commercial mortgage loans noted above.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Commercial mortgage banking revenues totaled $18 million in the recent quarter, compared with $16 million in each of the first and fourth quarters of 2011. Included in such amounts were revenues from loan origination and sales activities of $12 million and $11 million in the quarters ended March 31, 2012 and 2011, respectively, and $10 million in the final quarter of 2011. Commercial mortgage loan servicing revenues were $6 million in each of the two most recent quarters and $5 million in the initial quarter of 2011. Capitalized commercial mortgage servicing assets totaled $53 million at March 31, 2012, compared with $45 million and $51 million at March 31, 2011 and December 31, 2011, respectively. Commercial mortgage loans serviced for other investors totaled $9.6 billion, $8.3 billion and $9.0 billion at March 31, 2012, March 31, 2011 and December 31, 2011, respectively, and included $1.9 billion, $1.6 billion and $1.8 billion, respectively, of loan balances for which investors had recourse to the Company if such balances are ultimately uncollectible. Commitments to sell commercial mortgage loans and commitments to originate commercial mortgage loans for sale were $231 million and $190 million, respectively, at March 31, 2012, $468 million and $423 million, respectively, at March 31, 2011 and $339 million and $178 million, respectively, at December 31, 2011. Commercial mortgage loans held for sale at March 31, 2012 and 2011 were $40 million and $45 million, respectively, and $161 million at December 31, 2011.</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Service charges on deposit accounts aggregated $109 million in the first quarter of 2012, compared with $110 million in the year-earlier quarter and $104 million in the fourth quarter of 2011. As compared with the initial 2011 quarter, higher commercial service charges and consumer service charges associated with the Wilmington Trust acquisition were offset by the impact of regulations enacted as part of the Dodd-Frank Act related to limiting debit card-interchange fees that financial institutions are able to assess. Those regulations were effective October 1, 2011. The recent quarter’s improvement as compared with the fourth quarter of 2011 was due to higher commercial service charges.</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Trust income aggregated $117 million in the recent quarter, compared with $29 million and $114 million in the first and fourth quarters of 2011, respectively. The Wilmington Trust acquisition contributed $90 million and $85 million to trust income in the three-month periods ended March 31, 2012 and December 31, 2011, respectively. That acquisition brought with it two significant sources of trust income. The Corporate Client Services (“CCS”)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CCS clients are multinational corporations and institutions.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reflects revenues from acquired CCS activities of $49 million and $46 million in the first quarter of 2012 and the fourth quarter of 2011, respectively, and revenues from acquired WAS activities of $35 million and $34 million in the recent quarter and the final 2011 quarter, respectively. Adversely impacting trust income in the first quarters of 2012 and 2011 and the fourth quarter of 2011 were $8 million, $5 million and $6 million, respectively, of fee waivers by the Company in order to provide for proprietary money-market mutual funds to pay customers a yield on their investments in such funds. Total trust assets, which include assets under management and assets under administration, aggregated $273.0 billion at March 31, 2012, compared with $261.9 billion at December 31, 2011. Trust assets under management were $55.3 billion and $52.7</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billion at March 31, 2012 and December 31, 2011, respectively. The acquisition of Wilmington Trust added trust assets under management and assets under administration aggregating $42.2 billion and $154.1 billion, respectively, during the second quarter of 2011. In addition to the asset amounts noted above, trust assets under management of affiliates (obtained in the Wilmington Trust transaction) totaled $15.7 billion at March 31, 2012 and $14.3 billion at December 31, 2011.</w:t>
      </w:r>
    </w:p>
    <w:p>
      <w:pPr>
        <w:spacing w:after="0" w:line="143"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$14 million in each of the first quarters of 2012 and 2011, little changed from $13 million in the fourth quarter of 2011. Gains from trading account and foreign exchange activity also did not vary significantly, resulting in gains of $11 million during the recent quarter, compared with $8 million in each of the first and fourth quarters of 2011.</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38"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Including other-than-temporary impairment losses, during the first quarter of 2012 the Company recognized net losses on investment securities of $11 million, compared with net gains of $23 million in the year-earlier quarter and net losses of $25 million in the fourth quarter of 2011. During the first quarter of 2011, the Company realized gains of $39 million from the sale of residential mortgage-backed securities guaranteed by Fannie Mae and Freddie Mac that had been held in the available-for-sale investment securities portfolio. Such securities had an amortized cost of approximately $484 million. Realized gains were not significant in the recent quarter or in 2011’s final quarter. Other-than-temporary impairment charges of $11 million, $16 million and $25 million were recorded in the quarters ended March 31, 2012, March 31, 2011 and December 31, 2011, respectively. The impairment charges were predominantly related to privately issued CMOs backed by residential and commercial real estate loans.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32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M&amp;T’s share of the operating losses of BLG in each the two most recent quarters was a loss of $5 million, compared with a loss of $7 million in the first quarter of 2011. The operating losses of BLG resulted from the disruptions in the residential and commercial real estate markets and reflected provisions for losses associated with securitized loans and other loans held by BLG and loan servicing and other administrative costs. The loan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losses largely relate to loans in non-recourse securitization trusts that BLG consolidates in its financial statements.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resulting in BLG’s future recognition of debt extinguishment gains. The timing of such debt extinguishment is largely dependent on the timing of loan workouts and collateral liquidations and given ongoing loan loss provisioning it is difficult to project when BLG will return to profitability. Despite the credit and liquidity disruptions that began in 2007, BLG had been successfully securitizing and selling significant volumes of small-balance commercial real estate loans until the first quarter of 2008. However, in response to the illiquidity in the marketplace since that time, BLG ceased its originations activities. As a result of past securitization activities, BLG is still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origination and securitization activities. To this point, BLG’s affiliates have reinvested their earnings to generate additional servicing and asset management activities further contributing to the value of those affiliates that inures to the benefit of BLG and, ultimately, M&amp;T. In 2011’s final quarter the Company recognized a $79 million other-than-temporary impairment charge related to M&amp;T’s 20% investment in BLG. While the small business commercial real estate securitization market that BLG previously operated in continues to be stagnant, its affiliated asset management operations continue to grow and its business of managing capital in the distressed real estate market is performing well. Nevertheless, in consideration of the passage of time since M&amp;T’s original investment in BLG in 2007, the prospects of ongoing loan losses at BLG and the inability to accurately predict the timing of potential distributions to M&amp;T, management increased its estimate of the timeframe over which the Company could reasonably anticipate recovery of the recorded investment amount and concluded that the investment was other-than-temporarily impaired. That investment was written-down to its estimated fair value of $115 million. The impairment charge of $79 million was recorded in “other costs of operations” in the fourth quarter of 2011. The Company believes that the value of its investment in BLG as of March 31, 2012 has not changed significantly since December 31, 2011. Information about the Company’s relationship with BLG and its affiliates is included in note 15 of Notes to Financial Statements.</w:t>
      </w:r>
    </w:p>
    <w:p>
      <w:pPr>
        <w:spacing w:after="0" w:line="1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Other revenues from operations totaled $86 million in the first quarter of 2012, compared with $91 million in the similar 2011 period and $149 million in the fourth quarter of 2011. Reflected in such revenues in the fourth quarter of 2011 was the $55 million litigation settlement related to the Company’s purchase of certain CDOs during 2007. The remaining declines in the recent quarter as compared with the year-earlier quarter and the fourth quarter of 2011 resulted predominantly from lower letter of credit and other credit-related fees. Included in other revenues from operations were the following significant components. Letter of credit and other credit-related fees totaled $27 million in the recent quarter, compared with $33 million in each of the first and fourth quarters of 2011. Tax-exempt income from bank owned life insurance, which includes increases in the cash surrender value of life insurance policies and benefits received, totaled $12 million during each of the two most recent quarters, compared with $13 million in the first quarter of 2011. Revenues from merchant discount and credit card fees were $18 million in each of the two most recent quarters, compared with $13 million in the quarter ended March 31, 2011. Insurance-related sales commissions and other revenues totaled $12 million in each of the first quarters of 2012 and 2011 and $10 million in the fourth quarter of 2011. Other than those items and the fourth quarter 2011 litigation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settlement, no other revenue source contributed more than $5 million to “other revenues from operations” in any of the quarterly periods discussed herein.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Other expense totaled $640 million in the first quarter of 2012, 28% higher than $500 million in the year-earlier quarter, but 14% below $740 million in the fourth quarter of 2011. Included in those amounts are expenses considered by management to be “nonoperating” in nature consisting of amortization of core deposit and other intangible assets of $17 million in the two most recent quarters and $12 million in the first quarter of 2011, and merger-related expenses of $3 million, $4 million and $16 million in the three-month periods ended March 31, 2012, March 31, 2011 and December 31, 2011, respectively. Such merger-related expenses were incurred in connection with the Wilmington Trust acquisition and related to systems conversions and other costs of integrating the acquired operations with and into the Company. Those expenses consisted largely of professional services and other temporary help fees associated with the conversion of systems and/or integration of operations; costs related to termination of existing contractual arrangements of Wilmington Trust to purchase various services; initial marketing and promotion expenses designed to introduce M&amp;T Bank to its new customers; severance for former employees; incentive compensation costs; travel costs; and printing, postage, supplies and other costs of completing the transaction and commencing operations in new markets and offices. Exclusive of these nonoperating expenses, noninterest operating expenses totaled $620 million in the first three months of 2012, compared with $483 million and $706 million in the first and fourth quarters of 2011, respectively. The most significant factor for the higher level of such expenses in the recent quarter as compared with the year-earlier quarter was the impact of the operations obtained in the Wilmington Trust acquisition. The decrease in expenses from the fourth quarter of 2011 was largely the result of the previously noted fourth quarter charges related to the $79 million other-than-temporary impairment of M&amp;T’s investment in BLG and the $30 million charitable contribution, partially offset by recent quarter seasonally higher stock-based compensation, payroll-related taxes and benefits costs. Table 2 provides a reconciliation of other expense to noninterest operating expense.</w:t>
      </w:r>
    </w:p>
    <w:p>
      <w:pPr>
        <w:spacing w:after="0" w:line="12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Salaries and employee benefits expense aggregated $346 million in the recent quarter, compared with $266 million in the year-earlier quarter and $313 million in the final quarter of 2011. The recent quarter’s increase as compared with the year-earlier quarter reflects the impact of operations associated with the May 16, 2011 acquisition of Wilmington Trust. Contributing to the increase in salaries and employee benefits expense in the recent quarter as compared with the fourth quarter of 2011 were higher stock-based compensation, unemployment insurance, payroll-related taxes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2012 and 2011 included $10 million and $8 million, respectively, that would have been recognized over the normal four-year vesting period if not for the accelerated expense recognition provisions of GAAP. That acceleration had no effect on the value of stock-based compensation awarded to employees. Salaries and employee benefits expense included stock-based compensation of $23 million and $20 million in the quarters ended March 31, 2012 and March 31, 2011, respectively, and $12 million in the quarter ended December 31, 2011. The number of full-time equivalent employees was 14,864 at March 31, 2012, compared with 12,715 and 15,072 at March 31, 2011 and December 31, 2011, respectively.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Excluding the nonoperating expenses described earlier from each quarter, nonpersonnel operating expenses were $276 million and $217 million in the quarters ended March 31, 2012 and March 31, 2011, respectively, and $394 million in the fourth quarter of 2011. The rise in such expenses in the recent quarter as compared with the year-earlier quarter was due predominantly to the impact of the operations associated with the Wilmington Trust acquisition. Also contributing to those higher nonpersonnel operating expenses were increased FDIC assessments in the recent quarter. The decline in nonpersonnel operating expenses in the recent quarter as compared with the final 2011 quarter was the result of the previously noted $79 million impairment charge related to BLG and the $30 million charitable contribution. The efficiency ratio measures the relationship of noninterest operating expenses to revenues. The Company’s efficiency ratio was 61.1% in the first quarter of 2012, compared with 55.8% in the year-earlier period and 67.4% in the fourth quarter of 2011. Table 2 includes a reconciliation of other expense to noninterest operating expense and the calculation of the efficiency ratio for the five most recent quarters.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provision for income taxes for each of the quarters ended March 31, 2012 and 2011 was $102 million, compared with $55 million in the fourth quarter of 2011. The effective tax rates were 33.1%, 33.2% and 27.2% for the quarters ended March 31, 2012, March 31, 2011 and December 31, 2011,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The lower effective tax rate in the fourth quarter of 2011 was largely due to that quarter’s lower pre-tax income relative to the amounts of tax-exempt income and other permanent differences that impact the effective tax rate.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Shareholders’ equity was $9.4 billion at March 31, 2012, representing 11.91% of total assets, compared with $8.5 billion or 12.53% at March 31, 2011 and $9.3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billion or 11.90% at December 31, 2011. Included in shareholders’ equity was preferred stock with financial statement carrying values of $866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2012, $743 million at March 31, 2011 and $865 million at December 31, 2011, respectively. That preferred stock balance included $366 million, $717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$365 million at March 31, 2012, March 31, 2011 and December 31, 2011, respectively, for Series A and Series C Fixed Rate Cumulative Perpetual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issued to the U.S. Treasury as part of the Troubled Asset Relief Program – Capital Purchase Program. The redemption value of such preferred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was $381.5 million at each of March 31, 2012 and December 31, 2011.</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Common shareholders’ equity was $8.6 billion, or $67.64 per share, at March 31, 2012, compared with $7.8 billion, or $64.43 per share, at March 31, 2011 and $8.4 billion, or $66.82 per share, at December 31, 2011. Tangible equity per common share, which excludes goodwill and core deposit and other intangible assets and applicable deferred tax balances, was $38.89 at March 31,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2012, $34.38 at March 31, 2011 and $37.79 at December 31, 2011. The Company’s ratio of tangible common equity to tangible assets was 6.51% at March 31, 2012, compared with 6.44% a year earlier and 6.40% at December 31, 2011. Reconciliations of total common shareholders’ equity and tangible common equity and total assets and tangible assets as of each of those respective dates are presented in table 2.</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net of applicable tax effect, were $58 million, or $.46 per common share, at March 31, 2012, compared with similar losses of $79 million, or $.66 per common share, at March 31, 2011 and $78 million, or $.62 per common share, at December 31, 2011.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Information about unrealized gains and losses as of March 31, 2012 and December 31, 2011 is included in note 3 of Notes to Financial Statements.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Reflected in net unrealized losses at March 31, 2012 were pre-tax effect unrealized losses of $262 million on available-for-sale investment securities with an amortized cost of $1.6 billion and pre-tax effect unrealized gains of $207 million on securities with an amortized cost of $4.3 billion. The pre-tax effect unrealized losses reflect $213 million of losses on privately issued residential mortgage-backed securities with an amortized cost of $1.3 billion and an estimated fair value of $1.0 billion (considered Level 3 valuations) and $41 million of losses on trust preferred securities issued by financial institutions having an amortized cost of $187 million and an estimated fair value of $146 million (generally considered Level 2 valuations).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March 31, 2012. As with any accounting estimate or other data, changes in fair values and investment ratings may occur at any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As a percentage of carrying</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unrealized</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3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Collateral type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Fair</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gains</w:t>
            </w:r>
          </w:p>
        </w:tc>
        <w:tc>
          <w:tcPr>
            <w:tcW w:w="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AAA</w:t>
            </w: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Senior</w:t>
            </w:r>
          </w:p>
        </w:tc>
        <w:tc>
          <w:tcPr>
            <w:tcW w:w="13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Credit</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55"/>
        </w:trPr>
        <w:tc>
          <w:tcPr>
            <w:tcW w:w="350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6"/>
              <w:spacing w:after="0" w:line="148" w:lineRule="exact"/>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3"/>
                <w:szCs w:val="13"/>
                <w:color w:val="auto"/>
              </w:rPr>
            </w:pPr>
          </w:p>
        </w:tc>
        <w:tc>
          <w:tcPr>
            <w:tcW w:w="10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value</w:t>
            </w:r>
          </w:p>
        </w:tc>
        <w:tc>
          <w:tcPr>
            <w:tcW w:w="10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79"/>
              </w:rPr>
              <w:t>(losses)</w:t>
            </w:r>
          </w:p>
        </w:tc>
        <w:tc>
          <w:tcPr>
            <w:tcW w:w="7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3"/>
              </w:rPr>
              <w:t>rated</w:t>
            </w:r>
          </w:p>
        </w:tc>
        <w:tc>
          <w:tcPr>
            <w:tcW w:w="106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grade</w:t>
            </w:r>
          </w:p>
        </w:tc>
        <w:tc>
          <w:tcPr>
            <w:tcW w:w="8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2"/>
              </w:rPr>
              <w:t>tranche</w:t>
            </w:r>
          </w:p>
        </w:tc>
        <w:tc>
          <w:tcPr>
            <w:tcW w:w="13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3"/>
              </w:rPr>
              <w:t>enhancement (b)</w:t>
            </w:r>
          </w:p>
        </w:tc>
        <w:tc>
          <w:tcPr>
            <w:tcW w:w="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status (c)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40"/>
              <w:spacing w:after="0" w:line="149" w:lineRule="exact"/>
              <w:rPr>
                <w:sz w:val="20"/>
                <w:szCs w:val="20"/>
                <w:color w:val="auto"/>
              </w:rPr>
            </w:pPr>
            <w:r>
              <w:rPr>
                <w:rFonts w:ascii="Arial" w:cs="Arial" w:eastAsia="Arial" w:hAnsi="Arial"/>
                <w:sz w:val="14"/>
                <w:szCs w:val="14"/>
                <w:color w:val="auto"/>
                <w:w w:val="96"/>
              </w:rPr>
              <w:t>(Dollars in thousands)</w:t>
            </w: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500" w:type="dxa"/>
            <w:vAlign w:val="bottom"/>
            <w:gridSpan w:val="4"/>
          </w:tcPr>
          <w:p>
            <w:pPr>
              <w:spacing w:after="0"/>
              <w:rPr>
                <w:sz w:val="20"/>
                <w:szCs w:val="20"/>
                <w:color w:val="auto"/>
              </w:rPr>
            </w:pPr>
            <w:r>
              <w:rPr>
                <w:rFonts w:ascii="Arial" w:cs="Arial" w:eastAsia="Arial" w:hAnsi="Arial"/>
                <w:sz w:val="18"/>
                <w:szCs w:val="18"/>
                <w:color w:val="auto"/>
              </w:rPr>
              <w:t>Residential mortgage loans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Prime – fixed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420"/>
              <w:spacing w:after="0"/>
              <w:rPr>
                <w:sz w:val="20"/>
                <w:szCs w:val="20"/>
                <w:color w:val="auto"/>
              </w:rPr>
            </w:pPr>
            <w:r>
              <w:rPr>
                <w:rFonts w:ascii="Arial" w:cs="Arial" w:eastAsia="Arial" w:hAnsi="Arial"/>
                <w:sz w:val="18"/>
                <w:szCs w:val="18"/>
                <w:color w:val="auto"/>
              </w:rPr>
              <w:t>Prime – Hybrid ARMs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1,125,506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954,949</w:t>
            </w:r>
          </w:p>
        </w:tc>
        <w:tc>
          <w:tcPr>
            <w:tcW w:w="3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(170,557)</w:t>
            </w:r>
          </w:p>
        </w:tc>
        <w:tc>
          <w:tcPr>
            <w:tcW w:w="7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36</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96</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Alt-A – Hybrid ARMs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(39,596)</w:t>
            </w: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12,679</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11,221</w:t>
            </w:r>
          </w:p>
        </w:tc>
        <w:tc>
          <w:tcPr>
            <w:tcW w:w="3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(1,458)</w:t>
            </w:r>
          </w:p>
        </w:tc>
        <w:tc>
          <w:tcPr>
            <w:tcW w:w="7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69</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1,318,040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1,110,695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(207,345)</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23"/>
        </w:trPr>
        <w:tc>
          <w:tcPr>
            <w:tcW w:w="3500" w:type="dxa"/>
            <w:vAlign w:val="bottom"/>
            <w:gridSpan w:val="4"/>
          </w:tcPr>
          <w:p>
            <w:pPr>
              <w:spacing w:after="0"/>
              <w:rPr>
                <w:sz w:val="20"/>
                <w:szCs w:val="20"/>
                <w:color w:val="auto"/>
              </w:rPr>
            </w:pPr>
            <w:r>
              <w:rPr>
                <w:rFonts w:ascii="Arial" w:cs="Arial" w:eastAsia="Arial" w:hAnsi="Arial"/>
                <w:sz w:val="18"/>
                <w:szCs w:val="18"/>
                <w:color w:val="auto"/>
              </w:rPr>
              <w:t>Commercial mortgage loans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15,193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13,435</w:t>
            </w:r>
          </w:p>
        </w:tc>
        <w:tc>
          <w:tcPr>
            <w:tcW w:w="3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(1,758)</w:t>
            </w:r>
          </w:p>
        </w:tc>
        <w:tc>
          <w:tcPr>
            <w:tcW w:w="7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1,333,233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1,124,130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(209,103)</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29"/>
        </w:trPr>
        <w:tc>
          <w:tcPr>
            <w:tcW w:w="3500" w:type="dxa"/>
            <w:vAlign w:val="bottom"/>
            <w:gridSpan w:val="4"/>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Residential and commercial mortgage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261,851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158,202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(103,649)</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80" w:type="dxa"/>
            <w:vAlign w:val="bottom"/>
            <w:gridSpan w:val="3"/>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1,595,084</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1,282,332</w:t>
            </w:r>
          </w:p>
        </w:tc>
        <w:tc>
          <w:tcPr>
            <w:tcW w:w="3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(312,752)</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March 31, 2012.</w:t>
      </w:r>
    </w:p>
    <w:p>
      <w:pPr>
        <w:spacing w:after="0" w:line="15" w:lineRule="exact"/>
        <w:rPr>
          <w:rFonts w:ascii="Arial" w:cs="Arial" w:eastAsia="Arial" w:hAnsi="Arial"/>
          <w:sz w:val="18"/>
          <w:szCs w:val="18"/>
          <w:i w:val="1"/>
          <w:iCs w:val="1"/>
          <w:color w:val="auto"/>
        </w:rPr>
      </w:pPr>
    </w:p>
    <w:p>
      <w:pPr>
        <w:ind w:left="460" w:right="280" w:hanging="452"/>
        <w:spacing w:after="0" w:line="250" w:lineRule="auto"/>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credit enhancement is calculated by dividing the remaining unpaid principal balance of bonds subordinate to the bonds owned by the Company plus any overcollateralization remaining in the securitization structure by the remaining unpaid principal balance of all bonds in the securitization structure.</w:t>
      </w:r>
    </w:p>
    <w:p>
      <w:pPr>
        <w:spacing w:after="0" w:line="1" w:lineRule="exact"/>
        <w:rPr>
          <w:rFonts w:ascii="Arial" w:cs="Arial" w:eastAsia="Arial" w:hAnsi="Arial"/>
          <w:sz w:val="18"/>
          <w:szCs w:val="18"/>
          <w:i w:val="1"/>
          <w:iCs w:val="1"/>
          <w:color w:val="auto"/>
        </w:rPr>
      </w:pPr>
    </w:p>
    <w:p>
      <w:pPr>
        <w:ind w:left="460" w:hanging="452"/>
        <w:spacing w:after="0" w:line="261" w:lineRule="auto"/>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percentage of amortized cost related to bonds for which the full amount of all contractually required principal and interest payments expected at acquisition continue to be received.</w:t>
      </w:r>
    </w:p>
    <w:p>
      <w:pPr>
        <w:spacing w:after="0" w:line="13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In estimating values for privately issued mortgage-backed securities, the Company was significantly restricted in the level of market observable assumptions used in the valuation of such securities. Because of reduced trading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March 31, 2012 and December 31, 2011. GAAP provides guidance for estimating fair value when the volume and level of trading activity for an asset or liability have significantly decreased. In consideration of that guidance, the Company performed internal modeling to estimate the cash flows and fair value of privately issued residential mortgage-backed securities with an amortized cost basis of $1.3 billion at each of March 31, 2012 and December 31, 2011. The Company’s internal modeling techniques included discounting estimated bond-specific cash flows using assumptions about cash flows associated with loans underlying each of the bonds. In estimating those cash flows, the Company used conservative assumptions as to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backed securities. To determine the most representative fair value for those bonds under current market conditions, the Company averaged the internal model valuations and the indications obtained from the two independent pricing sources resulting in a one-third weighting on the internal model valuation and a two-thirds weighting on valuations provided by the independent sources. Further information concerning the Company’s valuations of privately issued mortgage-backed securities can be found in note 12 of Notes to Financial Statements.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quarter ended March 31, 2012, the Company recognized $11 million (pre-tax) of other-than-temporary impairment losses including $7 million related to privately issued residential mortgage-backed securities and $4 million related to commercial mortgage-backed CMOs.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For privately issued residential mortgage-backed securities, the modeling for other than temporary impairment utilized assumptions about the expected underlying performance of the mortgage loan collateral considering recent collateral performance and future assumptions regarding default and loss severity. At March 31, 2012, projected model default percentages on the underlying mortgage loan collateral ranged from 2% to 34% and loss severities ranged from 27% to 74%. For bonds in which the Company has recognized an other-than-temporary impairment charge, the weighted-average percentage of default collateral was 22% and the weighted-average loss severity was 50%. For bonds without other-than-temporary impairment losses, the weighted-average default percentage and loss severity were 11% and 41%, respectively. Underlying mortgage loan collateral cash flows, after considering the impact of estimated credit losses, were distributed by the model to the various securities within the securitization structure to determine the timing and extent of losses at the bond level, if any. Despite continuing high levels of delinquencies and losses in the underlying residential mortgage loan collateral, given credit enhancements resulting from the structures of individual bonds, the Company has concluded that as of March 31, 2012 its remaining privately issued mortgage-backed securities were not other-than-temporarily impaired. Nevertheless, given recent market conditions, it is possible that adverse changes in repayment performance and fair value could occur in the remainder of 2012 and later years that could impact the Company’s conclusions. For example, a 10% increase in the estimated default rate assumption and a 10% increase in the severity rate assumption would have increased the other-than-temporary impairment charge recognized by the Company for the three months ended March 31, 2012 by $24 million.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 Information comparing the amortized cost and fair value of investment securities is included in note 3 of Notes to Financial Statements. The Company’s model as described above uses projected default and loss severity assumptions. Information on the current credit enhancement and current payment status of privately issued mortgage-backed securities at March 31, 2012 is included in the accompanying table.</w:t>
      </w:r>
    </w:p>
    <w:p>
      <w:pPr>
        <w:spacing w:after="0" w:line="13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Similar to its evaluation of available-for-sale privately issued mortgage-backed securities, the Company assesses impairment losses on privately issued CMOs in the held-to-maturity portfolio by performing internal modeling to estimate bond-specific cash flows that reflect the placement of the bond in the overall securitization structure and the remaining subordination levels. As a result, the Company recognized a $4 million (pre-tax) other-than-temporary impairment charge related to CMOs in the held-to-maturity portfolio during the first quarter of 2012. In total, at March 31, 2012 and December 31, 2011, the Company had in its held-to-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maturity portfolio CMOs with an amortized cost basis of $262 million and $269 million, respectively, and a fair value of $158 million and $170 million, respectively.</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March 31, 2012, the Company also had pre-tax unrealized losses of $43 million on $195 million of trust preferred securities issued by financial institutions, securities backed by trust preferred securities, and other debt securities (reflecting $1 million of unrealized losses on $7 million of securities using a Level 3 valuation). Pre-tax unrealized losses of $47 million existed on $200 million of such securities at December 31, 2011. After evaluating the expected repayment performance of those bonds the Company did not recognize any other-than-temporary impairment losses related to those securities during the quarter ended March 31, 2012.</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 previously described, during the first quarter of 2011 the Company recognized $16 million (pre-tax) of other-than-temporary losses, including $8 million related to privately issued residential mortgage-backed securities and $8 million related to commercial mortgage-backed securities. During the fourth quarter of 2011, the Company recognized $25 million (pre-tax) of other-than-temporary losses, including $23 million related to privately issued residential mortgage-backed securities and $2 million related to commercial mortgage-backed securities.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March 31, 2012,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additional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12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 other comprehensive income by $273 million, or $2.16 per common share, at March 31, 2012, $278 million, or $2.21 per common share, at December 31, 2011, and $119 million, or $.99 per common share, at March 31, 2011. The increase in such adjustment at the two most recent quarter-ends as compared with March 31, 2011 was predominantly the result of a 100 basis point reduction in the discount rate used to measure the benefit obligations of the defined benefit plans at such dates and actual investment returns in the qualified defined benefit pension plan that were less than expected returns.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dividends declared on M&amp;T’s common stock during each of the quarters ended March 31, 2012 and December 31, 2011 totaled $89 million, compared with $85 million in the quarter ended March 31, 2011, and represented a quarterly dividend payment of $.70 per common share in each of those three quarters.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were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83"/>
              </w:rPr>
              <w:t>First Quarter</w:t>
            </w:r>
          </w:p>
        </w:tc>
        <w:tc>
          <w:tcPr>
            <w:tcW w:w="52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color w:val="auto"/>
                <w:w w:val="86"/>
              </w:rPr>
              <w:t>First Quarter</w:t>
            </w:r>
          </w:p>
        </w:tc>
        <w:tc>
          <w:tcPr>
            <w:tcW w:w="900" w:type="dxa"/>
            <w:vAlign w:val="bottom"/>
            <w:gridSpan w:val="2"/>
          </w:tcPr>
          <w:p>
            <w:pPr>
              <w:spacing w:after="0"/>
              <w:rPr>
                <w:sz w:val="20"/>
                <w:szCs w:val="20"/>
                <w:color w:val="auto"/>
              </w:rPr>
            </w:pPr>
            <w:r>
              <w:rPr>
                <w:rFonts w:ascii="Arial" w:cs="Arial" w:eastAsia="Arial" w:hAnsi="Arial"/>
                <w:sz w:val="14"/>
                <w:szCs w:val="14"/>
                <w:color w:val="auto"/>
                <w:w w:val="95"/>
              </w:rPr>
              <w:t>Fourth Quarter</w:t>
            </w:r>
          </w:p>
        </w:tc>
      </w:tr>
      <w:tr>
        <w:trPr>
          <w:trHeight w:val="159"/>
        </w:trPr>
        <w:tc>
          <w:tcPr>
            <w:tcW w:w="35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2012</w:t>
            </w:r>
          </w:p>
        </w:tc>
        <w:tc>
          <w:tcPr>
            <w:tcW w:w="1220" w:type="dxa"/>
            <w:vAlign w:val="bottom"/>
            <w:gridSpan w:val="2"/>
          </w:tcPr>
          <w:p>
            <w:pPr>
              <w:jc w:val="right"/>
              <w:ind w:right="139"/>
              <w:spacing w:after="0" w:line="159" w:lineRule="exact"/>
              <w:rPr>
                <w:sz w:val="20"/>
                <w:szCs w:val="20"/>
                <w:color w:val="auto"/>
              </w:rPr>
            </w:pPr>
            <w:r>
              <w:rPr>
                <w:rFonts w:ascii="Arial" w:cs="Arial" w:eastAsia="Arial" w:hAnsi="Arial"/>
                <w:sz w:val="14"/>
                <w:szCs w:val="14"/>
                <w:color w:val="auto"/>
              </w:rPr>
              <w:t>2011</w:t>
            </w:r>
          </w:p>
        </w:tc>
        <w:tc>
          <w:tcPr>
            <w:tcW w:w="520" w:type="dxa"/>
            <w:vAlign w:val="bottom"/>
          </w:tcPr>
          <w:p>
            <w:pPr>
              <w:spacing w:after="0"/>
              <w:rPr>
                <w:sz w:val="13"/>
                <w:szCs w:val="13"/>
                <w:color w:val="auto"/>
              </w:rPr>
            </w:pPr>
          </w:p>
        </w:tc>
        <w:tc>
          <w:tcPr>
            <w:tcW w:w="800" w:type="dxa"/>
            <w:vAlign w:val="bottom"/>
          </w:tcPr>
          <w:p>
            <w:pPr>
              <w:jc w:val="right"/>
              <w:ind w:right="178"/>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210"/>
        </w:trPr>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2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Series B</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1,104</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Series D</w:t>
            </w:r>
          </w:p>
        </w:tc>
        <w:tc>
          <w:tcPr>
            <w:tcW w:w="2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Pr>
          <w:p>
            <w:pPr>
              <w:spacing w:after="0"/>
              <w:rPr>
                <w:sz w:val="19"/>
                <w:szCs w:val="19"/>
                <w:color w:val="auto"/>
              </w:rPr>
            </w:pPr>
          </w:p>
        </w:tc>
      </w:tr>
      <w:tr>
        <w:trPr>
          <w:trHeight w:val="216"/>
        </w:trPr>
        <w:tc>
          <w:tcPr>
            <w:tcW w:w="3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13,363</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10,498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00" w:type="dxa"/>
            <w:vAlign w:val="bottom"/>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2011 or the first quarter of 2012.</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As of March 31, 2012, Tier 1 capital included trust preferred securities of $1.2 billion as described in note 5 of Notes to Financial Statements and total capital further included subordinated capital notes of $1.7 billion. Pursuant to the Dodd-Frank Act, trust preferred securities will be phased-out of the definition of Tier 1 capital of bank holding companies.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March 31, 2012 are presented in the accompanying table.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220" w:type="dxa"/>
            <w:vAlign w:val="bottom"/>
            <w:gridSpan w:val="2"/>
          </w:tcPr>
          <w:p>
            <w:pPr>
              <w:jc w:val="right"/>
              <w:ind w:right="820"/>
              <w:spacing w:after="0"/>
              <w:rPr>
                <w:sz w:val="20"/>
                <w:szCs w:val="20"/>
                <w:color w:val="auto"/>
              </w:rPr>
            </w:pPr>
            <w:r>
              <w:rPr>
                <w:rFonts w:ascii="Arial" w:cs="Arial" w:eastAsia="Arial" w:hAnsi="Arial"/>
                <w:sz w:val="14"/>
                <w:szCs w:val="14"/>
                <w:color w:val="auto"/>
              </w:rPr>
              <w:t>M&amp;T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Wilmington</w:t>
            </w:r>
          </w:p>
        </w:tc>
        <w:tc>
          <w:tcPr>
            <w:tcW w:w="0" w:type="dxa"/>
            <w:vAlign w:val="bottom"/>
          </w:tcPr>
          <w:p>
            <w:pPr>
              <w:spacing w:after="0"/>
              <w:rPr>
                <w:sz w:val="1"/>
                <w:szCs w:val="1"/>
                <w:color w:val="auto"/>
              </w:rPr>
            </w:pPr>
          </w:p>
        </w:tc>
      </w:tr>
      <w:tr>
        <w:trPr>
          <w:trHeight w:val="159"/>
        </w:trPr>
        <w:tc>
          <w:tcPr>
            <w:tcW w:w="5980" w:type="dxa"/>
            <w:vAlign w:val="bottom"/>
          </w:tcPr>
          <w:p>
            <w:pPr>
              <w:spacing w:after="0"/>
              <w:rPr>
                <w:sz w:val="13"/>
                <w:szCs w:val="13"/>
                <w:color w:val="auto"/>
              </w:rPr>
            </w:pPr>
          </w:p>
        </w:tc>
        <w:tc>
          <w:tcPr>
            <w:tcW w:w="154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w w:val="85"/>
              </w:rPr>
              <w:t>(Consolidated)</w:t>
            </w:r>
          </w:p>
        </w:tc>
        <w:tc>
          <w:tcPr>
            <w:tcW w:w="1220" w:type="dxa"/>
            <w:vAlign w:val="bottom"/>
            <w:gridSpan w:val="2"/>
          </w:tcPr>
          <w:p>
            <w:pPr>
              <w:jc w:val="right"/>
              <w:ind w:right="840"/>
              <w:spacing w:after="0" w:line="159" w:lineRule="exact"/>
              <w:rPr>
                <w:sz w:val="20"/>
                <w:szCs w:val="20"/>
                <w:color w:val="auto"/>
              </w:rPr>
            </w:pPr>
            <w:r>
              <w:rPr>
                <w:rFonts w:ascii="Arial" w:cs="Arial" w:eastAsia="Arial" w:hAnsi="Arial"/>
                <w:sz w:val="14"/>
                <w:szCs w:val="14"/>
                <w:color w:val="auto"/>
              </w:rPr>
              <w:t>Bank</w:t>
            </w: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9"/>
              </w:rPr>
              <w:t>Trust, N.A.</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9.85%</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13.43%</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12.15%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9.53%</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Business Banking segment’s net income aggregated $35 million in the first quarter of 2012, up 34% from the $26 million earned in the first three months of 2011, but 8% below the $39 million recorded in 2011’s fourth quarter. The improvement from the year-earlier quarter reflects higher net interest income of $9 million and a $7 million decline in the provision for credit losses, due to lower net charge-offs of loans. The rise in net interest income resulted from increases of $1.5 billion and $462 million in average outstanding deposit and loan balances, respectively, (including the impact of the Wilmington Trust acquisition) partially offset by a 31 basis point narrowing of the net interest margin on loans. As compared with the fourth quarter of 2011, lower net interest income of $4 million, predominantly due to a 15 basis point narrowing of the net interest margin on loans and a $216 million decrease in average outstanding loan balances, was the most significant contributor to the decline in the recent quarter’s net income.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Net income earned by the Commercial Banking segment totaled $103 million in the most recent quarter, up 17% from the $88 million recorded in the first quarter of 2011 and 12% higher than the $92 million earned in the immediately preceding quarter. The rise in net income as compared with 2011’s first quarter was largely the result of higher net interest income of $26 million, attributable to increases in average outstanding loan and deposit balances of $3.1 billion and $1.9 billion, respectively, (including the impact of the Wilmington Trust acquisition) and a $10 million reduction in the provision for credit losses, the result of lower net charge-offs of loans. Partially offsetting those favorable factors were a $7 million decline in credit-related fees and higher FDIC assessments of $3 million. The main factors contributing to the recent quarter’s improved performance as compared with the final 2011 quarter was a decline in the provision for credit losses of $10 million, the result of lower net charge-offs of loans, combined with an increase in net interest income of $6 million. That increase was predominantly due to a 17 basis point widening of the net interest margin on deposits and higher average loan balances outstanding of $545 million.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Commercial Real Estate segment contributed net income of $69 million during the quarter ended March 31, 2012, compared with $49 million in the year-earlier quarter and $60 million in the fourth quarter of 2011. The 40% increase in the recent quarter’s net income as compared with the initial 2011 quarter reflects a $26 million rise in net interest income and a reduction of the provision for credit losses of $15 million, largely due to lower net charge-offs of loans. The higher net interest income was attributable to increases in average loan and deposit balances outstanding of $2.8 billion and $600 million, respectively, (including the impact of the Wilmington Trust acquisition) and a 7 basis point widening of the net interest margin on loans. Increased FDIC assessments of $7 million partially offset those favorable factors. Contributing to the improved recent quarter performance as compared with the final 2011 quarter were higher net interest income, lower salaries and benefit costs, and a decline in FDIC assessments.</w:t>
      </w:r>
    </w:p>
    <w:p>
      <w:pPr>
        <w:spacing w:after="0" w:line="11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Discretionary Portfolio segment incurred net losses of $8 million and $17 million in the first quarter of 2012 and the fourth quarter of 2011, respectively, compared with net income of $16 million in the first quarter of 2011. Included in the results of each of those quarters were pre-tax other-than-temporary impairment charges (relating to certain privately issued CMOs) of $11 million in the initial 2012 quarter, $16 million in the year-earlier quarter and $25 million in the fourth quarter of 2011. Also reflected in this segment’s first quarter 2011 results were $39 million of gains realized on the sale of investment securities, predominantly comprised of residential mortgage-backed securities guaranteed by Fannie Mae and Freddie Mac. Excluding the impact of securities gains and impairment charges in each of the periods, this segment’s net income did not vary significantly between the periods noted herein.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Net contribution from the Residential Mortgage Banking segment totaled $24 million in the recent quarter, improved from net income of $5 million in the first 2011 quarter and a net loss of $8 million in the fourth quarter of 2011. In relation to the year-earlier quarter, a $23 million increase in revenues from residential mortgage origination and sales activities (including intersegment revenues), due to higher origination volumes, and a $9 million rise in revenues from servicing residential real estate loans were the main factors leading to the improved first quarter 2012 results. Contributing to the favorable recent quarter results as compared with 2011’s fourth quarter net loss were a rise in residential mortgage origination and sales revenues ($26 million), reflecting higher origination volumes and wider margins on loans originated for sale, and a reduction in the provision for credit losses ($23 million), primarily due to lower net charge-offs of loans to builders and developers of residential real estate.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Net income earned by the Retail Banking segment totaled $49 million for each of the quarters ended March 31, 2012 and December 31, 2011, and $53 million for the three-month period ended March 31, 2011. Factors contributing to the recent quarter’s decline in net income as compared with the first quarter of 2011 included: higher personnel-related costs of $9 million (including the impact of the Wilmington Trust acquisition); increased transaction processing-related expenses and occupancy expenses (due, in part, to the Wilmington Trust acquisition); a $6 million reduction in fees earned for providing deposit account services (reflecting regulatory changes that were effective in the fourth quarter of 2011 offset, in part, by fees from deposits associated with the Wilmington Trust acquisition); and an increase in the provision for credit losses of $3 million, primarily due to higher net charge-offs of loans. Partially offsetting those unfavorable factors were a $15 million increase in net interest income and lower FDIC assessments. The rise in net interest income reflected higher average deposit balances outstanding of $3.6 billion (due to the Wilmington Trust acquisition) and a 9 basis point widening of the net interest margin on loans, partially offset by a 12 basis point narrowing of the net interest margin on deposits. When comparing this segment’s results for the first quarter of 2012 with the immediately preceding quarter, higher net interest income of $10 million, due to an 18 basis point widening of the net interest margin on deposits, was offset by an increase in FDIC assessments and other operating expenses.</w:t>
      </w:r>
    </w:p>
    <w:p>
      <w:pPr>
        <w:spacing w:after="0" w:line="12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CCS and WAS activities obtained in the acquisition of Wilmington Trust on May 16, 2011 and the pre-acquisition trust activities of the Company. As of March 31, 2012 those activities were being operated as separate business lines. Revenues for CCS, WAS and the non Wilmington Trust-related trust activities in the recent quarter were $49 million, $35 million and $33 million, respectively, compared with $46 million, $34 million and $29 million, respectively, in the fourth quarter of 2011. Individually and combined the net income of those activities did not exceed 10% of the Company’s net income in the recent quarter. The various components of the “All Other” category resulted in net losses totaling $65 million, $31 million and $66 million for the quarters ended March 31, 2012, March 31, 2011 and December 31, 2011, respectively. The unfavorable performance in the recent quarter as compared with the year-earlier period was attributable to increased expenses relating to the Wilmington Trust acquisition, including higher personnel-related and professional services costs of $62 million and $23 million, respectively, and the unfavorable impact from the Company’s allocation methodologies for internal transfers for funding charges and credits associated with the earning assets and interest-bearing liabilities of the Company’s reportable segments and the provision for credit losses. Partially offsetting those factors were higher trust revenues of $88 million, reflecting the Wilmington Trust acquisition. When comparing the recent quarter’s performance with the results for 2011’s fourth quarter, a $36 million increase in personnel-related costs and the unfavorable impact from the Company’s allocation methodologies for internal transfers for funding charges and credits associated with the earning assets and interest-bearing liabilities of the Company’s reportable segments and the provision for credit losses were predominantly offset by the impact of the following fourth quarter notable items: the $79 million other-than-temporary impairment charge related to M&amp;T’s 20% investment in BLG; the $30 million cash contribution M&amp;T made to The M&amp;T Charitable Foundation; and the $55 million CDO litigation settlement received in the fourth quarter of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Also offsetting the higher recent quarter expenses was a $14 million decline in merger-related expenses. The higher personnel costs in the recent quarter were largely related to seasonally higher stock-based compensation, payroll-related taxes and employer contributions for retirement savings plan benefits related to incentive compensation payments and unemployment insurance.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December 2011, the Financial Accounting Standards Board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 arrangements. The guidance is effective for annual reporting periods beginning on or after January 1, 2013, and interim periods within those annual periods. The new required disclosures should be applied retrospectively for all comparable periods presented. The Company intends to comply with the new disclosure guidance.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FASB issued amended accounting guidance relating to testing goodwill for impairment. The amendments provide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The optional guidance is effective for annual and interim goodwill impairment tests performed for fiscal years beginning after December 15, 2011, with early adoption permitted. The Company did not early adopt the optional accounting guidance for its goodwill impairment test as of October 1, 2011 and does not expect the guidance to have an impact on its financial position or results of operations.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With either approach, an entity would have been required to present reclassification adjustments for items reclassified from other comprehensive income to net income in the statement(s). In December 2011, the reclassification adjustments guidance was deferred indefinitely. All other presentation guidance is effective for fiscal years, and interim periods within those years, beginning after December 15, 2011 and should be applied retrospectively. The Company has complied with the new presentation guidance using separate but consecutive statements.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the FASB issued amended accounting and disclosure guidance relating to fair value measurements. The amendments were the result of the FASB and the International Accounting Standards Board developing common requirements for measuring fair value and for disclosing information about fair value measurements. The amendments change the wording used to describe several of the requirements for measuring fair value and for disclosing information about fair value measurements, but generally do not result in a change in the application of the existing guidance. The guidance is effective for interim and annual periods beginning after December 15, 2011 and should be applied prospectively.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complied with the amended accounting and disclosure guidance. The adoption of this guidance did not have a significant impact on any of the Company’s fair value measurements. The disclosures relating to fair value measurements can be found in note 12 of Notes to Financial Statements.</w:t>
      </w:r>
    </w:p>
    <w:p>
      <w:pPr>
        <w:spacing w:after="0" w:line="8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April 2011, the FASB issued amended accounting guidance relating to the assessment of effective control for repurchase agreements. The amendments remove from the assessment of effective control the criterion requiring the transferor to have the ability to repurchase or redeem the financial assets on substantially the agreed terms, even in the event of default by the transferee. The amendments also remove the collateral maintenance implementation guidance related to that criterion. The guidance is effective for the first interim or annual period beginning on or after December 15, 2011 and should be applied prospectively to transactions or modifications of existing transactions that occur on or after the effective date. The adoption of this guidance did not have a significant effect on the Company’s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200"/>
          </w:cols>
          <w:pgMar w:left="240" w:top="459" w:right="459" w:bottom="1440" w:gutter="0" w:footer="0" w:header="0"/>
        </w:sectPr>
      </w:pPr>
    </w:p>
    <w:bookmarkStart w:id="90" w:name="page91"/>
    <w:bookmarkEnd w:id="90"/>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86"/>
              </w:rPr>
              <w:t>Table 1</w:t>
            </w:r>
          </w:p>
        </w:tc>
      </w:tr>
      <w:tr>
        <w:trPr>
          <w:trHeight w:val="378"/>
        </w:trPr>
        <w:tc>
          <w:tcPr>
            <w:tcW w:w="622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2012</w:t>
            </w:r>
          </w:p>
        </w:tc>
        <w:tc>
          <w:tcPr>
            <w:tcW w:w="1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4"/>
                <w:szCs w:val="14"/>
                <w:color w:val="auto"/>
              </w:rPr>
              <w:t>2011 Quarters</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First Quarter</w:t>
            </w:r>
          </w:p>
        </w:tc>
        <w:tc>
          <w:tcPr>
            <w:tcW w:w="10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Fourth</w:t>
            </w:r>
          </w:p>
        </w:tc>
        <w:tc>
          <w:tcPr>
            <w:tcW w:w="102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Third</w:t>
            </w:r>
          </w:p>
        </w:tc>
        <w:tc>
          <w:tcPr>
            <w:tcW w:w="10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Second</w:t>
            </w:r>
          </w:p>
        </w:tc>
        <w:tc>
          <w:tcPr>
            <w:tcW w:w="9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9"/>
              </w:rPr>
              <w:t>720,800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722,535</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726,897</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694,721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673,810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93,706</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97,969</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103,632</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102,051</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98,679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9"/>
              </w:rPr>
              <w:t>627,094</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624,566</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623,265</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592,670</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575,131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49,000</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74,000</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58,000</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63,000</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9"/>
              </w:rPr>
              <w:t>376,723</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398,454</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368,382</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501,656</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314,420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89"/>
              </w:rPr>
              <w:t>639,695</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739,583</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662,019</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576,895</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499,571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9"/>
              </w:rPr>
              <w:t>315,122</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209,437</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271,628</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454,431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314,980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w w:val="89"/>
              </w:rPr>
              <w:t>101,954</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55,162</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81,974</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125,605</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102,380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6,705</w:t>
            </w: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6,535</w:t>
            </w: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6,546</w:t>
            </w:r>
          </w:p>
        </w:tc>
        <w:tc>
          <w:tcPr>
            <w:tcW w:w="10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6,468</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6,327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89"/>
              </w:rPr>
              <w:t>206,463</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147,740</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183,108</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322,358</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206,273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9"/>
              </w:rPr>
              <w:t>188,241</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129,804</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164,671</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297,179</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190,121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Per common share data</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1.04</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1.32</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2.43</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Diluted earnings</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1.50</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1.32</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2.42</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.70</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.70</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9"/>
              </w:rPr>
              <w:t>125,220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124,615</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124,575</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122,181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119,201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89"/>
              </w:rPr>
              <w:t>125,616</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124,736</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124,860</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122,796</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119,852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Return on</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assets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.75%</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.94%</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Average common shareholders’ equity</w:t>
            </w:r>
          </w:p>
        </w:tc>
        <w:tc>
          <w:tcPr>
            <w:tcW w:w="30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9.04%</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6.12%</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7.84%</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14.94%</w:t>
            </w:r>
          </w:p>
        </w:tc>
        <w:tc>
          <w:tcPr>
            <w:tcW w:w="920" w:type="dxa"/>
            <w:vAlign w:val="bottom"/>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on average earning assets (taxable-equivalent basis)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3.69%</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3.60%</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3.68%</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1.75%</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1.83%</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1.91%</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13"/>
              <w:spacing w:after="0"/>
              <w:rPr>
                <w:sz w:val="20"/>
                <w:szCs w:val="20"/>
                <w:color w:val="auto"/>
              </w:rPr>
            </w:pPr>
            <w:r>
              <w:rPr>
                <w:rFonts w:ascii="Arial" w:cs="Arial" w:eastAsia="Arial" w:hAnsi="Arial"/>
                <w:sz w:val="18"/>
                <w:szCs w:val="18"/>
                <w:color w:val="auto"/>
                <w:w w:val="89"/>
              </w:rPr>
              <w:t>218,360</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168,410</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209,996</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289,487</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216,360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1.59</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1.53</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2.16</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Annualized return on</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assets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1.18%</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1.14%</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Average tangible common shareholders’ equity</w:t>
            </w:r>
          </w:p>
        </w:tc>
        <w:tc>
          <w:tcPr>
            <w:tcW w:w="30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16.79%</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12.36%</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16.07%</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24.24%</w:t>
            </w:r>
          </w:p>
        </w:tc>
        <w:tc>
          <w:tcPr>
            <w:tcW w:w="920" w:type="dxa"/>
            <w:vAlign w:val="bottom"/>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61.09%</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67.38%</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61.79%</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55.56%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Average balances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(c)</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78,026</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78,393</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76,908</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72,454</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68,045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Total tangible assets (c)</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74,381</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74,737</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73,239</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68,806</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64,423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 assets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68,388</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68,771</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67,215</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63,382</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59,431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7,507</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7,633</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7,005</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6,394</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7,219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60,484</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59,077</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58,188</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55,461</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51,972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59,291</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59,999</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58,473</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54,457</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49,680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shareholders’ equity (c)</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8,510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8,549</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8,462</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8,096</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7,708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Tangible common shareholders’ equity (c)</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4,865</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4,893</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4,793</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4,448</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4,086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Total assets (c)</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79,187</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77,924</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77,864</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77,727</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67,881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tangible assets (c)</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75,548</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74,274</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74,201</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74,052</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64,263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Earning assets</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69,490</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68,027</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67,926</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67,837</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58,822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7,195</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7,673</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7,174</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6,492</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6,507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60,922</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60,096</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58,401</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58,541</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52,119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60,913</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59,395</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59,482</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59,229</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50,548</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w w:val="90"/>
              </w:rPr>
              <w:t>Common shareholders’ equity, net of undeclared cumulative preferred dividends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640"/>
              <w:spacing w:after="0"/>
              <w:rPr>
                <w:sz w:val="20"/>
                <w:szCs w:val="20"/>
                <w:color w:val="auto"/>
              </w:rPr>
            </w:pPr>
            <w:r>
              <w:rPr>
                <w:rFonts w:ascii="Arial" w:cs="Arial" w:eastAsia="Arial" w:hAnsi="Arial"/>
                <w:sz w:val="18"/>
                <w:szCs w:val="18"/>
                <w:color w:val="auto"/>
              </w:rPr>
              <w:t>(c)</w:t>
            </w:r>
          </w:p>
        </w:tc>
        <w:tc>
          <w:tcPr>
            <w:tcW w:w="300" w:type="dxa"/>
            <w:vAlign w:val="bottom"/>
          </w:tcPr>
          <w:p>
            <w:pPr>
              <w:spacing w:after="0"/>
              <w:rPr>
                <w:sz w:val="19"/>
                <w:szCs w:val="19"/>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8,559</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8,403</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8,509</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8,380</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7,758</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Tangible common shareholders’ equity (c)</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4,920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4,753</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4,846</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4,705</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Equity per common share</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67.64</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66.82</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67.70</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66.71</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64.43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Tangible equity per common share</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38.89</w:t>
            </w: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37.79</w:t>
            </w: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38.56</w:t>
            </w:r>
          </w:p>
        </w:tc>
        <w:tc>
          <w:tcPr>
            <w:tcW w:w="10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37.45</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34.38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Market price per common share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87.37</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80.02</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90.00</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90.76</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91.05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Low</w:t>
            </w:r>
          </w:p>
        </w:tc>
        <w:tc>
          <w:tcPr>
            <w:tcW w:w="30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76.82</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66.40</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66.41</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83.31</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84.63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Closing</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86.88</w:t>
            </w: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76.34</w:t>
            </w: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69.90</w:t>
            </w:r>
          </w:p>
        </w:tc>
        <w:tc>
          <w:tcPr>
            <w:tcW w:w="10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87.95</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88.47</w:t>
            </w:r>
          </w:p>
        </w:tc>
        <w:tc>
          <w:tcPr>
            <w:tcW w:w="20" w:type="dxa"/>
            <w:vAlign w:val="bottom"/>
          </w:tcPr>
          <w:p>
            <w:pPr>
              <w:spacing w:after="0"/>
              <w:rPr>
                <w:sz w:val="19"/>
                <w:szCs w:val="19"/>
                <w:color w:val="auto"/>
              </w:rPr>
            </w:pPr>
          </w:p>
        </w:tc>
      </w:tr>
    </w:tbl>
    <w:p>
      <w:pPr>
        <w:spacing w:after="0" w:line="194" w:lineRule="exact"/>
        <w:rPr>
          <w:sz w:val="20"/>
          <w:szCs w:val="20"/>
          <w:color w:val="auto"/>
        </w:rPr>
      </w:pPr>
    </w:p>
    <w:p>
      <w:pPr>
        <w:jc w:val="both"/>
        <w:ind w:left="460" w:right="80" w:hanging="452"/>
        <w:spacing w:after="0" w:line="253" w:lineRule="auto"/>
        <w:tabs>
          <w:tab w:leader="none" w:pos="4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ind w:left="460" w:hanging="452"/>
        <w:spacing w:after="0"/>
        <w:tabs>
          <w:tab w:leader="none" w:pos="4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ectPr>
          <w:pgSz w:w="11900" w:h="16859" w:orient="portrait"/>
          <w:cols w:equalWidth="0" w:num="1">
            <w:col w:w="11420"/>
          </w:cols>
          <w:pgMar w:left="240" w:top="459" w:right="239" w:bottom="0" w:gutter="0" w:footer="0" w:header="0"/>
        </w:sectPr>
      </w:pPr>
    </w:p>
    <w:bookmarkStart w:id="91" w:name="page92"/>
    <w:bookmarkEnd w:id="91"/>
    <w:p>
      <w:pPr>
        <w:ind w:left="452" w:hanging="452"/>
        <w:spacing w:after="0" w:line="370" w:lineRule="auto"/>
        <w:tabs>
          <w:tab w:leader="none" w:pos="452" w:val="left"/>
        </w:tabs>
        <w:numPr>
          <w:ilvl w:val="0"/>
          <w:numId w:val="72"/>
        </w:numPr>
        <w:rPr>
          <w:rFonts w:ascii="Arial" w:cs="Arial" w:eastAsia="Arial" w:hAnsi="Arial"/>
          <w:sz w:val="15"/>
          <w:szCs w:val="15"/>
          <w:i w:val="1"/>
          <w:iCs w:val="1"/>
          <w:color w:val="auto"/>
        </w:rPr>
      </w:pPr>
      <w:r>
        <w:rPr>
          <w:rFonts w:ascii="Arial" w:cs="Arial" w:eastAsia="Arial" w:hAnsi="Arial"/>
          <w:sz w:val="15"/>
          <w:szCs w:val="15"/>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48" w:lineRule="exact"/>
        <w:rPr>
          <w:rFonts w:ascii="Arial" w:cs="Arial" w:eastAsia="Arial" w:hAnsi="Arial"/>
          <w:sz w:val="15"/>
          <w:szCs w:val="15"/>
          <w:i w:val="1"/>
          <w:iCs w:val="1"/>
          <w:color w:val="auto"/>
        </w:rPr>
      </w:pPr>
    </w:p>
    <w:p>
      <w:pPr>
        <w:ind w:left="5612" w:hanging="96"/>
        <w:spacing w:after="0"/>
        <w:tabs>
          <w:tab w:leader="none" w:pos="5612" w:val="left"/>
        </w:tabs>
        <w:numPr>
          <w:ilvl w:val="1"/>
          <w:numId w:val="72"/>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0972"/>
          </w:cols>
          <w:pgMar w:left="248" w:top="131" w:right="679" w:bottom="1440" w:gutter="0" w:footer="0" w:header="0"/>
        </w:sectPr>
      </w:pPr>
    </w:p>
    <w:bookmarkStart w:id="92" w:name="page93"/>
    <w:bookmarkEnd w:id="9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86"/>
              </w:rPr>
              <w:t>Table 2</w:t>
            </w:r>
          </w:p>
        </w:tc>
      </w:tr>
      <w:tr>
        <w:trPr>
          <w:trHeight w:val="378"/>
        </w:trPr>
        <w:tc>
          <w:tcPr>
            <w:tcW w:w="5880" w:type="dxa"/>
            <w:vAlign w:val="bottom"/>
            <w:gridSpan w:val="2"/>
          </w:tcPr>
          <w:p>
            <w:pPr>
              <w:spacing w:after="0"/>
              <w:rPr>
                <w:sz w:val="20"/>
                <w:szCs w:val="20"/>
                <w:color w:val="auto"/>
              </w:rPr>
            </w:pPr>
            <w:r>
              <w:rPr>
                <w:rFonts w:ascii="Arial" w:cs="Arial" w:eastAsia="Arial" w:hAnsi="Arial"/>
                <w:sz w:val="18"/>
                <w:szCs w:val="18"/>
                <w:color w:val="auto"/>
                <w:w w:val="99"/>
              </w:rPr>
              <w:t>RECONCILIATION OF QUARTERLY GAAP TO NON-GAAP MEASURES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 Quarters</w:t>
            </w: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gridSpan w:val="2"/>
          </w:tcPr>
          <w:p>
            <w:pPr>
              <w:jc w:val="right"/>
              <w:ind w:right="253"/>
              <w:spacing w:after="0" w:line="142" w:lineRule="exact"/>
              <w:rPr>
                <w:sz w:val="20"/>
                <w:szCs w:val="20"/>
                <w:color w:val="auto"/>
              </w:rPr>
            </w:pPr>
            <w:r>
              <w:rPr>
                <w:rFonts w:ascii="Arial" w:cs="Arial" w:eastAsia="Arial" w:hAnsi="Arial"/>
                <w:sz w:val="14"/>
                <w:szCs w:val="14"/>
                <w:color w:val="auto"/>
              </w:rPr>
              <w:t>First Quarter</w:t>
            </w:r>
          </w:p>
        </w:tc>
        <w:tc>
          <w:tcPr>
            <w:tcW w:w="11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color w:val="auto"/>
              </w:rPr>
              <w:t>Fourth</w:t>
            </w:r>
          </w:p>
        </w:tc>
        <w:tc>
          <w:tcPr>
            <w:tcW w:w="1300" w:type="dxa"/>
            <w:vAlign w:val="bottom"/>
            <w:tcBorders>
              <w:bottom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rPr>
              <w:t>Third</w:t>
            </w: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w w:val="92"/>
              </w:rPr>
              <w:t>Second</w:t>
            </w:r>
          </w:p>
        </w:tc>
        <w:tc>
          <w:tcPr>
            <w:tcW w:w="9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206,463</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147,740</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183,108</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322,358</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206,273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10,240</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10,476</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10,622</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8,974</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Merger-related gain (a)</w:t>
            </w:r>
          </w:p>
        </w:tc>
        <w:tc>
          <w:tcPr>
            <w:tcW w:w="2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5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3"/>
              <w:spacing w:after="0"/>
              <w:rPr>
                <w:sz w:val="20"/>
                <w:szCs w:val="20"/>
                <w:color w:val="auto"/>
              </w:rPr>
            </w:pPr>
            <w:r>
              <w:rPr>
                <w:rFonts w:ascii="Arial" w:cs="Arial" w:eastAsia="Arial" w:hAnsi="Arial"/>
                <w:sz w:val="18"/>
                <w:szCs w:val="18"/>
                <w:color w:val="auto"/>
                <w:w w:val="89"/>
              </w:rPr>
              <w:t>(64,930)</w:t>
            </w:r>
          </w:p>
        </w:tc>
        <w:tc>
          <w:tcPr>
            <w:tcW w:w="9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1,657</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10,194</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16,266</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23,085</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2,609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218,360</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168,410</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209,996</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86"/>
              </w:rPr>
              <w:t>289,487</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216,360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1.50</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1.04</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1.32</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2.42</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.08</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.08</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.08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Merger-related gain (a)</w:t>
            </w:r>
          </w:p>
        </w:tc>
        <w:tc>
          <w:tcPr>
            <w:tcW w:w="2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5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3"/>
              <w:spacing w:after="0"/>
              <w:rPr>
                <w:sz w:val="20"/>
                <w:szCs w:val="20"/>
                <w:color w:val="auto"/>
              </w:rPr>
            </w:pPr>
            <w:r>
              <w:rPr>
                <w:rFonts w:ascii="Arial" w:cs="Arial" w:eastAsia="Arial" w:hAnsi="Arial"/>
                <w:sz w:val="18"/>
                <w:szCs w:val="18"/>
                <w:color w:val="auto"/>
              </w:rPr>
              <w:t>(.52)</w:t>
            </w:r>
          </w:p>
        </w:tc>
        <w:tc>
          <w:tcPr>
            <w:tcW w:w="9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.01</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.08</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.13</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 net operating earnings per common share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1.59</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1.20</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1.53</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2.16</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639,695</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739,583</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662,019</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576,895</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499,571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(16,774)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(17,162)</w:t>
            </w:r>
          </w:p>
        </w:tc>
        <w:tc>
          <w:tcPr>
            <w:tcW w:w="13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(17,401)</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(14,740)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(12,314)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(2,728)</w:t>
            </w: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(16,393)</w:t>
            </w: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(26,003)</w:t>
            </w: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89"/>
              </w:rPr>
              <w:t>(36,996)</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(4,295)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Noninterest operating expense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620,193</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706,028</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618,615</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86"/>
              </w:rPr>
              <w:t>525,159</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482,962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1,973</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534</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285</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15,305</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8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15</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189</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119</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25</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1,475</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723</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318</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740</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14,195</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24,876</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21,348</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4,062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2,728</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16,393</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26,003</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36,996</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4,295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620,193</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706,028</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618,615</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86"/>
              </w:rPr>
              <w:t>525,159</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482,962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Taxable-equivalent net interest income</w:t>
            </w:r>
          </w:p>
        </w:tc>
        <w:tc>
          <w:tcPr>
            <w:tcW w:w="28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627,094</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624,566</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623,265</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592,670</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575,131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376,723</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398,454</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368,382</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6"/>
              </w:rPr>
              <w:t>501,656</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314,420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Gain on bank investment securities</w:t>
            </w:r>
          </w:p>
        </w:tc>
        <w:tc>
          <w:tcPr>
            <w:tcW w:w="28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45</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89</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110,744</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39,353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OTTI losses recognized in earnings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(11,486)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(24,822)</w:t>
            </w:r>
          </w:p>
        </w:tc>
        <w:tc>
          <w:tcPr>
            <w:tcW w:w="13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(9,642)</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(26,530)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(16,041)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Merger-related gain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64,930</w:t>
            </w: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84"/>
              </w:rPr>
              <w:t>1,015,258</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1,047,841</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1,001,200</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86"/>
              </w:rPr>
              <w:t>945,182</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866,239</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61.09%</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67.38%</w:t>
            </w:r>
          </w:p>
        </w:tc>
        <w:tc>
          <w:tcPr>
            <w:tcW w:w="13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61.79%</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55.56%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Average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78,026</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78,393</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76,908</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72,454</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68,045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(3,525)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(3,525)</w:t>
            </w:r>
          </w:p>
        </w:tc>
        <w:tc>
          <w:tcPr>
            <w:tcW w:w="13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(3,525)</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(3,525)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(168)</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(185)</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(202)</w:t>
            </w:r>
          </w:p>
        </w:tc>
        <w:tc>
          <w:tcPr>
            <w:tcW w:w="880" w:type="dxa"/>
            <w:vAlign w:val="bottom"/>
          </w:tcPr>
          <w:p>
            <w:pPr>
              <w:jc w:val="right"/>
              <w:ind w:right="173"/>
              <w:spacing w:after="0"/>
              <w:rPr>
                <w:sz w:val="20"/>
                <w:szCs w:val="20"/>
                <w:color w:val="auto"/>
              </w:rPr>
            </w:pPr>
            <w:r>
              <w:rPr>
                <w:rFonts w:ascii="Arial" w:cs="Arial" w:eastAsia="Arial" w:hAnsi="Arial"/>
                <w:sz w:val="18"/>
                <w:szCs w:val="18"/>
                <w:color w:val="auto"/>
              </w:rPr>
              <w:t>(165)</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48</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54</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58</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42</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Average tangible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74,381</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74,737</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73,239</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68,806</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64,423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common equity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Average total equity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9,376</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9,413</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9,324</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8,812</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8,451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(866)</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(864)</w:t>
            </w:r>
          </w:p>
        </w:tc>
        <w:tc>
          <w:tcPr>
            <w:tcW w:w="13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(862)</w:t>
            </w:r>
          </w:p>
        </w:tc>
        <w:tc>
          <w:tcPr>
            <w:tcW w:w="8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(716)</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Average common equity</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8,510</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8,549</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8,462</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8,096</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7,708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(3,525)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(3,525)</w:t>
            </w:r>
          </w:p>
        </w:tc>
        <w:tc>
          <w:tcPr>
            <w:tcW w:w="13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(3,525)</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(3,525)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(168)</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(185)</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(202)</w:t>
            </w:r>
          </w:p>
        </w:tc>
        <w:tc>
          <w:tcPr>
            <w:tcW w:w="880" w:type="dxa"/>
            <w:vAlign w:val="bottom"/>
          </w:tcPr>
          <w:p>
            <w:pPr>
              <w:jc w:val="right"/>
              <w:ind w:right="173"/>
              <w:spacing w:after="0"/>
              <w:rPr>
                <w:sz w:val="20"/>
                <w:szCs w:val="20"/>
                <w:color w:val="auto"/>
              </w:rPr>
            </w:pPr>
            <w:r>
              <w:rPr>
                <w:rFonts w:ascii="Arial" w:cs="Arial" w:eastAsia="Arial" w:hAnsi="Arial"/>
                <w:sz w:val="18"/>
                <w:szCs w:val="18"/>
                <w:color w:val="auto"/>
              </w:rPr>
              <w:t>(165)</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48</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54</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58</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42</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Average tangible common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4,865</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4,893</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4,793</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4,448</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end of quarter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79,187</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77,924</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77,864</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77,727</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67,881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(3,525)</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(3,525)</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(3,525)</w:t>
            </w:r>
          </w:p>
        </w:tc>
        <w:tc>
          <w:tcPr>
            <w:tcW w:w="880" w:type="dxa"/>
            <w:vAlign w:val="bottom"/>
          </w:tcPr>
          <w:p>
            <w:pPr>
              <w:jc w:val="right"/>
              <w:ind w:right="173"/>
              <w:spacing w:after="0"/>
              <w:rPr>
                <w:sz w:val="20"/>
                <w:szCs w:val="20"/>
                <w:color w:val="auto"/>
              </w:rPr>
            </w:pPr>
            <w:r>
              <w:rPr>
                <w:rFonts w:ascii="Arial" w:cs="Arial" w:eastAsia="Arial" w:hAnsi="Arial"/>
                <w:sz w:val="18"/>
                <w:szCs w:val="18"/>
                <w:color w:val="auto"/>
              </w:rPr>
              <w:t>(3,525)</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(176)</w:t>
            </w:r>
          </w:p>
        </w:tc>
        <w:tc>
          <w:tcPr>
            <w:tcW w:w="13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(193)</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(210)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46</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51</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55</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60</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tangible assets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75,548</w:t>
            </w:r>
          </w:p>
        </w:tc>
        <w:tc>
          <w:tcPr>
            <w:tcW w:w="11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74,274</w:t>
            </w:r>
          </w:p>
        </w:tc>
        <w:tc>
          <w:tcPr>
            <w:tcW w:w="13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74,201</w:t>
            </w:r>
          </w:p>
        </w:tc>
        <w:tc>
          <w:tcPr>
            <w:tcW w:w="8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74,052</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64,263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Total common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9,429</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9,271</w:t>
            </w: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9,375</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9,244</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8,508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(867)</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(865)</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(863)</w:t>
            </w:r>
          </w:p>
        </w:tc>
        <w:tc>
          <w:tcPr>
            <w:tcW w:w="880" w:type="dxa"/>
            <w:vAlign w:val="bottom"/>
          </w:tcPr>
          <w:p>
            <w:pPr>
              <w:jc w:val="right"/>
              <w:ind w:right="173"/>
              <w:spacing w:after="0"/>
              <w:rPr>
                <w:sz w:val="20"/>
                <w:szCs w:val="20"/>
                <w:color w:val="auto"/>
              </w:rPr>
            </w:pPr>
            <w:r>
              <w:rPr>
                <w:rFonts w:ascii="Arial" w:cs="Arial" w:eastAsia="Arial" w:hAnsi="Arial"/>
                <w:sz w:val="18"/>
                <w:szCs w:val="18"/>
                <w:color w:val="auto"/>
              </w:rPr>
              <w:t>(861)</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Undeclared dividends – cumulative preferred stock</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(3)</w:t>
            </w:r>
          </w:p>
        </w:tc>
        <w:tc>
          <w:tcPr>
            <w:tcW w:w="8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Common equity, net of undeclared cumulative preferred dividends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8,559</w:t>
            </w: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8,403</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8,509</w:t>
            </w: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8,380</w:t>
            </w: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7,758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(3,525)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(3,525)</w:t>
            </w:r>
          </w:p>
        </w:tc>
        <w:tc>
          <w:tcPr>
            <w:tcW w:w="13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(3,525)</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(3,525)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(160)</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(176)</w:t>
            </w:r>
          </w:p>
        </w:tc>
        <w:tc>
          <w:tcPr>
            <w:tcW w:w="1300" w:type="dxa"/>
            <w:vAlign w:val="bottom"/>
          </w:tcPr>
          <w:p>
            <w:pPr>
              <w:jc w:val="right"/>
              <w:ind w:right="313"/>
              <w:spacing w:after="0"/>
              <w:rPr>
                <w:sz w:val="20"/>
                <w:szCs w:val="20"/>
                <w:color w:val="auto"/>
              </w:rPr>
            </w:pPr>
            <w:r>
              <w:rPr>
                <w:rFonts w:ascii="Arial" w:cs="Arial" w:eastAsia="Arial" w:hAnsi="Arial"/>
                <w:sz w:val="18"/>
                <w:szCs w:val="18"/>
                <w:color w:val="auto"/>
              </w:rPr>
              <w:t>(193)</w:t>
            </w:r>
          </w:p>
        </w:tc>
        <w:tc>
          <w:tcPr>
            <w:tcW w:w="880" w:type="dxa"/>
            <w:vAlign w:val="bottom"/>
          </w:tcPr>
          <w:p>
            <w:pPr>
              <w:jc w:val="right"/>
              <w:ind w:right="173"/>
              <w:spacing w:after="0"/>
              <w:rPr>
                <w:sz w:val="20"/>
                <w:szCs w:val="20"/>
                <w:color w:val="auto"/>
              </w:rPr>
            </w:pPr>
            <w:r>
              <w:rPr>
                <w:rFonts w:ascii="Arial" w:cs="Arial" w:eastAsia="Arial" w:hAnsi="Arial"/>
                <w:sz w:val="18"/>
                <w:szCs w:val="18"/>
                <w:color w:val="auto"/>
              </w:rPr>
              <w:t>(210)</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r>
        <w:trPr>
          <w:trHeight w:val="97"/>
        </w:trPr>
        <w:tc>
          <w:tcPr>
            <w:tcW w:w="20" w:type="dxa"/>
            <w:vAlign w:val="bottom"/>
            <w:shd w:val="clear" w:color="auto" w:fill="CCEEFF"/>
          </w:tcPr>
          <w:p>
            <w:pPr>
              <w:spacing w:after="0"/>
              <w:rPr>
                <w:sz w:val="8"/>
                <w:szCs w:val="8"/>
                <w:color w:val="auto"/>
              </w:rPr>
            </w:pPr>
          </w:p>
        </w:tc>
        <w:tc>
          <w:tcPr>
            <w:tcW w:w="5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bl>
    <w:p>
      <w:pPr>
        <w:sectPr>
          <w:pgSz w:w="11900" w:h="16900" w:orient="portrait"/>
          <w:cols w:equalWidth="0" w:num="1">
            <w:col w:w="11420"/>
          </w:cols>
          <w:pgMar w:left="240" w:top="459" w:right="239"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46</w:t>
            </w:r>
          </w:p>
        </w:tc>
        <w:tc>
          <w:tcPr>
            <w:tcW w:w="11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51</w:t>
            </w:r>
          </w:p>
        </w:tc>
        <w:tc>
          <w:tcPr>
            <w:tcW w:w="10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55</w:t>
            </w: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60</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r>
      <w:tr>
        <w:trPr>
          <w:trHeight w:val="217"/>
        </w:trPr>
        <w:tc>
          <w:tcPr>
            <w:tcW w:w="4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tangible common equity</w:t>
            </w:r>
          </w:p>
        </w:tc>
        <w:tc>
          <w:tcPr>
            <w:tcW w:w="2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4,920</w:t>
            </w: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4,753</w:t>
            </w: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4,846</w:t>
            </w: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4,705</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4,140</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20"/>
          </w:cols>
          <w:pgMar w:left="240" w:top="140"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Table 3</w:t>
            </w:r>
          </w:p>
        </w:tc>
      </w:tr>
      <w:tr>
        <w:trPr>
          <w:trHeight w:val="378"/>
        </w:trPr>
        <w:tc>
          <w:tcPr>
            <w:tcW w:w="6600" w:type="dxa"/>
            <w:vAlign w:val="bottom"/>
            <w:gridSpan w:val="6"/>
          </w:tcPr>
          <w:p>
            <w:pPr>
              <w:spacing w:after="0"/>
              <w:rPr>
                <w:sz w:val="20"/>
                <w:szCs w:val="20"/>
                <w:color w:val="auto"/>
              </w:rPr>
            </w:pPr>
            <w:r>
              <w:rPr>
                <w:rFonts w:ascii="Arial" w:cs="Arial" w:eastAsia="Arial" w:hAnsi="Arial"/>
                <w:sz w:val="18"/>
                <w:szCs w:val="18"/>
                <w:color w:val="auto"/>
                <w:w w:val="95"/>
              </w:rPr>
              <w:t>AVERAGE BALANCE SHEETS AND ANNUALIZED TAXABLE-EQUIVALENT RATES</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86"/>
              </w:rPr>
              <w:t>2012 First Quarter</w:t>
            </w:r>
          </w:p>
        </w:tc>
        <w:tc>
          <w:tcPr>
            <w:tcW w:w="8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2011 Fourth Quarter</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86"/>
              </w:rPr>
              <w:t>2011 Third Quarter</w:t>
            </w:r>
          </w:p>
        </w:tc>
        <w:tc>
          <w:tcPr>
            <w:tcW w:w="7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Average</w:t>
            </w:r>
          </w:p>
        </w:tc>
        <w:tc>
          <w:tcPr>
            <w:tcW w:w="1080" w:type="dxa"/>
            <w:vAlign w:val="bottom"/>
          </w:tcPr>
          <w:p>
            <w:pPr>
              <w:spacing w:after="0"/>
              <w:rPr>
                <w:sz w:val="12"/>
                <w:szCs w:val="12"/>
                <w:color w:val="auto"/>
              </w:rPr>
            </w:pPr>
          </w:p>
        </w:tc>
        <w:tc>
          <w:tcPr>
            <w:tcW w:w="880" w:type="dxa"/>
            <w:vAlign w:val="bottom"/>
          </w:tcPr>
          <w:p>
            <w:pPr>
              <w:jc w:val="right"/>
              <w:ind w:right="274"/>
              <w:spacing w:after="0" w:line="149" w:lineRule="exact"/>
              <w:rPr>
                <w:sz w:val="20"/>
                <w:szCs w:val="20"/>
                <w:color w:val="auto"/>
              </w:rPr>
            </w:pPr>
            <w:r>
              <w:rPr>
                <w:rFonts w:ascii="Arial" w:cs="Arial" w:eastAsia="Arial" w:hAnsi="Arial"/>
                <w:sz w:val="14"/>
                <w:szCs w:val="14"/>
                <w:color w:val="auto"/>
                <w:w w:val="95"/>
              </w:rPr>
              <w:t>Average</w:t>
            </w:r>
          </w:p>
        </w:tc>
        <w:tc>
          <w:tcPr>
            <w:tcW w:w="720" w:type="dxa"/>
            <w:vAlign w:val="bottom"/>
          </w:tcPr>
          <w:p>
            <w:pPr>
              <w:jc w:val="right"/>
              <w:ind w:right="154"/>
              <w:spacing w:after="0" w:line="149" w:lineRule="exact"/>
              <w:rPr>
                <w:sz w:val="20"/>
                <w:szCs w:val="20"/>
                <w:color w:val="auto"/>
              </w:rPr>
            </w:pPr>
            <w:r>
              <w:rPr>
                <w:rFonts w:ascii="Arial" w:cs="Arial" w:eastAsia="Arial" w:hAnsi="Arial"/>
                <w:sz w:val="14"/>
                <w:szCs w:val="14"/>
                <w:color w:val="auto"/>
                <w:w w:val="88"/>
              </w:rPr>
              <w:t>Average</w:t>
            </w:r>
          </w:p>
        </w:tc>
        <w:tc>
          <w:tcPr>
            <w:tcW w:w="920" w:type="dxa"/>
            <w:vAlign w:val="bottom"/>
          </w:tcPr>
          <w:p>
            <w:pPr>
              <w:spacing w:after="0"/>
              <w:rPr>
                <w:sz w:val="12"/>
                <w:szCs w:val="12"/>
                <w:color w:val="auto"/>
              </w:rPr>
            </w:pPr>
          </w:p>
        </w:tc>
        <w:tc>
          <w:tcPr>
            <w:tcW w:w="760" w:type="dxa"/>
            <w:vAlign w:val="bottom"/>
          </w:tcPr>
          <w:p>
            <w:pPr>
              <w:jc w:val="right"/>
              <w:ind w:right="194"/>
              <w:spacing w:after="0" w:line="149" w:lineRule="exact"/>
              <w:rPr>
                <w:sz w:val="20"/>
                <w:szCs w:val="20"/>
                <w:color w:val="auto"/>
              </w:rPr>
            </w:pPr>
            <w:r>
              <w:rPr>
                <w:rFonts w:ascii="Arial" w:cs="Arial" w:eastAsia="Arial" w:hAnsi="Arial"/>
                <w:sz w:val="14"/>
                <w:szCs w:val="14"/>
                <w:color w:val="auto"/>
                <w:w w:val="88"/>
              </w:rPr>
              <w:t>Average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Average</w:t>
            </w:r>
          </w:p>
        </w:tc>
        <w:tc>
          <w:tcPr>
            <w:tcW w:w="1100" w:type="dxa"/>
            <w:vAlign w:val="bottom"/>
          </w:tcPr>
          <w:p>
            <w:pPr>
              <w:spacing w:after="0"/>
              <w:rPr>
                <w:sz w:val="12"/>
                <w:szCs w:val="12"/>
                <w:color w:val="auto"/>
              </w:rPr>
            </w:pPr>
          </w:p>
        </w:tc>
        <w:tc>
          <w:tcPr>
            <w:tcW w:w="700" w:type="dxa"/>
            <w:vAlign w:val="bottom"/>
          </w:tcPr>
          <w:p>
            <w:pPr>
              <w:jc w:val="right"/>
              <w:ind w:right="114"/>
              <w:spacing w:after="0" w:line="149" w:lineRule="exact"/>
              <w:rPr>
                <w:sz w:val="20"/>
                <w:szCs w:val="20"/>
                <w:color w:val="auto"/>
              </w:rPr>
            </w:pPr>
            <w:r>
              <w:rPr>
                <w:rFonts w:ascii="Arial" w:cs="Arial" w:eastAsia="Arial" w:hAnsi="Arial"/>
                <w:sz w:val="14"/>
                <w:szCs w:val="14"/>
                <w:color w:val="auto"/>
                <w:w w:val="91"/>
              </w:rPr>
              <w:t>Average</w:t>
            </w:r>
          </w:p>
        </w:tc>
      </w:tr>
      <w:tr>
        <w:trPr>
          <w:trHeight w:val="159"/>
        </w:trPr>
        <w:tc>
          <w:tcPr>
            <w:tcW w:w="390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Balance</w:t>
            </w:r>
          </w:p>
        </w:tc>
        <w:tc>
          <w:tcPr>
            <w:tcW w:w="1080" w:type="dxa"/>
            <w:vAlign w:val="bottom"/>
          </w:tcPr>
          <w:p>
            <w:pPr>
              <w:jc w:val="right"/>
              <w:ind w:right="214"/>
              <w:spacing w:after="0" w:line="159" w:lineRule="exact"/>
              <w:rPr>
                <w:sz w:val="20"/>
                <w:szCs w:val="20"/>
                <w:color w:val="auto"/>
              </w:rPr>
            </w:pPr>
            <w:r>
              <w:rPr>
                <w:rFonts w:ascii="Arial" w:cs="Arial" w:eastAsia="Arial" w:hAnsi="Arial"/>
                <w:sz w:val="14"/>
                <w:szCs w:val="14"/>
                <w:color w:val="auto"/>
              </w:rPr>
              <w:t>Interest</w:t>
            </w:r>
          </w:p>
        </w:tc>
        <w:tc>
          <w:tcPr>
            <w:tcW w:w="880" w:type="dxa"/>
            <w:vAlign w:val="bottom"/>
          </w:tcPr>
          <w:p>
            <w:pPr>
              <w:jc w:val="right"/>
              <w:ind w:right="374"/>
              <w:spacing w:after="0" w:line="159" w:lineRule="exact"/>
              <w:rPr>
                <w:sz w:val="20"/>
                <w:szCs w:val="20"/>
                <w:color w:val="auto"/>
              </w:rPr>
            </w:pPr>
            <w:r>
              <w:rPr>
                <w:rFonts w:ascii="Arial" w:cs="Arial" w:eastAsia="Arial" w:hAnsi="Arial"/>
                <w:sz w:val="14"/>
                <w:szCs w:val="14"/>
                <w:color w:val="auto"/>
              </w:rPr>
              <w:t>Rate</w:t>
            </w:r>
          </w:p>
        </w:tc>
        <w:tc>
          <w:tcPr>
            <w:tcW w:w="72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90"/>
              </w:rPr>
              <w:t>Balance</w:t>
            </w:r>
          </w:p>
        </w:tc>
        <w:tc>
          <w:tcPr>
            <w:tcW w:w="920" w:type="dxa"/>
            <w:vAlign w:val="bottom"/>
          </w:tcPr>
          <w:p>
            <w:pPr>
              <w:jc w:val="right"/>
              <w:ind w:right="253"/>
              <w:spacing w:after="0" w:line="159" w:lineRule="exact"/>
              <w:rPr>
                <w:sz w:val="20"/>
                <w:szCs w:val="20"/>
                <w:color w:val="auto"/>
              </w:rPr>
            </w:pPr>
            <w:r>
              <w:rPr>
                <w:rFonts w:ascii="Arial" w:cs="Arial" w:eastAsia="Arial" w:hAnsi="Arial"/>
                <w:sz w:val="14"/>
                <w:szCs w:val="14"/>
                <w:color w:val="auto"/>
              </w:rPr>
              <w:t>Interest</w:t>
            </w:r>
          </w:p>
        </w:tc>
        <w:tc>
          <w:tcPr>
            <w:tcW w:w="760" w:type="dxa"/>
            <w:vAlign w:val="bottom"/>
          </w:tcPr>
          <w:p>
            <w:pPr>
              <w:jc w:val="right"/>
              <w:ind w:right="294"/>
              <w:spacing w:after="0" w:line="159" w:lineRule="exact"/>
              <w:rPr>
                <w:sz w:val="20"/>
                <w:szCs w:val="20"/>
                <w:color w:val="auto"/>
              </w:rPr>
            </w:pPr>
            <w:r>
              <w:rPr>
                <w:rFonts w:ascii="Arial" w:cs="Arial" w:eastAsia="Arial" w:hAnsi="Arial"/>
                <w:sz w:val="14"/>
                <w:szCs w:val="14"/>
                <w:color w:val="auto"/>
              </w:rPr>
              <w:t>Rate</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Balance</w:t>
            </w:r>
          </w:p>
        </w:tc>
        <w:tc>
          <w:tcPr>
            <w:tcW w:w="1100" w:type="dxa"/>
            <w:vAlign w:val="bottom"/>
          </w:tcPr>
          <w:p>
            <w:pPr>
              <w:jc w:val="right"/>
              <w:ind w:right="254"/>
              <w:spacing w:after="0" w:line="159" w:lineRule="exact"/>
              <w:rPr>
                <w:sz w:val="20"/>
                <w:szCs w:val="20"/>
                <w:color w:val="auto"/>
              </w:rPr>
            </w:pPr>
            <w:r>
              <w:rPr>
                <w:rFonts w:ascii="Arial" w:cs="Arial" w:eastAsia="Arial" w:hAnsi="Arial"/>
                <w:sz w:val="14"/>
                <w:szCs w:val="14"/>
                <w:color w:val="auto"/>
              </w:rPr>
              <w:t>Interest</w:t>
            </w:r>
          </w:p>
        </w:tc>
        <w:tc>
          <w:tcPr>
            <w:tcW w:w="700" w:type="dxa"/>
            <w:vAlign w:val="bottom"/>
          </w:tcPr>
          <w:p>
            <w:pPr>
              <w:jc w:val="right"/>
              <w:ind w:right="214"/>
              <w:spacing w:after="0" w:line="159" w:lineRule="exact"/>
              <w:rPr>
                <w:sz w:val="20"/>
                <w:szCs w:val="20"/>
                <w:color w:val="auto"/>
              </w:rPr>
            </w:pPr>
            <w:r>
              <w:rPr>
                <w:rFonts w:ascii="Arial" w:cs="Arial" w:eastAsia="Arial" w:hAnsi="Arial"/>
                <w:sz w:val="14"/>
                <w:szCs w:val="14"/>
                <w:color w:val="auto"/>
              </w:rPr>
              <w:t>Rate</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Earning assets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Commercial, financial, etc.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15,732</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$145,134</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3.71%</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w w:val="90"/>
              </w:rPr>
              <w:t>15,392</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146,768</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3.78%</w:t>
            </w:r>
          </w:p>
        </w:tc>
        <w:tc>
          <w:tcPr>
            <w:tcW w:w="620" w:type="dxa"/>
            <w:vAlign w:val="bottom"/>
          </w:tcPr>
          <w:p>
            <w:pPr>
              <w:jc w:val="right"/>
              <w:spacing w:after="0"/>
              <w:rPr>
                <w:sz w:val="20"/>
                <w:szCs w:val="20"/>
                <w:color w:val="auto"/>
              </w:rPr>
            </w:pPr>
            <w:r>
              <w:rPr>
                <w:rFonts w:ascii="Arial" w:cs="Arial" w:eastAsia="Arial" w:hAnsi="Arial"/>
                <w:sz w:val="18"/>
                <w:szCs w:val="18"/>
                <w:color w:val="auto"/>
              </w:rPr>
              <w:t>15,007</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144,677</w:t>
            </w: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 commercial</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24,559</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271,539</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4.42</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24,108</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269,516</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4.47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23,979</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277,193</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4.62</w:t>
            </w: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Real estate – consumer</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8,286</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95,308</w:t>
            </w: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4.60</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7,480</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89,185</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4.77</w:t>
            </w:r>
          </w:p>
        </w:tc>
        <w:tc>
          <w:tcPr>
            <w:tcW w:w="620" w:type="dxa"/>
            <w:vAlign w:val="bottom"/>
          </w:tcPr>
          <w:p>
            <w:pPr>
              <w:jc w:val="right"/>
              <w:spacing w:after="0"/>
              <w:rPr>
                <w:sz w:val="20"/>
                <w:szCs w:val="20"/>
                <w:color w:val="auto"/>
              </w:rPr>
            </w:pPr>
            <w:r>
              <w:rPr>
                <w:rFonts w:ascii="Arial" w:cs="Arial" w:eastAsia="Arial" w:hAnsi="Arial"/>
                <w:sz w:val="18"/>
                <w:szCs w:val="18"/>
                <w:color w:val="auto"/>
              </w:rPr>
              <w:t>7,002</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86,651</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4.95</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11,907</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142,083</w:t>
            </w:r>
          </w:p>
        </w:tc>
        <w:tc>
          <w:tcPr>
            <w:tcW w:w="8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4.80</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12,097</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148,538</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4.87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152,301</w:t>
            </w:r>
          </w:p>
        </w:tc>
        <w:tc>
          <w:tcPr>
            <w:tcW w:w="7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4.95</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loans and leases, net</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60,484</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654,064</w:t>
            </w: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4.35</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0"/>
              </w:rPr>
              <w:t>59,077</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654,007</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58,188</w:t>
            </w: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660,822</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4.51</w:t>
            </w: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213</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.28</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1,973</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1,255</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1,164</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89"/>
              </w:rPr>
              <w:t>Federal funds sold and agreements to resell securities</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.50</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6</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.38</w:t>
            </w: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27</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1.57</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82</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267</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371</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41,621</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3.43</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4,899</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42,229</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37,805</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w w:val="93"/>
              </w:rPr>
              <w:t>Obligations of states and political subdivisions</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3,065</w:t>
            </w: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5.45</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226</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3,362</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5.89</w:t>
            </w: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3,424</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5.43</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21,467</w:t>
            </w:r>
          </w:p>
        </w:tc>
        <w:tc>
          <w:tcPr>
            <w:tcW w:w="8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3.59</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2,508</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21,409</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3.39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23,284</w:t>
            </w:r>
          </w:p>
        </w:tc>
        <w:tc>
          <w:tcPr>
            <w:tcW w:w="7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3.65</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investment securities</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66,153</w:t>
            </w: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3.54</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7,633</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67,000</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3.48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64,513</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3.65</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earning assets</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68,388</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720,800</w:t>
            </w:r>
          </w:p>
        </w:tc>
        <w:tc>
          <w:tcPr>
            <w:tcW w:w="8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4.24</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68,771</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722,535</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4.17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67,215</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726,897</w:t>
            </w:r>
          </w:p>
        </w:tc>
        <w:tc>
          <w:tcPr>
            <w:tcW w:w="7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4.29</w:t>
            </w: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spacing w:after="0"/>
              <w:rPr>
                <w:sz w:val="18"/>
                <w:szCs w:val="18"/>
                <w:color w:val="auto"/>
              </w:rPr>
            </w:pPr>
          </w:p>
        </w:tc>
        <w:tc>
          <w:tcPr>
            <w:tcW w:w="1580" w:type="dxa"/>
            <w:vAlign w:val="bottom"/>
            <w:gridSpan w:val="2"/>
          </w:tcPr>
          <w:p>
            <w:pPr>
              <w:jc w:val="right"/>
              <w:ind w:right="954"/>
              <w:spacing w:after="0"/>
              <w:rPr>
                <w:sz w:val="20"/>
                <w:szCs w:val="20"/>
                <w:color w:val="auto"/>
              </w:rPr>
            </w:pPr>
            <w:r>
              <w:rPr>
                <w:rFonts w:ascii="Arial" w:cs="Arial" w:eastAsia="Arial" w:hAnsi="Arial"/>
                <w:sz w:val="18"/>
                <w:szCs w:val="18"/>
                <w:color w:val="auto"/>
              </w:rPr>
              <w:t>(916)</w:t>
            </w:r>
          </w:p>
        </w:tc>
        <w:tc>
          <w:tcPr>
            <w:tcW w:w="880" w:type="dxa"/>
            <w:vAlign w:val="bottom"/>
          </w:tcPr>
          <w:p>
            <w:pPr>
              <w:spacing w:after="0"/>
              <w:rPr>
                <w:sz w:val="18"/>
                <w:szCs w:val="18"/>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(919)</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gridSpan w:val="2"/>
          </w:tcPr>
          <w:p>
            <w:pPr>
              <w:jc w:val="right"/>
              <w:ind w:right="974"/>
              <w:spacing w:after="0"/>
              <w:rPr>
                <w:sz w:val="20"/>
                <w:szCs w:val="20"/>
                <w:color w:val="auto"/>
              </w:rPr>
            </w:pPr>
            <w:r>
              <w:rPr>
                <w:rFonts w:ascii="Arial" w:cs="Arial" w:eastAsia="Arial" w:hAnsi="Arial"/>
                <w:sz w:val="18"/>
                <w:szCs w:val="18"/>
                <w:color w:val="auto"/>
              </w:rPr>
              <w:t>(917)</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1,330</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0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9,211</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9,324</w:t>
            </w: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78,026</w:t>
            </w:r>
          </w:p>
        </w:tc>
        <w:tc>
          <w:tcPr>
            <w:tcW w:w="10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78,393</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76,908</w:t>
            </w:r>
          </w:p>
        </w:tc>
        <w:tc>
          <w:tcPr>
            <w:tcW w:w="1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NOW accounts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.14</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826</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315</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354</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Savings deposits</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32,410</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18,183</w:t>
            </w: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.23</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w w:val="90"/>
              </w:rPr>
              <w:t>32,179</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21,654</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.27</w:t>
            </w:r>
          </w:p>
        </w:tc>
        <w:tc>
          <w:tcPr>
            <w:tcW w:w="620" w:type="dxa"/>
            <w:vAlign w:val="bottom"/>
          </w:tcPr>
          <w:p>
            <w:pPr>
              <w:jc w:val="right"/>
              <w:spacing w:after="0"/>
              <w:rPr>
                <w:sz w:val="20"/>
                <w:szCs w:val="20"/>
                <w:color w:val="auto"/>
              </w:rPr>
            </w:pPr>
            <w:r>
              <w:rPr>
                <w:rFonts w:ascii="Arial" w:cs="Arial" w:eastAsia="Arial" w:hAnsi="Arial"/>
                <w:sz w:val="18"/>
                <w:szCs w:val="18"/>
                <w:color w:val="auto"/>
              </w:rPr>
              <w:t>31,654</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22,664</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13,509</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.91</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6,379</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14,949</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17,684</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Deposits at Cayman Islands office</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213</w:t>
            </w: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.17</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512</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187</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188</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39,693</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32,188</w:t>
            </w:r>
          </w:p>
        </w:tc>
        <w:tc>
          <w:tcPr>
            <w:tcW w:w="8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.33</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39,896</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37,105</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40,251</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40,890</w:t>
            </w:r>
          </w:p>
        </w:tc>
        <w:tc>
          <w:tcPr>
            <w:tcW w:w="7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.40</w:t>
            </w: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828</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303</w:t>
            </w: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.15</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674</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169</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.10</w:t>
            </w:r>
          </w:p>
        </w:tc>
        <w:tc>
          <w:tcPr>
            <w:tcW w:w="620" w:type="dxa"/>
            <w:vAlign w:val="bottom"/>
          </w:tcPr>
          <w:p>
            <w:pPr>
              <w:jc w:val="right"/>
              <w:spacing w:after="0"/>
              <w:rPr>
                <w:sz w:val="20"/>
                <w:szCs w:val="20"/>
                <w:color w:val="auto"/>
              </w:rPr>
            </w:pPr>
            <w:r>
              <w:rPr>
                <w:rFonts w:ascii="Arial" w:cs="Arial" w:eastAsia="Arial" w:hAnsi="Arial"/>
                <w:sz w:val="18"/>
                <w:szCs w:val="18"/>
                <w:color w:val="auto"/>
              </w:rPr>
              <w:t>592</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222</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61,215</w:t>
            </w:r>
          </w:p>
        </w:tc>
        <w:tc>
          <w:tcPr>
            <w:tcW w:w="8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3.78</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6,574</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60,695</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3.66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62,520</w:t>
            </w:r>
          </w:p>
        </w:tc>
        <w:tc>
          <w:tcPr>
            <w:tcW w:w="7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3.63</w:t>
            </w: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47,028</w:t>
            </w: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93,706</w:t>
            </w: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.80</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0"/>
              </w:rPr>
              <w:t>47,144</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97,969</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.82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47,672</w:t>
            </w: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103,632</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.86</w:t>
            </w: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19,598</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0"/>
              </w:rPr>
              <w:t>20,103</w:t>
            </w: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1,733</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68,650</w:t>
            </w:r>
          </w:p>
        </w:tc>
        <w:tc>
          <w:tcPr>
            <w:tcW w:w="10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68,980</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67,584</w:t>
            </w:r>
          </w:p>
        </w:tc>
        <w:tc>
          <w:tcPr>
            <w:tcW w:w="1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9,376</w:t>
            </w:r>
          </w:p>
        </w:tc>
        <w:tc>
          <w:tcPr>
            <w:tcW w:w="10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9,413</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9,324</w:t>
            </w: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5"/>
              </w:rPr>
              <w:t>Total liabilities and shareholders’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78,026</w:t>
            </w:r>
          </w:p>
        </w:tc>
        <w:tc>
          <w:tcPr>
            <w:tcW w:w="10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0"/>
              </w:rPr>
              <w:t>78,393</w:t>
            </w: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76,908</w:t>
            </w:r>
          </w:p>
        </w:tc>
        <w:tc>
          <w:tcPr>
            <w:tcW w:w="1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interest spread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3.44</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3.35</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3.43</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.25</w:t>
            </w:r>
          </w:p>
        </w:tc>
        <w:tc>
          <w:tcPr>
            <w:tcW w:w="7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.25</w:t>
            </w:r>
          </w:p>
        </w:tc>
      </w:tr>
      <w:tr>
        <w:trPr>
          <w:trHeight w:val="217"/>
        </w:trPr>
        <w:tc>
          <w:tcPr>
            <w:tcW w:w="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income/margin on earning assets</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$627,094</w:t>
            </w: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3.69%</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624,566</w:t>
            </w: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3.60%</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623,265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bl>
    <w:p>
      <w:pPr>
        <w:spacing w:after="0" w:line="194"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1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ind w:left="10620"/>
        <w:spacing w:after="0"/>
        <w:rPr>
          <w:sz w:val="20"/>
          <w:szCs w:val="20"/>
          <w:color w:val="auto"/>
        </w:rPr>
      </w:pPr>
      <w:r>
        <w:rPr>
          <w:rFonts w:ascii="Arial" w:cs="Arial" w:eastAsia="Arial" w:hAnsi="Arial"/>
          <w:sz w:val="15"/>
          <w:szCs w:val="15"/>
          <w:color w:val="auto"/>
        </w:rPr>
        <w:t>(continued)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2011 Second Quarter</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86"/>
              </w:rPr>
              <w:t>2011 First Quarter</w:t>
            </w:r>
          </w:p>
        </w:tc>
        <w:tc>
          <w:tcPr>
            <w:tcW w:w="7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Average</w:t>
            </w:r>
          </w:p>
        </w:tc>
        <w:tc>
          <w:tcPr>
            <w:tcW w:w="1020" w:type="dxa"/>
            <w:vAlign w:val="bottom"/>
          </w:tcPr>
          <w:p>
            <w:pPr>
              <w:spacing w:after="0"/>
              <w:rPr>
                <w:sz w:val="12"/>
                <w:szCs w:val="12"/>
                <w:color w:val="auto"/>
              </w:rPr>
            </w:pPr>
          </w:p>
        </w:tc>
        <w:tc>
          <w:tcPr>
            <w:tcW w:w="800" w:type="dxa"/>
            <w:vAlign w:val="bottom"/>
          </w:tcPr>
          <w:p>
            <w:pPr>
              <w:jc w:val="right"/>
              <w:ind w:right="214"/>
              <w:spacing w:after="0" w:line="149" w:lineRule="exact"/>
              <w:rPr>
                <w:sz w:val="20"/>
                <w:szCs w:val="20"/>
                <w:color w:val="auto"/>
              </w:rPr>
            </w:pPr>
            <w:r>
              <w:rPr>
                <w:rFonts w:ascii="Arial" w:cs="Arial" w:eastAsia="Arial" w:hAnsi="Arial"/>
                <w:sz w:val="14"/>
                <w:szCs w:val="14"/>
                <w:color w:val="auto"/>
                <w:w w:val="91"/>
              </w:rPr>
              <w:t>Average</w:t>
            </w:r>
          </w:p>
        </w:tc>
        <w:tc>
          <w:tcPr>
            <w:tcW w:w="7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Average</w:t>
            </w:r>
          </w:p>
        </w:tc>
        <w:tc>
          <w:tcPr>
            <w:tcW w:w="1080" w:type="dxa"/>
            <w:vAlign w:val="bottom"/>
          </w:tcPr>
          <w:p>
            <w:pPr>
              <w:spacing w:after="0"/>
              <w:rPr>
                <w:sz w:val="12"/>
                <w:szCs w:val="12"/>
                <w:color w:val="auto"/>
              </w:rPr>
            </w:pPr>
          </w:p>
        </w:tc>
        <w:tc>
          <w:tcPr>
            <w:tcW w:w="740" w:type="dxa"/>
            <w:vAlign w:val="bottom"/>
          </w:tcPr>
          <w:p>
            <w:pPr>
              <w:jc w:val="right"/>
              <w:ind w:right="114"/>
              <w:spacing w:after="0" w:line="149" w:lineRule="exact"/>
              <w:rPr>
                <w:sz w:val="20"/>
                <w:szCs w:val="20"/>
                <w:color w:val="auto"/>
              </w:rPr>
            </w:pPr>
            <w:r>
              <w:rPr>
                <w:rFonts w:ascii="Arial" w:cs="Arial" w:eastAsia="Arial" w:hAnsi="Arial"/>
                <w:sz w:val="14"/>
                <w:szCs w:val="14"/>
                <w:color w:val="auto"/>
                <w:w w:val="99"/>
              </w:rPr>
              <w:t>Average</w:t>
            </w:r>
          </w:p>
        </w:tc>
      </w:tr>
      <w:tr>
        <w:trPr>
          <w:trHeight w:val="159"/>
        </w:trPr>
        <w:tc>
          <w:tcPr>
            <w:tcW w:w="504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2040" w:type="dxa"/>
            <w:vAlign w:val="bottom"/>
            <w:gridSpan w:val="2"/>
          </w:tcPr>
          <w:p>
            <w:pPr>
              <w:jc w:val="right"/>
              <w:ind w:right="173"/>
              <w:spacing w:after="0" w:line="159" w:lineRule="exact"/>
              <w:rPr>
                <w:sz w:val="20"/>
                <w:szCs w:val="20"/>
                <w:color w:val="auto"/>
              </w:rPr>
            </w:pPr>
            <w:r>
              <w:rPr>
                <w:rFonts w:ascii="Arial" w:cs="Arial" w:eastAsia="Arial" w:hAnsi="Arial"/>
                <w:sz w:val="14"/>
                <w:szCs w:val="14"/>
                <w:color w:val="auto"/>
              </w:rPr>
              <w:t>Balance</w:t>
            </w:r>
          </w:p>
        </w:tc>
        <w:tc>
          <w:tcPr>
            <w:tcW w:w="10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Interest</w:t>
            </w:r>
          </w:p>
        </w:tc>
        <w:tc>
          <w:tcPr>
            <w:tcW w:w="800" w:type="dxa"/>
            <w:vAlign w:val="bottom"/>
          </w:tcPr>
          <w:p>
            <w:pPr>
              <w:jc w:val="right"/>
              <w:ind w:right="314"/>
              <w:spacing w:after="0" w:line="159" w:lineRule="exact"/>
              <w:rPr>
                <w:sz w:val="20"/>
                <w:szCs w:val="20"/>
                <w:color w:val="auto"/>
              </w:rPr>
            </w:pPr>
            <w:r>
              <w:rPr>
                <w:rFonts w:ascii="Arial" w:cs="Arial" w:eastAsia="Arial" w:hAnsi="Arial"/>
                <w:sz w:val="14"/>
                <w:szCs w:val="14"/>
                <w:color w:val="auto"/>
              </w:rPr>
              <w:t>Rate</w:t>
            </w:r>
          </w:p>
        </w:tc>
        <w:tc>
          <w:tcPr>
            <w:tcW w:w="700" w:type="dxa"/>
            <w:vAlign w:val="bottom"/>
          </w:tcPr>
          <w:p>
            <w:pPr>
              <w:jc w:val="right"/>
              <w:ind w:right="13"/>
              <w:spacing w:after="0" w:line="159" w:lineRule="exact"/>
              <w:rPr>
                <w:sz w:val="20"/>
                <w:szCs w:val="20"/>
                <w:color w:val="auto"/>
              </w:rPr>
            </w:pPr>
            <w:r>
              <w:rPr>
                <w:rFonts w:ascii="Arial" w:cs="Arial" w:eastAsia="Arial" w:hAnsi="Arial"/>
                <w:sz w:val="14"/>
                <w:szCs w:val="14"/>
                <w:color w:val="auto"/>
              </w:rPr>
              <w:t>Balance</w:t>
            </w:r>
          </w:p>
        </w:tc>
        <w:tc>
          <w:tcPr>
            <w:tcW w:w="1080" w:type="dxa"/>
            <w:vAlign w:val="bottom"/>
          </w:tcPr>
          <w:p>
            <w:pPr>
              <w:jc w:val="right"/>
              <w:ind w:right="234"/>
              <w:spacing w:after="0" w:line="159" w:lineRule="exact"/>
              <w:rPr>
                <w:sz w:val="20"/>
                <w:szCs w:val="20"/>
                <w:color w:val="auto"/>
              </w:rPr>
            </w:pPr>
            <w:r>
              <w:rPr>
                <w:rFonts w:ascii="Arial" w:cs="Arial" w:eastAsia="Arial" w:hAnsi="Arial"/>
                <w:sz w:val="14"/>
                <w:szCs w:val="14"/>
                <w:color w:val="auto"/>
              </w:rPr>
              <w:t>Interest</w:t>
            </w:r>
          </w:p>
        </w:tc>
        <w:tc>
          <w:tcPr>
            <w:tcW w:w="740" w:type="dxa"/>
            <w:vAlign w:val="bottom"/>
          </w:tcPr>
          <w:p>
            <w:pPr>
              <w:jc w:val="right"/>
              <w:ind w:right="214"/>
              <w:spacing w:after="0" w:line="159" w:lineRule="exact"/>
              <w:rPr>
                <w:sz w:val="20"/>
                <w:szCs w:val="20"/>
                <w:color w:val="auto"/>
              </w:rPr>
            </w:pPr>
            <w:r>
              <w:rPr>
                <w:rFonts w:ascii="Arial" w:cs="Arial" w:eastAsia="Arial" w:hAnsi="Arial"/>
                <w:sz w:val="14"/>
                <w:szCs w:val="14"/>
                <w:color w:val="auto"/>
              </w:rPr>
              <w:t>Rate</w:t>
            </w: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Earning assets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Commercial, financial, etc.</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14,623</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$141,723</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3.89%</w:t>
            </w:r>
          </w:p>
        </w:tc>
        <w:tc>
          <w:tcPr>
            <w:tcW w:w="700" w:type="dxa"/>
            <w:vAlign w:val="bottom"/>
          </w:tcPr>
          <w:p>
            <w:pPr>
              <w:jc w:val="right"/>
              <w:spacing w:after="0"/>
              <w:rPr>
                <w:sz w:val="20"/>
                <w:szCs w:val="20"/>
                <w:color w:val="auto"/>
              </w:rPr>
            </w:pPr>
            <w:r>
              <w:rPr>
                <w:rFonts w:ascii="Arial" w:cs="Arial" w:eastAsia="Arial" w:hAnsi="Arial"/>
                <w:sz w:val="18"/>
                <w:szCs w:val="18"/>
                <w:color w:val="auto"/>
              </w:rPr>
              <w:t>13,573</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131,619</w:t>
            </w:r>
          </w:p>
        </w:tc>
        <w:tc>
          <w:tcPr>
            <w:tcW w:w="74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 commercial</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7"/>
              </w:rPr>
              <w:t>22,471</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257,787</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4.59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21,003</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247,276</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4.71</w:t>
            </w: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Real estate – consumer</w:t>
            </w:r>
          </w:p>
        </w:tc>
        <w:tc>
          <w:tcPr>
            <w:tcW w:w="13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6,559</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81,943</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5.00</w:t>
            </w:r>
          </w:p>
        </w:tc>
        <w:tc>
          <w:tcPr>
            <w:tcW w:w="700" w:type="dxa"/>
            <w:vAlign w:val="bottom"/>
          </w:tcPr>
          <w:p>
            <w:pPr>
              <w:jc w:val="right"/>
              <w:spacing w:after="0"/>
              <w:rPr>
                <w:sz w:val="20"/>
                <w:szCs w:val="20"/>
                <w:color w:val="auto"/>
              </w:rPr>
            </w:pPr>
            <w:r>
              <w:rPr>
                <w:rFonts w:ascii="Arial" w:cs="Arial" w:eastAsia="Arial" w:hAnsi="Arial"/>
                <w:sz w:val="18"/>
                <w:szCs w:val="18"/>
                <w:color w:val="auto"/>
              </w:rPr>
              <w:t>6,054</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76,642</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5.06</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7"/>
              </w:rPr>
              <w:t>11,808</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148,028</w:t>
            </w:r>
          </w:p>
        </w:tc>
        <w:tc>
          <w:tcPr>
            <w:tcW w:w="8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5.03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143,519</w:t>
            </w: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5.13</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loans and leases, net</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55,461</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629,481</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4.55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51,972</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599,056</w:t>
            </w: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4.67</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804</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479</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3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622</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137</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.09</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19</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101</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331</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442</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Investment securities**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3,436</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33,227</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42,078</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4.17</w:t>
            </w: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250</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3,439</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5.51</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3,479</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5.64</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2,708</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27,627</w:t>
            </w:r>
          </w:p>
        </w:tc>
        <w:tc>
          <w:tcPr>
            <w:tcW w:w="8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4.09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28,700</w:t>
            </w: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4.04</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investment securities</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6,394</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64,293</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4.03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74,257</w:t>
            </w: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4.17</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earning assets</w:t>
            </w:r>
          </w:p>
        </w:tc>
        <w:tc>
          <w:tcPr>
            <w:tcW w:w="1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7"/>
              </w:rPr>
              <w:t>63,382</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694,721</w:t>
            </w:r>
          </w:p>
        </w:tc>
        <w:tc>
          <w:tcPr>
            <w:tcW w:w="8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4.40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59,431</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673,810</w:t>
            </w: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4.60</w:t>
            </w: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36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(913)</w:t>
            </w: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w:t>
            </w: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1,116</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8,869</w:t>
            </w: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7"/>
              </w:rPr>
              <w:t>72,454</w:t>
            </w:r>
          </w:p>
        </w:tc>
        <w:tc>
          <w:tcPr>
            <w:tcW w:w="10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68,045</w:t>
            </w:r>
          </w:p>
        </w:tc>
        <w:tc>
          <w:tcPr>
            <w:tcW w:w="10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NOW accounts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742</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274</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202</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Savings deposits</w:t>
            </w:r>
          </w:p>
        </w:tc>
        <w:tc>
          <w:tcPr>
            <w:tcW w:w="13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30,043</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20,757</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.28</w:t>
            </w:r>
          </w:p>
        </w:tc>
        <w:tc>
          <w:tcPr>
            <w:tcW w:w="700" w:type="dxa"/>
            <w:vAlign w:val="bottom"/>
          </w:tcPr>
          <w:p>
            <w:pPr>
              <w:jc w:val="right"/>
              <w:spacing w:after="0"/>
              <w:rPr>
                <w:sz w:val="20"/>
                <w:szCs w:val="20"/>
                <w:color w:val="auto"/>
              </w:rPr>
            </w:pPr>
            <w:r>
              <w:rPr>
                <w:rFonts w:ascii="Arial" w:cs="Arial" w:eastAsia="Arial" w:hAnsi="Arial"/>
                <w:sz w:val="18"/>
                <w:szCs w:val="18"/>
                <w:color w:val="auto"/>
              </w:rPr>
              <w:t>27,669</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19,239</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6,657</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19,310</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19,071</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Deposits at Cayman Islands office</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820</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193</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394</w:t>
            </w: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.14</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1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7"/>
              </w:rPr>
              <w:t>38,262</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40,534</w:t>
            </w:r>
          </w:p>
        </w:tc>
        <w:tc>
          <w:tcPr>
            <w:tcW w:w="8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35,179</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38,906</w:t>
            </w: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Short-term borrowings</w:t>
            </w:r>
          </w:p>
        </w:tc>
        <w:tc>
          <w:tcPr>
            <w:tcW w:w="13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707</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147</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.08</w:t>
            </w:r>
          </w:p>
        </w:tc>
        <w:tc>
          <w:tcPr>
            <w:tcW w:w="700" w:type="dxa"/>
            <w:vAlign w:val="bottom"/>
          </w:tcPr>
          <w:p>
            <w:pPr>
              <w:jc w:val="right"/>
              <w:spacing w:after="0"/>
              <w:rPr>
                <w:sz w:val="20"/>
                <w:szCs w:val="20"/>
                <w:color w:val="auto"/>
              </w:rPr>
            </w:pPr>
            <w:r>
              <w:rPr>
                <w:rFonts w:ascii="Arial" w:cs="Arial" w:eastAsia="Arial" w:hAnsi="Arial"/>
                <w:sz w:val="18"/>
                <w:szCs w:val="18"/>
                <w:color w:val="auto"/>
              </w:rPr>
              <w:t>1,344</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492</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7,076</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61,370</w:t>
            </w:r>
          </w:p>
        </w:tc>
        <w:tc>
          <w:tcPr>
            <w:tcW w:w="8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3.48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59,281</w:t>
            </w: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3.26</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46,045</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102,051</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.89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43,891</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98,679</w:t>
            </w: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.91</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7"/>
              </w:rPr>
              <w:t>16,195</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1,402</w:t>
            </w: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7"/>
              </w:rPr>
              <w:t>63,642</w:t>
            </w:r>
          </w:p>
        </w:tc>
        <w:tc>
          <w:tcPr>
            <w:tcW w:w="10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59,594</w:t>
            </w:r>
          </w:p>
        </w:tc>
        <w:tc>
          <w:tcPr>
            <w:tcW w:w="10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8,812</w:t>
            </w: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7"/>
              </w:rPr>
              <w:t>72,454</w:t>
            </w:r>
          </w:p>
        </w:tc>
        <w:tc>
          <w:tcPr>
            <w:tcW w:w="10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68,045</w:t>
            </w:r>
          </w:p>
        </w:tc>
        <w:tc>
          <w:tcPr>
            <w:tcW w:w="10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interest spread</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3.51</w:t>
            </w: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3.69</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.24</w:t>
            </w:r>
          </w:p>
        </w:tc>
        <w:tc>
          <w:tcPr>
            <w:tcW w:w="7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.23</w:t>
            </w:r>
          </w:p>
        </w:tc>
      </w:tr>
      <w:tr>
        <w:trPr>
          <w:trHeight w:val="217"/>
        </w:trPr>
        <w:tc>
          <w:tcPr>
            <w:tcW w:w="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income/margin on earning assets</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$592,670</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3.75%</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575,131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bl>
    <w:p>
      <w:pPr>
        <w:spacing w:after="0" w:line="19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15"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90" w:lineRule="exact"/>
        <w:rPr>
          <w:sz w:val="20"/>
          <w:szCs w:val="20"/>
          <w:color w:val="auto"/>
        </w:rPr>
      </w:pPr>
    </w:p>
    <w:p>
      <w:pPr>
        <w:ind w:right="140" w:firstLine="464"/>
        <w:spacing w:after="0" w:line="306"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2012.</w:t>
      </w:r>
    </w:p>
    <w:p>
      <w:pPr>
        <w:spacing w:after="0" w:line="106" w:lineRule="exact"/>
        <w:rPr>
          <w:rFonts w:ascii="Arial" w:cs="Arial" w:eastAsia="Arial" w:hAnsi="Arial"/>
          <w:sz w:val="16"/>
          <w:szCs w:val="16"/>
          <w:color w:val="auto"/>
        </w:rPr>
      </w:pPr>
    </w:p>
    <w:p>
      <w:pPr>
        <w:ind w:right="100" w:firstLine="464"/>
        <w:spacing w:after="0" w:line="298"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2012 that have materially affected, or are reasonably likely to materially affect, M&amp;T’s internal control over financial reporting.</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Risk Factors.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Unregistered Sales of Equity Securities and Use of Proceeds.</w:t>
      </w:r>
    </w:p>
    <w:p>
      <w:pPr>
        <w:spacing w:after="0" w:line="90" w:lineRule="exact"/>
        <w:rPr>
          <w:sz w:val="20"/>
          <w:szCs w:val="20"/>
          <w:color w:val="auto"/>
        </w:rPr>
      </w:pPr>
    </w:p>
    <w:p>
      <w:pPr>
        <w:ind w:left="700" w:hanging="23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71" w:lineRule="exact"/>
        <w:rPr>
          <w:rFonts w:ascii="Arial" w:cs="Arial" w:eastAsia="Arial" w:hAnsi="Arial"/>
          <w:sz w:val="18"/>
          <w:szCs w:val="18"/>
          <w:color w:val="auto"/>
        </w:rPr>
      </w:pPr>
    </w:p>
    <w:p>
      <w:pPr>
        <w:spacing w:after="0"/>
        <w:tabs>
          <w:tab w:leader="none" w:pos="0" w:val="left"/>
        </w:tabs>
        <w:numPr>
          <w:ilvl w:val="0"/>
          <w:numId w:val="79"/>
        </w:numPr>
        <w:rPr>
          <w:rFonts w:ascii="Arial" w:cs="Arial" w:eastAsia="Arial" w:hAnsi="Arial"/>
          <w:sz w:val="18"/>
          <w:szCs w:val="18"/>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Issuer Purchases of Equity Securities</w:t>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gridSpan w:val="2"/>
          </w:tcPr>
          <w:p>
            <w:pPr>
              <w:jc w:val="center"/>
              <w:ind w:right="80"/>
              <w:spacing w:after="0" w:line="112" w:lineRule="exact"/>
              <w:rPr>
                <w:sz w:val="20"/>
                <w:szCs w:val="20"/>
                <w:color w:val="auto"/>
              </w:rPr>
            </w:pPr>
            <w:r>
              <w:rPr>
                <w:rFonts w:ascii="Arial" w:cs="Arial" w:eastAsia="Arial" w:hAnsi="Arial"/>
                <w:sz w:val="12"/>
                <w:szCs w:val="12"/>
                <w:color w:val="auto"/>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(c) Total</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(or Units)</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3"/>
              </w:rPr>
              <w:t>Purchased</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4"/>
              </w:rPr>
              <w:t>(a) Total</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as Part of</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w:t>
            </w:r>
          </w:p>
        </w:tc>
        <w:tc>
          <w:tcPr>
            <w:tcW w:w="560" w:type="dxa"/>
            <w:vAlign w:val="bottom"/>
          </w:tcPr>
          <w:p>
            <w:pPr>
              <w:spacing w:after="0"/>
              <w:rPr>
                <w:sz w:val="12"/>
                <w:szCs w:val="12"/>
                <w:color w:val="auto"/>
              </w:rPr>
            </w:pPr>
          </w:p>
        </w:tc>
        <w:tc>
          <w:tcPr>
            <w:tcW w:w="118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w w:val="81"/>
              </w:rPr>
              <w:t>(b) Average</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Publicly</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0"/>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of Shares</w:t>
            </w:r>
          </w:p>
        </w:tc>
        <w:tc>
          <w:tcPr>
            <w:tcW w:w="560" w:type="dxa"/>
            <w:vAlign w:val="bottom"/>
          </w:tcPr>
          <w:p>
            <w:pPr>
              <w:spacing w:after="0"/>
              <w:rPr>
                <w:sz w:val="12"/>
                <w:szCs w:val="12"/>
                <w:color w:val="auto"/>
              </w:rPr>
            </w:pP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4"/>
              </w:rPr>
              <w:t>Price Paid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Announced</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Under the</w:t>
            </w: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(or Units)</w:t>
            </w:r>
          </w:p>
        </w:tc>
        <w:tc>
          <w:tcPr>
            <w:tcW w:w="560" w:type="dxa"/>
            <w:vAlign w:val="bottom"/>
          </w:tcPr>
          <w:p>
            <w:pPr>
              <w:spacing w:after="0"/>
              <w:rPr>
                <w:sz w:val="12"/>
                <w:szCs w:val="12"/>
                <w:color w:val="auto"/>
              </w:rPr>
            </w:pP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1"/>
              </w:rPr>
              <w:t>per Share</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Plans or</w:t>
            </w:r>
          </w:p>
        </w:tc>
        <w:tc>
          <w:tcPr>
            <w:tcW w:w="5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Plans or</w:t>
            </w:r>
          </w:p>
        </w:tc>
        <w:tc>
          <w:tcPr>
            <w:tcW w:w="0" w:type="dxa"/>
            <w:vAlign w:val="bottom"/>
          </w:tcPr>
          <w:p>
            <w:pPr>
              <w:spacing w:after="0"/>
              <w:rPr>
                <w:sz w:val="1"/>
                <w:szCs w:val="1"/>
                <w:color w:val="auto"/>
              </w:rPr>
            </w:pPr>
          </w:p>
        </w:tc>
      </w:tr>
      <w:tr>
        <w:trPr>
          <w:trHeight w:val="153"/>
        </w:trPr>
        <w:tc>
          <w:tcPr>
            <w:tcW w:w="5960" w:type="dxa"/>
            <w:vAlign w:val="bottom"/>
            <w:gridSpan w:val="3"/>
            <w:vMerge w:val="continue"/>
          </w:tcPr>
          <w:p>
            <w:pPr>
              <w:spacing w:after="0"/>
              <w:rPr>
                <w:sz w:val="13"/>
                <w:szCs w:val="13"/>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4"/>
                <w:szCs w:val="14"/>
                <w:color w:val="auto"/>
                <w:w w:val="86"/>
              </w:rPr>
              <w:t>Purchased (1)</w:t>
            </w:r>
          </w:p>
        </w:tc>
        <w:tc>
          <w:tcPr>
            <w:tcW w:w="560" w:type="dxa"/>
            <w:vAlign w:val="bottom"/>
          </w:tcPr>
          <w:p>
            <w:pPr>
              <w:spacing w:after="0"/>
              <w:rPr>
                <w:sz w:val="13"/>
                <w:szCs w:val="13"/>
                <w:color w:val="auto"/>
              </w:rPr>
            </w:pPr>
          </w:p>
        </w:tc>
        <w:tc>
          <w:tcPr>
            <w:tcW w:w="1180" w:type="dxa"/>
            <w:vAlign w:val="bottom"/>
            <w:gridSpan w:val="3"/>
          </w:tcPr>
          <w:p>
            <w:pPr>
              <w:jc w:val="center"/>
              <w:ind w:right="560"/>
              <w:spacing w:after="0" w:line="146" w:lineRule="exact"/>
              <w:rPr>
                <w:sz w:val="20"/>
                <w:szCs w:val="20"/>
                <w:color w:val="auto"/>
              </w:rPr>
            </w:pPr>
            <w:r>
              <w:rPr>
                <w:rFonts w:ascii="Arial" w:cs="Arial" w:eastAsia="Arial" w:hAnsi="Arial"/>
                <w:sz w:val="14"/>
                <w:szCs w:val="14"/>
                <w:color w:val="auto"/>
                <w:w w:val="90"/>
              </w:rPr>
              <w:t>(or Unit)</w:t>
            </w:r>
          </w:p>
        </w:tc>
        <w:tc>
          <w:tcPr>
            <w:tcW w:w="640" w:type="dxa"/>
            <w:vAlign w:val="bottom"/>
          </w:tcPr>
          <w:p>
            <w:pPr>
              <w:jc w:val="center"/>
              <w:spacing w:after="0" w:line="146" w:lineRule="exact"/>
              <w:rPr>
                <w:sz w:val="20"/>
                <w:szCs w:val="20"/>
                <w:color w:val="auto"/>
              </w:rPr>
            </w:pPr>
            <w:r>
              <w:rPr>
                <w:rFonts w:ascii="Arial" w:cs="Arial" w:eastAsia="Arial" w:hAnsi="Arial"/>
                <w:sz w:val="14"/>
                <w:szCs w:val="14"/>
                <w:color w:val="auto"/>
                <w:w w:val="85"/>
              </w:rPr>
              <w:t>Programs</w:t>
            </w:r>
          </w:p>
        </w:tc>
        <w:tc>
          <w:tcPr>
            <w:tcW w:w="540" w:type="dxa"/>
            <w:vAlign w:val="bottom"/>
          </w:tcPr>
          <w:p>
            <w:pPr>
              <w:spacing w:after="0"/>
              <w:rPr>
                <w:sz w:val="13"/>
                <w:szCs w:val="13"/>
                <w:color w:val="auto"/>
              </w:rPr>
            </w:pPr>
          </w:p>
        </w:tc>
        <w:tc>
          <w:tcPr>
            <w:tcW w:w="86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5"/>
              </w:rPr>
              <w:t>Programs (2)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483,264</w:t>
            </w: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80.42</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60" w:type="dxa"/>
            <w:vAlign w:val="bottom"/>
            <w:gridSpan w:val="3"/>
          </w:tcPr>
          <w:p>
            <w:pPr>
              <w:spacing w:after="0"/>
              <w:rPr>
                <w:sz w:val="20"/>
                <w:szCs w:val="20"/>
                <w:color w:val="auto"/>
              </w:rPr>
            </w:pPr>
            <w:r>
              <w:rPr>
                <w:rFonts w:ascii="Arial" w:cs="Arial" w:eastAsia="Arial" w:hAnsi="Arial"/>
                <w:sz w:val="18"/>
                <w:szCs w:val="18"/>
                <w:color w:val="auto"/>
              </w:rPr>
              <w:t>February 1 – February 29, 2012</w:t>
            </w:r>
          </w:p>
        </w:tc>
        <w:tc>
          <w:tcPr>
            <w:tcW w:w="760" w:type="dxa"/>
            <w:vAlign w:val="bottom"/>
          </w:tcPr>
          <w:p>
            <w:pPr>
              <w:jc w:val="right"/>
              <w:spacing w:after="0"/>
              <w:rPr>
                <w:sz w:val="20"/>
                <w:szCs w:val="20"/>
                <w:color w:val="auto"/>
              </w:rPr>
            </w:pPr>
            <w:r>
              <w:rPr>
                <w:rFonts w:ascii="Arial" w:cs="Arial" w:eastAsia="Arial" w:hAnsi="Arial"/>
                <w:sz w:val="18"/>
                <w:szCs w:val="18"/>
                <w:color w:val="auto"/>
              </w:rPr>
              <w:t>2,496</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81.90</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85.99</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960" w:type="dxa"/>
            <w:vAlign w:val="bottom"/>
            <w:gridSpan w:val="3"/>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rPr>
              <w:t>488,067</w:t>
            </w: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80.46</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303" w:lineRule="auto"/>
        <w:tabs>
          <w:tab w:leader="none" w:pos="460" w:val="left"/>
        </w:tabs>
        <w:numPr>
          <w:ilvl w:val="0"/>
          <w:numId w:val="80"/>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5"/>
          <w:szCs w:val="15"/>
          <w:i w:val="1"/>
          <w:iCs w:val="1"/>
          <w:color w:val="auto"/>
        </w:rPr>
      </w:pPr>
    </w:p>
    <w:p>
      <w:pPr>
        <w:ind w:left="460" w:right="200" w:hanging="452"/>
        <w:spacing w:after="0" w:line="261" w:lineRule="auto"/>
        <w:tabs>
          <w:tab w:leader="none" w:pos="4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Mine Safety Disclosures.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000"/>
          </w:cols>
          <w:pgMar w:left="240" w:top="459" w:right="6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120" w:type="dxa"/>
            <w:vAlign w:val="bottom"/>
          </w:tcPr>
          <w:p>
            <w:pPr>
              <w:ind w:left="140"/>
              <w:spacing w:after="0"/>
              <w:rPr>
                <w:sz w:val="20"/>
                <w:szCs w:val="20"/>
                <w:color w:val="auto"/>
              </w:rPr>
            </w:pPr>
            <w:r>
              <w:rPr>
                <w:rFonts w:ascii="Arial" w:cs="Arial" w:eastAsia="Arial" w:hAnsi="Arial"/>
                <w:sz w:val="18"/>
                <w:szCs w:val="18"/>
                <w:color w:val="auto"/>
              </w:rPr>
              <w:t>Exhibits.</w:t>
            </w:r>
          </w:p>
        </w:tc>
      </w:tr>
      <w:tr>
        <w:trPr>
          <w:trHeight w:val="297"/>
        </w:trPr>
        <w:tc>
          <w:tcPr>
            <w:tcW w:w="180" w:type="dxa"/>
            <w:vAlign w:val="bottom"/>
          </w:tcPr>
          <w:p>
            <w:pPr>
              <w:spacing w:after="0"/>
              <w:rPr>
                <w:sz w:val="24"/>
                <w:szCs w:val="24"/>
                <w:color w:val="auto"/>
              </w:rPr>
            </w:pPr>
          </w:p>
        </w:tc>
        <w:tc>
          <w:tcPr>
            <w:tcW w:w="10840" w:type="dxa"/>
            <w:vAlign w:val="bottom"/>
            <w:gridSpan w:val="3"/>
          </w:tcPr>
          <w:p>
            <w:pPr>
              <w:ind w:left="28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342"/>
        </w:trPr>
        <w:tc>
          <w:tcPr>
            <w:tcW w:w="180" w:type="dxa"/>
            <w:vAlign w:val="bottom"/>
          </w:tcPr>
          <w:p>
            <w:pPr>
              <w:spacing w:after="0"/>
              <w:rPr>
                <w:sz w:val="24"/>
                <w:szCs w:val="2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Exhibit</w:t>
            </w:r>
          </w:p>
        </w:tc>
        <w:tc>
          <w:tcPr>
            <w:tcW w:w="10120" w:type="dxa"/>
            <w:vAlign w:val="bottom"/>
          </w:tcPr>
          <w:p>
            <w:pPr>
              <w:spacing w:after="0"/>
              <w:rPr>
                <w:sz w:val="24"/>
                <w:szCs w:val="24"/>
                <w:color w:val="auto"/>
              </w:rPr>
            </w:pPr>
          </w:p>
        </w:tc>
      </w:tr>
      <w:tr>
        <w:trPr>
          <w:trHeight w:val="159"/>
        </w:trPr>
        <w:tc>
          <w:tcPr>
            <w:tcW w:w="18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320" w:type="dxa"/>
            <w:vAlign w:val="bottom"/>
          </w:tcPr>
          <w:p>
            <w:pPr>
              <w:spacing w:after="0"/>
              <w:rPr>
                <w:sz w:val="13"/>
                <w:szCs w:val="13"/>
                <w:color w:val="auto"/>
              </w:rPr>
            </w:pPr>
          </w:p>
        </w:tc>
        <w:tc>
          <w:tcPr>
            <w:tcW w:w="10120" w:type="dxa"/>
            <w:vAlign w:val="bottom"/>
          </w:tcPr>
          <w:p>
            <w:pPr>
              <w:spacing w:after="0"/>
              <w:rPr>
                <w:sz w:val="13"/>
                <w:szCs w:val="13"/>
                <w:color w:val="auto"/>
              </w:rPr>
            </w:pPr>
          </w:p>
        </w:tc>
      </w:tr>
      <w:tr>
        <w:trPr>
          <w:trHeight w:val="329"/>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00" w:hanging="212"/>
        <w:spacing w:after="0" w:line="268"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M&amp;T BANK CORPORATION</w:t>
            </w:r>
          </w:p>
        </w:tc>
      </w:tr>
      <w:tr>
        <w:trPr>
          <w:trHeight w:val="433"/>
        </w:trPr>
        <w:tc>
          <w:tcPr>
            <w:tcW w:w="3420" w:type="dxa"/>
            <w:vAlign w:val="bottom"/>
          </w:tcPr>
          <w:p>
            <w:pPr>
              <w:spacing w:after="0"/>
              <w:rPr>
                <w:sz w:val="20"/>
                <w:szCs w:val="20"/>
                <w:color w:val="auto"/>
              </w:rPr>
            </w:pPr>
            <w:r>
              <w:rPr>
                <w:rFonts w:ascii="Arial" w:cs="Arial" w:eastAsia="Arial" w:hAnsi="Arial"/>
                <w:sz w:val="18"/>
                <w:szCs w:val="18"/>
                <w:color w:val="auto"/>
              </w:rPr>
              <w:t>Date: May 9, 2012</w:t>
            </w:r>
          </w:p>
        </w:tc>
        <w:tc>
          <w:tcPr>
            <w:tcW w:w="8000" w:type="dxa"/>
            <w:vAlign w:val="bottom"/>
            <w:gridSpan w:val="2"/>
          </w:tcPr>
          <w:p>
            <w:pPr>
              <w:ind w:left="2500"/>
              <w:spacing w:after="0"/>
              <w:rPr>
                <w:sz w:val="20"/>
                <w:szCs w:val="20"/>
                <w:color w:val="auto"/>
              </w:rPr>
            </w:pPr>
            <w:r>
              <w:rPr>
                <w:rFonts w:ascii="Arial" w:cs="Arial" w:eastAsia="Arial" w:hAnsi="Arial"/>
                <w:sz w:val="18"/>
                <w:szCs w:val="18"/>
                <w:color w:val="auto"/>
              </w:rPr>
              <w:t>By: /s/ René F. Jones</w:t>
            </w:r>
          </w:p>
        </w:tc>
      </w:tr>
      <w:tr>
        <w:trPr>
          <w:trHeight w:val="216"/>
        </w:trPr>
        <w:tc>
          <w:tcPr>
            <w:tcW w:w="3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r>
      <w:tr>
        <w:trPr>
          <w:trHeight w:val="216"/>
        </w:trPr>
        <w:tc>
          <w:tcPr>
            <w:tcW w:w="3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34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365"/>
        </w:trPr>
        <w:tc>
          <w:tcPr>
            <w:tcW w:w="3420" w:type="dxa"/>
            <w:vAlign w:val="bottom"/>
          </w:tcPr>
          <w:p>
            <w:pPr>
              <w:spacing w:after="0"/>
              <w:rPr>
                <w:sz w:val="24"/>
                <w:szCs w:val="24"/>
                <w:color w:val="auto"/>
              </w:rPr>
            </w:pPr>
          </w:p>
        </w:tc>
        <w:tc>
          <w:tcPr>
            <w:tcW w:w="2860" w:type="dxa"/>
            <w:vAlign w:val="bottom"/>
          </w:tcPr>
          <w:p>
            <w:pPr>
              <w:jc w:val="right"/>
              <w:ind w:right="292"/>
              <w:spacing w:after="0"/>
              <w:rPr>
                <w:sz w:val="20"/>
                <w:szCs w:val="20"/>
                <w:color w:val="auto"/>
              </w:rPr>
            </w:pPr>
            <w:r>
              <w:rPr>
                <w:rFonts w:ascii="Arial" w:cs="Arial" w:eastAsia="Arial" w:hAnsi="Arial"/>
                <w:sz w:val="18"/>
                <w:szCs w:val="18"/>
                <w:color w:val="auto"/>
              </w:rPr>
              <w:t>- 97 -</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40" w:type="dxa"/>
            <w:vAlign w:val="bottom"/>
          </w:tcPr>
          <w:p>
            <w:pPr>
              <w:ind w:left="4080"/>
              <w:spacing w:after="0"/>
              <w:rPr>
                <w:sz w:val="20"/>
                <w:szCs w:val="20"/>
                <w:color w:val="auto"/>
              </w:rPr>
            </w:pPr>
            <w:r>
              <w:rPr>
                <w:rFonts w:ascii="Arial" w:cs="Arial" w:eastAsia="Arial" w:hAnsi="Arial"/>
                <w:sz w:val="18"/>
                <w:szCs w:val="18"/>
                <w:color w:val="auto"/>
              </w:rPr>
              <w:t>EXHIBIT INDEX</w:t>
            </w:r>
          </w:p>
        </w:tc>
      </w:tr>
      <w:tr>
        <w:trPr>
          <w:trHeight w:val="342"/>
        </w:trPr>
        <w:tc>
          <w:tcPr>
            <w:tcW w:w="18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Exhibit</w:t>
            </w:r>
          </w:p>
        </w:tc>
        <w:tc>
          <w:tcPr>
            <w:tcW w:w="10040" w:type="dxa"/>
            <w:vAlign w:val="bottom"/>
          </w:tcPr>
          <w:p>
            <w:pPr>
              <w:spacing w:after="0"/>
              <w:rPr>
                <w:sz w:val="24"/>
                <w:szCs w:val="24"/>
                <w:color w:val="auto"/>
              </w:rPr>
            </w:pPr>
          </w:p>
        </w:tc>
      </w:tr>
      <w:tr>
        <w:trPr>
          <w:trHeight w:val="159"/>
        </w:trPr>
        <w:tc>
          <w:tcPr>
            <w:tcW w:w="18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400" w:type="dxa"/>
            <w:vAlign w:val="bottom"/>
          </w:tcPr>
          <w:p>
            <w:pPr>
              <w:spacing w:after="0"/>
              <w:rPr>
                <w:sz w:val="13"/>
                <w:szCs w:val="13"/>
                <w:color w:val="auto"/>
              </w:rPr>
            </w:pPr>
          </w:p>
        </w:tc>
        <w:tc>
          <w:tcPr>
            <w:tcW w:w="10040" w:type="dxa"/>
            <w:vAlign w:val="bottom"/>
          </w:tcPr>
          <w:p>
            <w:pPr>
              <w:spacing w:after="0"/>
              <w:rPr>
                <w:sz w:val="13"/>
                <w:szCs w:val="13"/>
                <w:color w:val="auto"/>
              </w:rPr>
            </w:pPr>
          </w:p>
        </w:tc>
      </w:tr>
      <w:tr>
        <w:trPr>
          <w:trHeight w:val="329"/>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101.SCH*</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101.CAL*</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101.LAB*</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101.DEF*</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68"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98 -</w:t>
      </w:r>
    </w:p>
    <w:p>
      <w:pPr>
        <w:sectPr>
          <w:pgSz w:w="11900" w:h="16838" w:orient="portrait"/>
          <w:cols w:equalWidth="0" w:num="1">
            <w:col w:w="11220"/>
          </w:cols>
          <w:pgMar w:left="240" w:top="459"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9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9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51" w:lineRule="exact"/>
        <w:rPr>
          <w:sz w:val="20"/>
          <w:szCs w:val="20"/>
          <w:color w:val="auto"/>
        </w:rPr>
      </w:pPr>
    </w:p>
    <w:p>
      <w:pPr>
        <w:ind w:left="900" w:right="6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2012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2012</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51" w:lineRule="exact"/>
        <w:rPr>
          <w:sz w:val="20"/>
          <w:szCs w:val="20"/>
          <w:color w:val="auto"/>
        </w:rPr>
      </w:pPr>
    </w:p>
    <w:p>
      <w:pPr>
        <w:ind w:left="900" w:right="6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2012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2012</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2"/>
    </w:lvl>
  </w:abstractNum>
  <w:abstractNum w:abstractNumId="4">
    <w:nsid w:val="32FFF902"/>
    <w:multiLevelType w:val="hybridMultilevel"/>
    <w:lvl w:ilvl="0">
      <w:lvlJc w:val="left"/>
      <w:lvlText w:val="%1."/>
      <w:numFmt w:val="decimal"/>
      <w:start w:val="2"/>
    </w:lvl>
  </w:abstractNum>
  <w:abstractNum w:abstractNumId="5">
    <w:nsid w:val="684A481A"/>
    <w:multiLevelType w:val="hybridMultilevel"/>
    <w:lvl w:ilvl="0">
      <w:lvlJc w:val="left"/>
      <w:lvlText w:val="(%1)"/>
      <w:numFmt w:val="lowerLetter"/>
      <w:start w:val="1"/>
    </w:lvl>
  </w:abstractNum>
  <w:abstractNum w:abstractNumId="6">
    <w:nsid w:val="579478FE"/>
    <w:multiLevelType w:val="hybridMultilevel"/>
    <w:lvl w:ilvl="0">
      <w:lvlJc w:val="left"/>
      <w:lvlText w:val="%1."/>
      <w:numFmt w:val="decimal"/>
      <w:start w:val="2"/>
    </w:lvl>
  </w:abstractNum>
  <w:abstractNum w:abstractNumId="7">
    <w:nsid w:val="749ABB43"/>
    <w:multiLevelType w:val="hybridMultilevel"/>
    <w:lvl w:ilvl="0">
      <w:lvlJc w:val="left"/>
      <w:lvlText w:val="%1."/>
      <w:numFmt w:val="decimal"/>
      <w:start w:val="3"/>
    </w:lvl>
  </w:abstractNum>
  <w:abstractNum w:abstractNumId="8">
    <w:nsid w:val="3DC240FB"/>
    <w:multiLevelType w:val="hybridMultilevel"/>
    <w:lvl w:ilvl="0">
      <w:lvlJc w:val="left"/>
      <w:lvlText w:val="%1."/>
      <w:numFmt w:val="decimal"/>
      <w:start w:val="3"/>
    </w:lvl>
  </w:abstractNum>
  <w:abstractNum w:abstractNumId="9">
    <w:nsid w:val="1BA026FA"/>
    <w:multiLevelType w:val="hybridMultilevel"/>
    <w:lvl w:ilvl="0">
      <w:lvlJc w:val="left"/>
      <w:lvlText w:val="%1."/>
      <w:numFmt w:val="decimal"/>
      <w:start w:val="3"/>
    </w:lvl>
  </w:abstractNum>
  <w:abstractNum w:abstractNumId="10">
    <w:nsid w:val="79A1DEAA"/>
    <w:multiLevelType w:val="hybridMultilevel"/>
    <w:lvl w:ilvl="0">
      <w:lvlJc w:val="left"/>
      <w:lvlText w:val="%1."/>
      <w:numFmt w:val="decimal"/>
      <w:start w:val="4"/>
    </w:lvl>
  </w:abstractNum>
  <w:abstractNum w:abstractNumId="11">
    <w:nsid w:val="75C6C33A"/>
    <w:multiLevelType w:val="hybridMultilevel"/>
    <w:lvl w:ilvl="0">
      <w:lvlJc w:val="left"/>
      <w:lvlText w:val="(%1)"/>
      <w:numFmt w:val="lowerLetter"/>
      <w:start w:val="1"/>
    </w:lvl>
    <w:lvl w:ilvl="1">
      <w:lvlJc w:val="left"/>
      <w:lvlText w:val="-"/>
      <w:numFmt w:val="bullet"/>
      <w:start w:val="1"/>
    </w:lvl>
  </w:abstractNum>
  <w:abstractNum w:abstractNumId="12">
    <w:nsid w:val="12E685FB"/>
    <w:multiLevelType w:val="hybridMultilevel"/>
    <w:lvl w:ilvl="0">
      <w:lvlJc w:val="left"/>
      <w:lvlText w:val="%1."/>
      <w:numFmt w:val="decimal"/>
      <w:start w:val="4"/>
    </w:lvl>
  </w:abstractNum>
  <w:abstractNum w:abstractNumId="13">
    <w:nsid w:val="70C6A529"/>
    <w:multiLevelType w:val="hybridMultilevel"/>
    <w:lvl w:ilvl="0">
      <w:lvlJc w:val="left"/>
      <w:lvlText w:val="(%1)"/>
      <w:numFmt w:val="lowerLetter"/>
      <w:start w:val="1"/>
    </w:lvl>
    <w:lvl w:ilvl="1">
      <w:lvlJc w:val="left"/>
      <w:lvlText w:val="-"/>
      <w:numFmt w:val="bullet"/>
      <w:start w:val="1"/>
    </w:lvl>
  </w:abstractNum>
  <w:abstractNum w:abstractNumId="14">
    <w:nsid w:val="520EEDD1"/>
    <w:multiLevelType w:val="hybridMultilevel"/>
    <w:lvl w:ilvl="0">
      <w:lvlJc w:val="left"/>
      <w:lvlText w:val="%1."/>
      <w:numFmt w:val="decimal"/>
      <w:start w:val="4"/>
    </w:lvl>
  </w:abstractNum>
  <w:abstractNum w:abstractNumId="15">
    <w:nsid w:val="374A3FE6"/>
    <w:multiLevelType w:val="hybridMultilevel"/>
    <w:lvl w:ilvl="0">
      <w:lvlJc w:val="left"/>
      <w:lvlText w:val="%1."/>
      <w:numFmt w:val="decimal"/>
      <w:start w:val="4"/>
    </w:lvl>
  </w:abstractNum>
  <w:abstractNum w:abstractNumId="16">
    <w:nsid w:val="4F4EF005"/>
    <w:multiLevelType w:val="hybridMultilevel"/>
    <w:lvl w:ilvl="0">
      <w:lvlJc w:val="left"/>
      <w:lvlText w:val="%1."/>
      <w:numFmt w:val="decimal"/>
      <w:start w:val="4"/>
    </w:lvl>
  </w:abstractNum>
  <w:abstractNum w:abstractNumId="17">
    <w:nsid w:val="23F9C13C"/>
    <w:multiLevelType w:val="hybridMultilevel"/>
    <w:lvl w:ilvl="0">
      <w:lvlJc w:val="left"/>
      <w:lvlText w:val="%1."/>
      <w:numFmt w:val="decimal"/>
      <w:start w:val="4"/>
    </w:lvl>
  </w:abstractNum>
  <w:abstractNum w:abstractNumId="18">
    <w:nsid w:val="649BB77C"/>
    <w:multiLevelType w:val="hybridMultilevel"/>
    <w:lvl w:ilvl="0">
      <w:lvlJc w:val="left"/>
      <w:lvlText w:val="%1."/>
      <w:numFmt w:val="decimal"/>
      <w:start w:val="4"/>
    </w:lvl>
  </w:abstractNum>
  <w:abstractNum w:abstractNumId="19">
    <w:nsid w:val="275AC794"/>
    <w:multiLevelType w:val="hybridMultilevel"/>
    <w:lvl w:ilvl="0">
      <w:lvlJc w:val="left"/>
      <w:lvlText w:val="%1."/>
      <w:numFmt w:val="decimal"/>
      <w:start w:val="4"/>
    </w:lvl>
  </w:abstractNum>
  <w:abstractNum w:abstractNumId="20">
    <w:nsid w:val="39386575"/>
    <w:multiLevelType w:val="hybridMultilevel"/>
    <w:lvl w:ilvl="0">
      <w:lvlJc w:val="left"/>
      <w:lvlText w:val="%1."/>
      <w:numFmt w:val="decimal"/>
      <w:start w:val="4"/>
    </w:lvl>
  </w:abstractNum>
  <w:abstractNum w:abstractNumId="21">
    <w:nsid w:val="1CF10FD8"/>
    <w:multiLevelType w:val="hybridMultilevel"/>
    <w:lvl w:ilvl="0">
      <w:lvlJc w:val="left"/>
      <w:lvlText w:val="(%1)"/>
      <w:numFmt w:val="lowerLetter"/>
      <w:start w:val="1"/>
    </w:lvl>
    <w:lvl w:ilvl="1">
      <w:lvlJc w:val="left"/>
      <w:lvlText w:val="-"/>
      <w:numFmt w:val="bullet"/>
      <w:start w:val="1"/>
    </w:lvl>
  </w:abstractNum>
  <w:abstractNum w:abstractNumId="22">
    <w:nsid w:val="180115BE"/>
    <w:multiLevelType w:val="hybridMultilevel"/>
    <w:lvl w:ilvl="0">
      <w:lvlJc w:val="left"/>
      <w:lvlText w:val="%1."/>
      <w:numFmt w:val="decimal"/>
      <w:start w:val="4"/>
    </w:lvl>
  </w:abstractNum>
  <w:abstractNum w:abstractNumId="23">
    <w:nsid w:val="235BA861"/>
    <w:multiLevelType w:val="hybridMultilevel"/>
    <w:lvl w:ilvl="0">
      <w:lvlJc w:val="left"/>
      <w:lvlText w:val="(%1)"/>
      <w:numFmt w:val="lowerLetter"/>
      <w:start w:val="1"/>
    </w:lvl>
  </w:abstractNum>
  <w:abstractNum w:abstractNumId="24">
    <w:nsid w:val="47398C89"/>
    <w:multiLevelType w:val="hybridMultilevel"/>
    <w:lvl w:ilvl="0">
      <w:lvlJc w:val="left"/>
      <w:lvlText w:val="%1."/>
      <w:numFmt w:val="decimal"/>
      <w:start w:val="5"/>
    </w:lvl>
  </w:abstractNum>
  <w:abstractNum w:abstractNumId="25">
    <w:nsid w:val="354FE9F9"/>
    <w:multiLevelType w:val="hybridMultilevel"/>
    <w:lvl w:ilvl="0">
      <w:lvlJc w:val="left"/>
      <w:lvlText w:val="%1."/>
      <w:numFmt w:val="decimal"/>
      <w:start w:val="5"/>
    </w:lvl>
  </w:abstractNum>
  <w:abstractNum w:abstractNumId="26">
    <w:nsid w:val="15B5AF5C"/>
    <w:multiLevelType w:val="hybridMultilevel"/>
    <w:lvl w:ilvl="0">
      <w:lvlJc w:val="left"/>
      <w:lvlText w:val="(%1)"/>
      <w:numFmt w:val="lowerRoman"/>
      <w:start w:val="1"/>
    </w:lvl>
  </w:abstractNum>
  <w:abstractNum w:abstractNumId="27">
    <w:nsid w:val="741226BB"/>
    <w:multiLevelType w:val="hybridMultilevel"/>
    <w:lvl w:ilvl="0">
      <w:lvlJc w:val="left"/>
      <w:lvlText w:val="%1."/>
      <w:numFmt w:val="decimal"/>
      <w:start w:val="6"/>
    </w:lvl>
  </w:abstractNum>
  <w:abstractNum w:abstractNumId="28">
    <w:nsid w:val="D34B6A8"/>
    <w:multiLevelType w:val="hybridMultilevel"/>
    <w:lvl w:ilvl="0">
      <w:lvlJc w:val="left"/>
      <w:lvlText w:val="(%1)"/>
      <w:numFmt w:val="lowerLetter"/>
      <w:start w:val="1"/>
    </w:lvl>
    <w:lvl w:ilvl="1">
      <w:lvlJc w:val="left"/>
      <w:lvlText w:val="-"/>
      <w:numFmt w:val="bullet"/>
      <w:start w:val="1"/>
    </w:lvl>
  </w:abstractNum>
  <w:abstractNum w:abstractNumId="29">
    <w:nsid w:val="10233C99"/>
    <w:multiLevelType w:val="hybridMultilevel"/>
    <w:lvl w:ilvl="0">
      <w:lvlJc w:val="left"/>
      <w:lvlText w:val="%1."/>
      <w:numFmt w:val="decimal"/>
      <w:start w:val="6"/>
    </w:lvl>
  </w:abstractNum>
  <w:abstractNum w:abstractNumId="30">
    <w:nsid w:val="3F6AB60F"/>
    <w:multiLevelType w:val="hybridMultilevel"/>
    <w:lvl w:ilvl="0">
      <w:lvlJc w:val="left"/>
      <w:lvlText w:val="(%1)"/>
      <w:numFmt w:val="lowerLetter"/>
      <w:start w:val="3"/>
    </w:lvl>
  </w:abstractNum>
  <w:abstractNum w:abstractNumId="31">
    <w:nsid w:val="61574095"/>
    <w:multiLevelType w:val="hybridMultilevel"/>
    <w:lvl w:ilvl="0">
      <w:lvlJc w:val="left"/>
      <w:lvlText w:val="%1."/>
      <w:numFmt w:val="decimal"/>
      <w:start w:val="7"/>
    </w:lvl>
  </w:abstractNum>
  <w:abstractNum w:abstractNumId="32">
    <w:nsid w:val="7E0C57B1"/>
    <w:multiLevelType w:val="hybridMultilevel"/>
    <w:lvl w:ilvl="0">
      <w:lvlJc w:val="left"/>
      <w:lvlText w:val="%1."/>
      <w:numFmt w:val="decimal"/>
      <w:start w:val="8"/>
    </w:lvl>
  </w:abstractNum>
  <w:abstractNum w:abstractNumId="33">
    <w:nsid w:val="77AE35EB"/>
    <w:multiLevelType w:val="hybridMultilevel"/>
    <w:lvl w:ilvl="0">
      <w:lvlJc w:val="left"/>
      <w:lvlText w:val="(%1)"/>
      <w:numFmt w:val="lowerLetter"/>
      <w:start w:val="1"/>
    </w:lvl>
  </w:abstractNum>
  <w:abstractNum w:abstractNumId="34">
    <w:nsid w:val="579BE4F1"/>
    <w:multiLevelType w:val="hybridMultilevel"/>
    <w:lvl w:ilvl="0">
      <w:lvlJc w:val="left"/>
      <w:lvlText w:val="%1."/>
      <w:numFmt w:val="decimal"/>
      <w:start w:val="9"/>
    </w:lvl>
  </w:abstractNum>
  <w:abstractNum w:abstractNumId="35">
    <w:nsid w:val="310C50B3"/>
    <w:multiLevelType w:val="hybridMultilevel"/>
    <w:lvl w:ilvl="0">
      <w:lvlJc w:val="left"/>
      <w:lvlText w:val="%1."/>
      <w:numFmt w:val="decimal"/>
      <w:start w:val="9"/>
    </w:lvl>
  </w:abstractNum>
  <w:abstractNum w:abstractNumId="36">
    <w:nsid w:val="5FF87E05"/>
    <w:multiLevelType w:val="hybridMultilevel"/>
    <w:lvl w:ilvl="0">
      <w:lvlJc w:val="left"/>
      <w:lvlText w:val="%1."/>
      <w:numFmt w:val="decimal"/>
      <w:start w:val="10"/>
    </w:lvl>
  </w:abstractNum>
  <w:abstractNum w:abstractNumId="37">
    <w:nsid w:val="2F305DEF"/>
    <w:multiLevelType w:val="hybridMultilevel"/>
    <w:lvl w:ilvl="0">
      <w:lvlJc w:val="left"/>
      <w:lvlText w:val="(%1)"/>
      <w:numFmt w:val="lowerLetter"/>
      <w:start w:val="1"/>
    </w:lvl>
    <w:lvl w:ilvl="1">
      <w:lvlJc w:val="left"/>
      <w:lvlText w:val="-"/>
      <w:numFmt w:val="bullet"/>
      <w:start w:val="1"/>
    </w:lvl>
  </w:abstractNum>
  <w:abstractNum w:abstractNumId="38">
    <w:nsid w:val="25A70BF7"/>
    <w:multiLevelType w:val="hybridMultilevel"/>
    <w:lvl w:ilvl="0">
      <w:lvlJc w:val="left"/>
      <w:lvlText w:val="%1."/>
      <w:numFmt w:val="decimal"/>
      <w:start w:val="10"/>
    </w:lvl>
  </w:abstractNum>
  <w:abstractNum w:abstractNumId="39">
    <w:nsid w:val="1DBABF00"/>
    <w:multiLevelType w:val="hybridMultilevel"/>
    <w:lvl w:ilvl="0">
      <w:lvlJc w:val="left"/>
      <w:lvlText w:val="(%1)"/>
      <w:numFmt w:val="lowerLetter"/>
      <w:start w:val="1"/>
    </w:lvl>
    <w:lvl w:ilvl="1">
      <w:lvlJc w:val="left"/>
      <w:lvlText w:val="-"/>
      <w:numFmt w:val="bullet"/>
      <w:start w:val="1"/>
    </w:lvl>
  </w:abstractNum>
  <w:abstractNum w:abstractNumId="40">
    <w:nsid w:val="4AD084E9"/>
    <w:multiLevelType w:val="hybridMultilevel"/>
    <w:lvl w:ilvl="0">
      <w:lvlJc w:val="left"/>
      <w:lvlText w:val="%1."/>
      <w:numFmt w:val="decimal"/>
      <w:start w:val="10"/>
    </w:lvl>
  </w:abstractNum>
  <w:abstractNum w:abstractNumId="41">
    <w:nsid w:val="1F48EAA1"/>
    <w:multiLevelType w:val="hybridMultilevel"/>
    <w:lvl w:ilvl="0">
      <w:lvlJc w:val="left"/>
      <w:lvlText w:val="(%1)"/>
      <w:numFmt w:val="lowerLetter"/>
      <w:start w:val="1"/>
    </w:lvl>
  </w:abstractNum>
  <w:abstractNum w:abstractNumId="42">
    <w:nsid w:val="1381823A"/>
    <w:multiLevelType w:val="hybridMultilevel"/>
    <w:lvl w:ilvl="0">
      <w:lvlJc w:val="left"/>
      <w:lvlText w:val="%1."/>
      <w:numFmt w:val="decimal"/>
      <w:start w:val="10"/>
    </w:lvl>
  </w:abstractNum>
  <w:abstractNum w:abstractNumId="43">
    <w:nsid w:val="5DB70AE5"/>
    <w:multiLevelType w:val="hybridMultilevel"/>
    <w:lvl w:ilvl="0">
      <w:lvlJc w:val="left"/>
      <w:lvlText w:val="%1."/>
      <w:numFmt w:val="decimal"/>
      <w:start w:val="11"/>
    </w:lvl>
  </w:abstractNum>
  <w:abstractNum w:abstractNumId="44">
    <w:nsid w:val="100F8FCA"/>
    <w:multiLevelType w:val="hybridMultilevel"/>
    <w:lvl w:ilvl="0">
      <w:lvlJc w:val="left"/>
      <w:lvlText w:val="%1."/>
      <w:numFmt w:val="decimal"/>
      <w:start w:val="12"/>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decimal"/>
      <w:start w:val="2"/>
    </w:lvl>
  </w:abstractNum>
  <w:abstractNum w:abstractNumId="47">
    <w:nsid w:val="5F5E7FD0"/>
    <w:multiLevelType w:val="hybridMultilevel"/>
    <w:lvl w:ilvl="0">
      <w:lvlJc w:val="left"/>
      <w:lvlText w:val="%1."/>
      <w:numFmt w:val="decimal"/>
      <w:start w:val="12"/>
    </w:lvl>
  </w:abstractNum>
  <w:abstractNum w:abstractNumId="48">
    <w:nsid w:val="98A3148"/>
    <w:multiLevelType w:val="hybridMultilevel"/>
    <w:lvl w:ilvl="0">
      <w:lvlJc w:val="left"/>
      <w:lvlText w:val="%1."/>
      <w:numFmt w:val="decimal"/>
      <w:start w:val="12"/>
    </w:lvl>
  </w:abstractNum>
  <w:abstractNum w:abstractNumId="49">
    <w:nsid w:val="799D0247"/>
    <w:multiLevelType w:val="hybridMultilevel"/>
    <w:lvl w:ilvl="0">
      <w:lvlJc w:val="left"/>
      <w:lvlText w:val="%1."/>
      <w:numFmt w:val="decimal"/>
      <w:start w:val="12"/>
    </w:lvl>
  </w:abstractNum>
  <w:abstractNum w:abstractNumId="50">
    <w:nsid w:val="6B94764"/>
    <w:multiLevelType w:val="hybridMultilevel"/>
    <w:lvl w:ilvl="0">
      <w:lvlJc w:val="left"/>
      <w:lvlText w:val="(%1)"/>
      <w:numFmt w:val="lowerLetter"/>
      <w:start w:val="1"/>
    </w:lvl>
    <w:lvl w:ilvl="1">
      <w:lvlJc w:val="left"/>
      <w:lvlText w:val="-"/>
      <w:numFmt w:val="bullet"/>
      <w:start w:val="1"/>
    </w:lvl>
  </w:abstractNum>
  <w:abstractNum w:abstractNumId="51">
    <w:nsid w:val="42C296BD"/>
    <w:multiLevelType w:val="hybridMultilevel"/>
    <w:lvl w:ilvl="0">
      <w:lvlJc w:val="left"/>
      <w:lvlText w:val="%1."/>
      <w:numFmt w:val="decimal"/>
      <w:start w:val="12"/>
    </w:lvl>
  </w:abstractNum>
  <w:abstractNum w:abstractNumId="52">
    <w:nsid w:val="168E121F"/>
    <w:multiLevelType w:val="hybridMultilevel"/>
    <w:lvl w:ilvl="0">
      <w:lvlJc w:val="left"/>
      <w:lvlText w:val="%1."/>
      <w:numFmt w:val="decimal"/>
      <w:start w:val="12"/>
    </w:lvl>
  </w:abstractNum>
  <w:abstractNum w:abstractNumId="53">
    <w:nsid w:val="1EBA5D23"/>
    <w:multiLevelType w:val="hybridMultilevel"/>
    <w:lvl w:ilvl="0">
      <w:lvlJc w:val="left"/>
      <w:lvlText w:val="(%1)"/>
      <w:numFmt w:val="lowerLetter"/>
      <w:start w:val="1"/>
    </w:lvl>
    <w:lvl w:ilvl="1">
      <w:lvlJc w:val="left"/>
      <w:lvlText w:val="-"/>
      <w:numFmt w:val="bullet"/>
      <w:start w:val="1"/>
    </w:lvl>
  </w:abstractNum>
  <w:abstractNum w:abstractNumId="54">
    <w:nsid w:val="661E3F1E"/>
    <w:multiLevelType w:val="hybridMultilevel"/>
    <w:lvl w:ilvl="0">
      <w:lvlJc w:val="left"/>
      <w:lvlText w:val="%1."/>
      <w:numFmt w:val="decimal"/>
      <w:start w:val="12"/>
    </w:lvl>
  </w:abstractNum>
  <w:abstractNum w:abstractNumId="55">
    <w:nsid w:val="5DC79EA8"/>
    <w:multiLevelType w:val="hybridMultilevel"/>
    <w:lvl w:ilvl="0">
      <w:lvlJc w:val="left"/>
      <w:lvlText w:val="%1."/>
      <w:numFmt w:val="decimal"/>
      <w:start w:val="12"/>
    </w:lvl>
  </w:abstractNum>
  <w:abstractNum w:abstractNumId="56">
    <w:nsid w:val="540A471C"/>
    <w:multiLevelType w:val="hybridMultilevel"/>
    <w:lvl w:ilvl="0">
      <w:lvlJc w:val="left"/>
      <w:lvlText w:val="%1."/>
      <w:numFmt w:val="decimal"/>
      <w:start w:val="12"/>
    </w:lvl>
  </w:abstractNum>
  <w:abstractNum w:abstractNumId="57">
    <w:nsid w:val="7BD3EE7B"/>
    <w:multiLevelType w:val="hybridMultilevel"/>
    <w:lvl w:ilvl="0">
      <w:lvlJc w:val="left"/>
      <w:lvlText w:val="%1."/>
      <w:numFmt w:val="decimal"/>
      <w:start w:val="12"/>
    </w:lvl>
  </w:abstractNum>
  <w:abstractNum w:abstractNumId="58">
    <w:nsid w:val="51D9C564"/>
    <w:multiLevelType w:val="hybridMultilevel"/>
    <w:lvl w:ilvl="0">
      <w:lvlJc w:val="left"/>
      <w:lvlText w:val="%1."/>
      <w:numFmt w:val="decimal"/>
      <w:start w:val="13"/>
    </w:lvl>
  </w:abstractNum>
  <w:abstractNum w:abstractNumId="59">
    <w:nsid w:val="613EFDC5"/>
    <w:multiLevelType w:val="hybridMultilevel"/>
    <w:lvl w:ilvl="0">
      <w:lvlJc w:val="left"/>
      <w:lvlText w:val="%1."/>
      <w:numFmt w:val="decimal"/>
      <w:start w:val="13"/>
    </w:lvl>
  </w:abstractNum>
  <w:abstractNum w:abstractNumId="60">
    <w:nsid w:val="BF72B14"/>
    <w:multiLevelType w:val="hybridMultilevel"/>
    <w:lvl w:ilvl="0">
      <w:lvlJc w:val="left"/>
      <w:lvlText w:val="%1."/>
      <w:numFmt w:val="decimal"/>
      <w:start w:val="14"/>
    </w:lvl>
  </w:abstractNum>
  <w:abstractNum w:abstractNumId="61">
    <w:nsid w:val="11447B73"/>
    <w:multiLevelType w:val="hybridMultilevel"/>
    <w:lvl w:ilvl="0">
      <w:lvlJc w:val="left"/>
      <w:lvlText w:val="%1."/>
      <w:numFmt w:val="decimal"/>
      <w:start w:val="14"/>
    </w:lvl>
  </w:abstractNum>
  <w:abstractNum w:abstractNumId="62">
    <w:nsid w:val="42963E5A"/>
    <w:multiLevelType w:val="hybridMultilevel"/>
    <w:lvl w:ilvl="0">
      <w:lvlJc w:val="left"/>
      <w:lvlText w:val="(%1)"/>
      <w:numFmt w:val="lowerLetter"/>
      <w:start w:val="1"/>
    </w:lvl>
    <w:lvl w:ilvl="1">
      <w:lvlJc w:val="left"/>
      <w:lvlText w:val="-"/>
      <w:numFmt w:val="bullet"/>
      <w:start w:val="1"/>
    </w:lvl>
  </w:abstractNum>
  <w:abstractNum w:abstractNumId="63">
    <w:nsid w:val="A0382C5"/>
    <w:multiLevelType w:val="hybridMultilevel"/>
    <w:lvl w:ilvl="0">
      <w:lvlJc w:val="left"/>
      <w:lvlText w:val="%1."/>
      <w:numFmt w:val="decimal"/>
      <w:start w:val="14"/>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lowerLetter"/>
      <w:start w:val="1"/>
    </w:lvl>
  </w:abstractNum>
  <w:abstractNum w:abstractNumId="68">
    <w:nsid w:val="4962813B"/>
    <w:multiLevelType w:val="hybridMultilevel"/>
    <w:lvl w:ilvl="0">
      <w:lvlJc w:val="left"/>
      <w:lvlText w:val="(%1)"/>
      <w:numFmt w:val="lowerLetter"/>
      <w:start w:val="1"/>
    </w:lvl>
    <w:lvl w:ilvl="1">
      <w:lvlJc w:val="left"/>
      <w:lvlText w:val="-"/>
      <w:numFmt w:val="bullet"/>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3"/>
    </w:lvl>
    <w:lvl w:ilvl="1">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1)"/>
      <w:numFmt w:val="lowerLetter"/>
      <w:start w:val="1"/>
    </w:lvl>
  </w:abstractNum>
  <w:abstractNum w:abstractNumId="77">
    <w:nsid w:val="6EB5BD4"/>
    <w:multiLevelType w:val="hybridMultilevel"/>
    <w:lvl w:ilvl="0">
      <w:lvlJc w:val="left"/>
      <w:lvlText w:val="(%1)"/>
      <w:numFmt w:val="lowerLetter"/>
      <w:start w:val="1"/>
    </w:lvl>
  </w:abstractNum>
  <w:abstractNum w:abstractNumId="78">
    <w:nsid w:val="6F6DD9AC"/>
    <w:multiLevelType w:val="hybridMultilevel"/>
    <w:lvl w:ilvl="0">
      <w:lvlJc w:val="left"/>
      <w:lvlText w:val="(%1)"/>
      <w:numFmt w:val="lowerLetter"/>
      <w:start w:val="3"/>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lvl w:ilvl="1">
      <w:lvlJc w:val="left"/>
      <w:lvlText w:val="-"/>
      <w:numFmt w:val="bullet"/>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decimal"/>
      <w:start w:val="5"/>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5"/>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2019-12-09T06:50:03Z</dcterms:created>
  <dcterms:modified xsi:type="dcterms:W3CDTF">2019-12-09T06:50:03Z</dcterms:modified>
</cp:coreProperties>
</file>