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333-259888</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September 29, 2021)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11,896 Shares of Common Stock</w:t>
      </w: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M&amp;T Bank Corporation</w:t>
      </w:r>
    </w:p>
    <w:p>
      <w:pPr>
        <w:spacing w:after="0" w:line="254" w:lineRule="exact"/>
        <w:rPr>
          <w:sz w:val="24"/>
          <w:szCs w:val="24"/>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M&amp;T Bank Corporation (“M&amp;T”) is registering a total of up to 11,896 shares of its common stock, par value $0.50 per share (“M&amp;T common stock”), that are issuable upon the vesting or exercise of certain equity awards with respect to shares of common stock of People’s United Financial, Inc. (“People’s United”), par value $0.01 per share (“People’s United common stock”), held by former employees of People’s United or its affiliates (or their respective legal successors) (the “Former Employees”) that were assumed by M&amp;T and converted into equity awards with respect to shares of common stock of M&amp;T (subject to appropriate adjustments to the number of shares and, if applicable, exercise price) in connection with M&amp;T’s acquisition of People’s United completed on April 1, 2022. Up to approximately 9,211 shares of M&amp;T common stock are issuable upon the exercise of the assumed equity awards that are options. M&amp;T will receive the exercise or purchase price of such options if and when such options are exercised or purchased, except that M&amp;T will not receive any proceeds if the assumed stock options are exercised on a cashless basis. M&amp;T intends to use any such proceeds for general corporate purposes. Up to approximately 2,685 shares of M&amp;T common stock are issuable upon vesting and settlement of the other assumed equity awards described herein. M&amp;T will not receive any proceeds from the vesting or settlement of such other assumed equity awards.</w:t>
      </w:r>
    </w:p>
    <w:p>
      <w:pPr>
        <w:spacing w:after="0" w:line="194" w:lineRule="exact"/>
        <w:rPr>
          <w:sz w:val="24"/>
          <w:szCs w:val="24"/>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M&amp;T’s common stock is listed for trading on the New York Stock Exchange under the symbol “MTB.” On April 1, 2022, the last reported sales price of M&amp;T common stock on the New York Stock Exchange was $164.66 per share.</w:t>
      </w:r>
    </w:p>
    <w:p>
      <w:pPr>
        <w:spacing w:after="0" w:line="148" w:lineRule="exact"/>
        <w:rPr>
          <w:sz w:val="24"/>
          <w:szCs w:val="24"/>
          <w:color w:val="auto"/>
        </w:rPr>
      </w:pPr>
    </w:p>
    <w:p>
      <w:pPr>
        <w:ind w:left="120" w:right="20" w:firstLine="55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See “</w:t>
      </w:r>
      <w:hyperlink w:anchor="page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S-4 of this prospectus supplement to read about important risks you should consider with respect to investing in M&amp;T’s common stock.</w:t>
      </w:r>
    </w:p>
    <w:p>
      <w:pPr>
        <w:spacing w:after="0" w:line="159"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that this prospectus is truthful or complete. Any representation to the contrary is a criminal offense.</w:t>
      </w:r>
    </w:p>
    <w:p>
      <w:pPr>
        <w:spacing w:after="0" w:line="159" w:lineRule="exact"/>
        <w:rPr>
          <w:sz w:val="24"/>
          <w:szCs w:val="24"/>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These securities are not savings accounts, deposits or other obligations of any bank. These securities are not insured by the Federal Deposit Insurance Corporation or any other governmental agency.</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4,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15"/>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ABOUT THIS DOCUMENT</w:t>
              </w:r>
            </w:hyperlink>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PROSPECTUS SUPPLEMENT SUMMARY</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CAUTIONARY STATEMENT REGARDING FORWARD-LOOKING STATEMENTS</w:t>
              </w:r>
            </w:hyperlink>
          </w:p>
        </w:tc>
        <w:tc>
          <w:tcPr>
            <w:tcW w:w="220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USE OF PROCEEDS</w:t>
              </w:r>
            </w:hyperlink>
          </w:p>
        </w:tc>
        <w:tc>
          <w:tcPr>
            <w:tcW w:w="696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LEGACY PEOPLE’S UNITED PLANS</w:t>
              </w:r>
            </w:hyperlink>
          </w:p>
        </w:tc>
        <w:tc>
          <w:tcPr>
            <w:tcW w:w="56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LEGAL MATTERS</w:t>
              </w:r>
            </w:hyperlink>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EXPERTS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120" w:type="dxa"/>
            <w:vAlign w:val="bottom"/>
          </w:tcPr>
          <w:p>
            <w:pPr>
              <w:spacing w:after="0" w:line="20" w:lineRule="exact"/>
              <w:rPr>
                <w:sz w:val="1"/>
                <w:szCs w:val="1"/>
                <w:color w:val="auto"/>
              </w:rPr>
            </w:pPr>
          </w:p>
        </w:tc>
        <w:tc>
          <w:tcPr>
            <w:tcW w:w="2220" w:type="dxa"/>
            <w:vAlign w:val="bottom"/>
            <w:tcBorders>
              <w:right w:val="single" w:sz="8" w:color="0000EE"/>
            </w:tcBorders>
            <w:gridSpan w:val="7"/>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INCORPORATION OF CERTAIN INFORMATION BY REFERENCE</w:t>
              </w:r>
            </w:hyperlink>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45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14"/>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ABOUT THIS PROSPECTUS</w:t>
              </w:r>
            </w:hyperlink>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2220" w:type="dxa"/>
            <w:vAlign w:val="bottom"/>
            <w:tcBorders>
              <w:right w:val="single" w:sz="8" w:color="0000EE"/>
            </w:tcBorders>
            <w:gridSpan w:val="7"/>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ABOUT M&amp;T BANK CORPORATION</w:t>
              </w:r>
            </w:hyperlink>
          </w:p>
        </w:tc>
        <w:tc>
          <w:tcPr>
            <w:tcW w:w="56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2220" w:type="dxa"/>
            <w:vAlign w:val="bottom"/>
            <w:tcBorders>
              <w:right w:val="single" w:sz="8" w:color="0000EE"/>
            </w:tcBorders>
            <w:gridSpan w:val="7"/>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474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USE OF PROCEEDS</w:t>
              </w:r>
            </w:hyperlink>
          </w:p>
        </w:tc>
        <w:tc>
          <w:tcPr>
            <w:tcW w:w="696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VALIDITY OF SECURITIES</w:t>
              </w:r>
            </w:hyperlink>
          </w:p>
        </w:tc>
        <w:tc>
          <w:tcPr>
            <w:tcW w:w="63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EXPERTS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contains specific information about the terms of this offering of M&amp;T common stock and adds and updates information contained in or incorporated by reference into the accompanying prospectus. The second part, the accompanying prospectus, provides more general information about M&amp;T and its securities that it may offer from time to time, some of which may not apply to this offering.</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important business and financial information that is not included in or delivered with this prospectus supplement. You should read both this prospectus supplement and the accompanying prospectus together with the additional information below under the heading “Where You Can Find More Information.”</w:t>
      </w:r>
    </w:p>
    <w:p>
      <w:pPr>
        <w:spacing w:after="0" w:line="176" w:lineRule="exact"/>
        <w:rPr>
          <w:sz w:val="20"/>
          <w:szCs w:val="20"/>
          <w:color w:val="auto"/>
        </w:rPr>
      </w:pPr>
    </w:p>
    <w:p>
      <w:pPr>
        <w:jc w:val="both"/>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the accompanying prospectus. M&amp;T has not authorized anyone to provide you with different information. M&amp;T is not making an offer of these securities in any jurisdiction where the offer is not permitted.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supplement to “M&amp;T,” “we,” “us,” “our” or similar references mean M&amp;T Bank Corporation, and all references in this prospectus supplement to “People’s United” mean People’s United Financial, Inc.</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40" w:firstLine="426"/>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M&amp;T and this offering that is contained elsewhere in, or incorporated by reference into, this prospectus supplement and the accompanying prospectus. Because it is a summary, it does not contain all of the information that you should consider regarding your equity award with respect to investing in M&amp;T’s common stock. You should read this entire prospectus supplement, the accompanying prospectus and the documents incorporated by reference (see “Where You Can Find More Information”) carefully.</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M&amp;T Bank Corporation</w:t>
      </w:r>
    </w:p>
    <w:p>
      <w:pPr>
        <w:spacing w:after="0" w:line="22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M&amp;T is a New York business corporation which is registered as a financial holding company under the Bank Holding Company Act of 1956, as amended, and as a bank holding company under Article III-A of the New York Banking Law. M&amp;T was incorporated in November 1969. M&amp;T and its direct and indirect subsidiaries are collectively referred to herein as the “Company.” As of December 31, 2021, the Company had consolidated total assets of $155.1 billion, deposits of $131.5 billion and shareholders’ equity of $17.9 billion. The Company had 17,115 full-time and 454 part-time employees as of December 31, 2021.</w:t>
      </w:r>
    </w:p>
    <w:p>
      <w:pPr>
        <w:spacing w:after="0" w:line="183"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At December 31, 2021, M&amp;T had two wholly owned bank subsidiaries: Manufacturers and Traders Trust Company (“M&amp;T Bank”) and Wilmington Trust, National Association. The banks collectively offer a wide range of retail and commercial banking, trust and wealth management, and investment services to their customers. At December 31, 2021, M&amp;T Bank represented 99% of consolidated assets of the Company.</w:t>
      </w:r>
    </w:p>
    <w:p>
      <w:pPr>
        <w:spacing w:after="0" w:line="158"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M&amp;T’s common stock is traded on the New York Stock Exchange (“NYSE”) under the symbol “MTB.” The principal executive offices of M&amp;T are located at One M&amp;T Plaza, Buffalo, New York 14203, and its telephone number is (716) 635-4000.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Pursuant to the Agreement and Plan of Merger, dated as of February 21, 2021 (as amended, the “Merger Agreement”), by and among M&amp;T, Bridge Merger Corp., a wholly owned subsidiary of M&amp;T (“Merger Sub”), and People’s United, effective as of April 1, 2022, People’s United merged with and into Merger Sub, with People’s United as the surviving entity (the “merger”). Immediately following the merger, People’s United merged with and into M&amp;T, with M&amp;T as the surviving entity.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People’s United common stock outstanding immediately prior to the effective time, including each outstanding restricted share award under the Legacy People’s United Plans (as defined in “—Legacy People’s United Plans”) held by a non-employee director of the People’s United (each, a “director restricted share”), except for certain shares held by People’s United or M&amp;T, was converted into the right to receive 0.118 of a share of M&amp;T common stock (the “exchange ratio”). In addition, at the effective time, each share of Fixed-to-Floating Rate Non-Cumulative Perpetual Preferred Stock, Series A, par value $0.01 per share, of People’s United, outstanding immediately prior to the effective time was converted into the right to receive a share of the Perpetual Fixed-to-Floating Rate Non-Cumulative Preferred Stock, Series H, of M&amp;T, par value $1.00 per share.</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People’s United Equity Awards</w:t>
      </w:r>
    </w:p>
    <w:p>
      <w:pPr>
        <w:spacing w:after="0" w:line="227"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At the effective time, each outstanding restricted share award (a “People’s United restricted share”) under the Legacy People’s United Plans, other than any People’s United director restricted shares, automatically and without any action on the part of the holder thereof, ceased to represent a restricted share of People’s United common stock and was converted into a number of restricted shares of M&amp;T common stock (each, an “M&amp;T restricted share”) equal to the exchange ratio (rounded up or down to the nearest whole number, with 0.5 rounding up).</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firstLine="426"/>
        <w:spacing w:after="0" w:line="255" w:lineRule="auto"/>
        <w:rPr>
          <w:sz w:val="20"/>
          <w:szCs w:val="20"/>
          <w:color w:val="auto"/>
        </w:rPr>
      </w:pPr>
      <w:r>
        <w:rPr>
          <w:rFonts w:ascii="Times New Roman" w:cs="Times New Roman" w:eastAsia="Times New Roman" w:hAnsi="Times New Roman"/>
          <w:sz w:val="18"/>
          <w:szCs w:val="18"/>
          <w:color w:val="auto"/>
        </w:rPr>
        <w:t>At the effective time, each outstanding performance share unit (a “People’s United performance share”) under the Legacy People’s United Plans, whether vested or unvested, automatically and without any action on the part of the holder thereof, ceased to represent a performance share unit denominated in shares of People’s United common stock and was converted into a restricted share unit denominated in shares of M&amp;T common stock (an “M&amp;T stock-based RSU”). The number of shares of M&amp;T common stock subject to each such M&amp;T stock-based RSU is equal to the product (rounded up or down to the nearest whole number, with 0.5 rounding up) of (i) the number of shares of People’s United common stock subject to such People’s United performance share immediately prior to the effective time (including any applicable dividend equivalents) based on the higher of target performance and actual performance through the effective time, multiplied by (ii) the exchange ratio.</w:t>
      </w:r>
    </w:p>
    <w:p>
      <w:pPr>
        <w:spacing w:after="0" w:line="189" w:lineRule="exact"/>
        <w:rPr>
          <w:sz w:val="20"/>
          <w:szCs w:val="20"/>
          <w:color w:val="auto"/>
        </w:rPr>
      </w:pPr>
    </w:p>
    <w:p>
      <w:pPr>
        <w:ind w:left="300" w:right="200" w:firstLine="426"/>
        <w:spacing w:after="0" w:line="253" w:lineRule="auto"/>
        <w:rPr>
          <w:sz w:val="20"/>
          <w:szCs w:val="20"/>
          <w:color w:val="auto"/>
        </w:rPr>
      </w:pPr>
      <w:r>
        <w:rPr>
          <w:rFonts w:ascii="Times New Roman" w:cs="Times New Roman" w:eastAsia="Times New Roman" w:hAnsi="Times New Roman"/>
          <w:sz w:val="18"/>
          <w:szCs w:val="18"/>
          <w:color w:val="auto"/>
        </w:rPr>
        <w:t>At the effective time, each outstanding option to purchase shares of People’s United common stock (a “People’s United option” and together with the People’s United restricted shares and People’s United performance shares, the “People’s United equity awards”) under the Legacy People’s United Plans, whether vested or unvested, automatically and without any action on the part of the holder thereof, ceased to represent an option to purchase shares of People’s United common stock and was converted into an option to purchase a number of shares of M&amp;T common stock (an “M&amp;T option,” and together with the M&amp;T restricted shares and M&amp;T stock-based RSUs, the “M&amp;T converted equity awards”) equal to the product (rounded down to the nearest whole number) of (i) the number of shares of People’s United common stock subject to such People’s United option immediately prior to the effective time and (ii) the exchange ratio, at an exercise price per share (rounded up to the nearest whole cent) equal to (a) the exercise price per share of People’s United common stock of such People’s United option immediately prior to the effective time divided by (b) the exchange ratio, consistent with the requirements of Section 409A of the Internal Revenue Code of 1986, as amended (the “Code”) and Section 424(a) of the Code, as applicable.</w:t>
      </w:r>
    </w:p>
    <w:p>
      <w:pPr>
        <w:spacing w:after="0" w:line="194"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Except as specifically provided in the Merger Agreement, at and following the effective time, each M&amp;T converted equity award continues to be governed by the same terms and conditions as were applicable to such award immediately prior to the effective time.</w:t>
      </w:r>
    </w:p>
    <w:p>
      <w:pPr>
        <w:spacing w:after="0" w:line="162"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This prospectus supplement relates to those shares of M&amp;T common stock issuable upon the vesting, settlement or exercise of the M&amp;T converted equity awards that are held by the Former Employees.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8900" w:type="dxa"/>
            <w:vAlign w:val="bottom"/>
          </w:tcPr>
          <w:p>
            <w:pPr>
              <w:spacing w:after="0"/>
              <w:rPr>
                <w:sz w:val="20"/>
                <w:szCs w:val="20"/>
                <w:color w:val="auto"/>
              </w:rPr>
            </w:pPr>
          </w:p>
        </w:tc>
      </w:tr>
      <w:tr>
        <w:trPr>
          <w:trHeight w:val="459"/>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M&amp;T Bank Corporation</w:t>
            </w:r>
          </w:p>
        </w:tc>
      </w:tr>
      <w:tr>
        <w:trPr>
          <w:trHeight w:val="373"/>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11,896 shares of M&amp;T common stock, par value $0.50 per share, that are issuable upon the vesting or exercise</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certain equity awards with respect to shares of common stock of People’s United held by the Former</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Employees that were assumed by M&amp;T and converted into equity awards with respect to shares of common</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stock of M&amp;T (subject to appropriate adjustments to the number of shares and, if applicable, exercise price) in</w:t>
            </w:r>
          </w:p>
        </w:tc>
      </w:tr>
      <w:tr>
        <w:trPr>
          <w:trHeight w:val="234"/>
        </w:trPr>
        <w:tc>
          <w:tcPr>
            <w:tcW w:w="2120" w:type="dxa"/>
            <w:vAlign w:val="bottom"/>
          </w:tcPr>
          <w:p>
            <w:pPr>
              <w:spacing w:after="0"/>
              <w:rPr>
                <w:sz w:val="20"/>
                <w:szCs w:val="20"/>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connection with M&amp;T’s acquisition of People’s United completed on April 1, 2022.</w:t>
            </w:r>
          </w:p>
        </w:tc>
      </w:tr>
      <w:tr>
        <w:trPr>
          <w:trHeight w:val="373"/>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M&amp;T will receive the exercise or purchase price of the assumed equity awards that are options if and when</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such options are exercised or purchased, except that M&amp;T will not receive any proceeds if the assumed stock</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options are exercised on a cashless basis. M&amp;T intends to use any such proceeds for general corporate</w:t>
            </w:r>
          </w:p>
        </w:tc>
      </w:tr>
      <w:tr>
        <w:trPr>
          <w:trHeight w:val="216"/>
        </w:trPr>
        <w:tc>
          <w:tcPr>
            <w:tcW w:w="2120" w:type="dxa"/>
            <w:vAlign w:val="bottom"/>
          </w:tcPr>
          <w:p>
            <w:pPr>
              <w:spacing w:after="0"/>
              <w:rPr>
                <w:sz w:val="18"/>
                <w:szCs w:val="18"/>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purposes. M&amp;T will not receive any proceeds from the vesting or settlement of other assumed equity awards</w:t>
            </w:r>
          </w:p>
        </w:tc>
      </w:tr>
      <w:tr>
        <w:trPr>
          <w:trHeight w:val="234"/>
        </w:trPr>
        <w:tc>
          <w:tcPr>
            <w:tcW w:w="2120" w:type="dxa"/>
            <w:vAlign w:val="bottom"/>
          </w:tcPr>
          <w:p>
            <w:pPr>
              <w:spacing w:after="0"/>
              <w:rPr>
                <w:sz w:val="20"/>
                <w:szCs w:val="20"/>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described in this prospectus supplement.</w:t>
            </w:r>
          </w:p>
        </w:tc>
      </w:tr>
      <w:tr>
        <w:trPr>
          <w:trHeight w:val="391"/>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NYSE Symbol</w:t>
            </w:r>
          </w:p>
        </w:tc>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MTB</w:t>
            </w:r>
          </w:p>
        </w:tc>
      </w:tr>
      <w:tr>
        <w:trPr>
          <w:trHeight w:val="159"/>
        </w:trPr>
        <w:tc>
          <w:tcPr>
            <w:tcW w:w="2120" w:type="dxa"/>
            <w:vAlign w:val="bottom"/>
            <w:tcBorders>
              <w:bottom w:val="single" w:sz="8" w:color="auto"/>
            </w:tcBorders>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r>
      <w:tr>
        <w:trPr>
          <w:trHeight w:val="361"/>
        </w:trPr>
        <w:tc>
          <w:tcPr>
            <w:tcW w:w="2120" w:type="dxa"/>
            <w:vAlign w:val="bottom"/>
          </w:tcPr>
          <w:p>
            <w:pPr>
              <w:spacing w:after="0"/>
              <w:rPr>
                <w:sz w:val="24"/>
                <w:szCs w:val="24"/>
                <w:color w:val="auto"/>
              </w:rPr>
            </w:pPr>
          </w:p>
        </w:tc>
        <w:tc>
          <w:tcPr>
            <w:tcW w:w="890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Some of the statements contained or incorporated by reference into this joint prospectus supplement/prospectus are “forward-looking statements” within the meaning of the Private Securities Litigation Reform Act of 1995. Any statement that does not describe historical or current facts is a forward-looking statement, including statements that are based on current expectations, estimates and projections about M&amp;T’s business, management’s beliefs and assumptions made by management.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Future factors include risks, predictions and uncertainties relating to: the transaction between M&amp;T and People’s United; the impact of the COVID-19 pandemic;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 regulations affecting the financial services industry, and/or M&amp;T and its subsidiaries individually or collectively, including tax policy; regulatory supervision and oversight, including monetary policy and capital requirements;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9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 Forward-looking statements speak only as of the date they are made and M&amp;T assumes no duty to update forward-looking statements.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M&amp;T provides further detail regarding these risks, uncertainties and other factors in other public filings, including the risk factors described in its Form 10-K for the year ended December 31, 2021 and subsequent Form 10-Qs.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Your investment in M&amp;T’s common stock involves certain risks. Before acquiring any of M&amp;T’s common stock, in consultation with your own financial and legal advisors, you should carefully consider the discussion under Item 1A. “Risk Factors” in M&amp;T’s Annual Report on Form 10-K for the fiscal year ended December 31, 2021 (as such risk factors may be updated from time to time in M&amp;T’s filings with the Securities and Exchange Commission (the “SEC”)) which is incorporated by reference herein, as well as the other information contained in or incorporated by reference into this prospectus supplement. See “Where You Can Find More Information.” If any of these risks actually occurs, M&amp;T’s business, results of operations and financial condition may suffer. As a result, the trading price of M&amp;T’s common stock may decline, and you might lose part or all of your investment.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80"/>
          </w:cols>
          <w:pgMar w:left="32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M&amp;T will receive the exercise or purchase price of the assumed equity awards that are options if and when such options are exercised or purchased, except that M&amp;T will not receive any proceeds if the assumed options are exercised on a cashless basis. M&amp;T intends to use any such proceeds for general corporate purposes. General corporate purposes may include repayment of debt, repurchases of outstanding shares of common stock, acquisitions, investments, additions to working capital, capital expenditures, investments in other business enterprises or otherwise. Net proceeds may be temporarily invested prior to use. M&amp;T will not receive any proceeds from the vesting or settlement of other assumed equity awards described in this prospectus supplement.</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40"/>
          </w:cols>
          <w:pgMar w:left="320" w:top="455"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LEGACY PEOPLE’S UNITED PLANS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Effective as of April 1, 2022, People’s United merged with and into Merger Sub, with People’s United as the surviving entity. Pursuant to the Merger Agreement, M&amp;T assumed certain outstanding equity awards (collectively, the “Legacy People’s United Awards”) with respect to shares of common stock of People’s United granted by People’s United under (a) the People’s United Financial, Inc. 2007 Stock Option Plan, as amended April 17, 2008 (the “2007 Stock Option Plan”); (b) the People’s United Financial, Inc. 2008 Long-Term Incentive Plan (the “2008 LTIP”); (c) the People’s United Financial, Inc. Amended and Restated 2014 Long-Term Incentive Plan, as amended by that Amendment No. 1, dated as of October 1, 2018 (the “2014 LTIP”); and (d) the People’s United Financial, Inc. Third Amended and Restated Directors’ Equity Compensation Plan (the “Directors’ Equity Compensation Plan and, together with the 2007 Stock Option Plan, the 2008 LTIP and the 2014 LTIP, the “Legacy People’s United Plans”).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the completion of the merger, the Legacy People’s United Awards became equity awards with respect to M&amp;T common stock, subject to appropriate adjustments to the number of shares and, where applicable, the exercise price of each such equity award. </w:t>
      </w:r>
      <w:r>
        <w:rPr>
          <w:rFonts w:ascii="Times New Roman" w:cs="Times New Roman" w:eastAsia="Times New Roman" w:hAnsi="Times New Roman"/>
          <w:sz w:val="18"/>
          <w:szCs w:val="18"/>
          <w:b w:val="1"/>
          <w:bCs w:val="1"/>
          <w:color w:val="auto"/>
        </w:rPr>
        <w:t>Accordingly, unless expressly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noted otherwise, references to the People’s United common stock below should be read to refer to M&amp;T common stock upon the completion of the merger, subject to the foregoing adjustments, references to “committee” below should be read to refer to the Compensation Committee of the board of directors of People’s United prior to the completion of the merger and the Nomination, Compensation and Governance Committee of the board of directors of M&amp;T following the completion of the merger, and references to the “board of directors” should be referred to the board of directors of People’s United prior to the completion of the merger and the board of directors of M&amp;T following the completion of the merger.</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relates to the shares of M&amp;T common stock that are issuable following the merger upon vesting, settlement or exercise of those assumed Legacy People’s United Awards held by the Former Employees originally granted under the Legacy People’s United Plans that were outstanding at the effective time, including restricted share awards, performance share awards and options. At the effective time, the Legacy People’s United Awards held by the Former Employees where converted into M&amp;T equity awards as described under “</w:t>
      </w:r>
      <w:r>
        <w:rPr>
          <w:rFonts w:ascii="Times New Roman" w:cs="Times New Roman" w:eastAsia="Times New Roman" w:hAnsi="Times New Roman"/>
          <w:sz w:val="18"/>
          <w:szCs w:val="18"/>
          <w:i w:val="1"/>
          <w:iCs w:val="1"/>
          <w:color w:val="auto"/>
        </w:rPr>
        <w:t>Prospectus Supplement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Merger—Treatment of People’s Equity Awards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present time, M&amp;T does not intend to issue any new awards under the Legacy People’s United Plans.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2007 Stock Option Plan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plan provided for discretionary awards in the form of stock options to our eligible directors, officers and employees. The 2007 Stock Option Plan is not subject to ERISA and is not a tax-qualified plan. Upon the occurrence of a change in control, all awards of stock options previously made pursuant to this plan will immediately vest, if not already vested in accordance with their terms. No new awards may be granted pursuant to this plan. All of People’s United’s named executive officers are fully vested in shares allocated to their accounts under this plan.</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2008 LTIP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2008 LTIP provided for awards to officers and employees in the form of: (i) incentive stock options that may afford tax benefits to recipients;</w:t>
      </w:r>
    </w:p>
    <w:p>
      <w:pPr>
        <w:spacing w:after="0" w:line="27" w:lineRule="exact"/>
        <w:rPr>
          <w:sz w:val="20"/>
          <w:szCs w:val="20"/>
          <w:color w:val="auto"/>
        </w:rPr>
      </w:pPr>
    </w:p>
    <w:p>
      <w:pPr>
        <w:ind w:left="120" w:right="140" w:hanging="4"/>
        <w:spacing w:after="0" w:line="260" w:lineRule="auto"/>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that do not afford tax benefits to recipients but may provide tax benefits to People’s United; and (iii) stock appreciation rights, restricted stock and performance units.</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Non-statutory stock options were granted under the 2008 LTIP at exercise prices equal to the fair value of People’s United common stock at the grant dates. Option expiration dates were fixed at the grant date, with a maximum term of ten years. Prior to 2013, options granted under the 2008 LTIP generally vested 50% after two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years, 75% after three years and 100% after four years. Beginning in 2013, options granted under the 2008 LTIP vested 33% after one year, 66% after two years and 100% after three years. All options became fully exercisable in the event of a change of control, as defined in the 2008 LTIP.</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People’s United also granted restricted stock awards under the 2008 LTIP. Employees became fully vested in these shares generally after a three-or four-year period, with requisite service conditions and no performance-based conditions to such vesting.</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2014 LTIP</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2014 LTIP, amended and restated in 2017, provides for discretionary awards of options to purchase common stock, stock appreciation rights, restricted stock awards, and other performance-based awards to eligible officers and employees as determined by a committee of the board of directors consisting of two or more outside directors. The 2014 LTIP is not subject to ERISA and is not a tax-qualified plan.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2014 LTIP, upon the occurrence of a change in control, all awards previously made pursuant to the plan or any predecessor to the plan (whether cash-based or equity-based) are subject to double trigger protection. In the event of a change of control under the agreements, if the awards are not assumed or converted upon a change in control, the awards will vest immediately. Performance share awards will vest pro-rata based on the fractional part of the performance period that has occurred at the time of the change in control and at target performance.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Directors’ Equity Compensation Plan</w:t>
      </w:r>
    </w:p>
    <w:p>
      <w:pPr>
        <w:spacing w:after="0" w:line="229"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Shares of common stock issued under this plan become vested on the earliest to occur of (a) the first anniversary of the grant date, (b) the date of the annual meeting of shareholders in the year following the grant date, (c) the date a director’s board service terminates due to death or disability, or</w:t>
      </w:r>
    </w:p>
    <w:p>
      <w:pPr>
        <w:spacing w:after="0" w:line="1" w:lineRule="exact"/>
        <w:rPr>
          <w:sz w:val="20"/>
          <w:szCs w:val="20"/>
          <w:color w:val="auto"/>
        </w:rPr>
      </w:pPr>
    </w:p>
    <w:p>
      <w:pPr>
        <w:ind w:left="120" w:right="160" w:hanging="4"/>
        <w:spacing w:after="0" w:line="260" w:lineRule="auto"/>
        <w:tabs>
          <w:tab w:leader="none" w:pos="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of People’s United. These shares are not subject to any post-vesting transfer restriction period. As of March 31, 2022, a total of 44,262 shares issued pursuant to the Directors’ Equity Compensation Plan remained unvested.</w:t>
      </w:r>
    </w:p>
    <w:p>
      <w:pPr>
        <w:spacing w:after="0" w:line="18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 stock or stock option grants were made in 2021 to non-employee directors under any other equity compensation plan maintained by the People’s United. No shares awarded to directors under any other equity compensation plan in prior years remain unvested.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the shares of M&amp;T common stock that are issuable upon the vesting, settlement or exercise of certain equity awards held by Former Employees that are assumed by M&amp;T and converted into equity awards in respect of shares of M&amp;T common stock in connection with M&amp;T’s acquisition of People’s United. “Former Employees” includes executors, administrators or beneficiaries of the estates of deceased employees, guardians or members of a committee for incompetent former employees, or similar persons duly authorized by law to administer the estate or assets of former employees and directors. M&amp;T is offering these shares of M&amp;T common stock directly to the holders of these equity awards according to the terms of the underlying equity award agreements. M&amp;T is not using an underwriter in connection with this offering. These shares of M&amp;T common stock will be listed for trading on the New York Stock Exchange.</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order to facilitate the vesting, settlement or exercise of any such equity awards, M&amp;T will furnish, at its expense, such reasonable number of copies of this prospectus supplement and the accompanying prospectus to each Former Employee holding such equity award as such holder may request, together with instructions that copies be delivered to the beneficial owners of such equity awards.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validity of the shares of M&amp;T common stock to which this prospectus supplement relates are being passed upon by Laura O’ Hara, Esq. S-9</w:t>
      </w:r>
    </w:p>
    <w:p>
      <w:pPr>
        <w:sectPr>
          <w:pgSz w:w="11900" w:h="16838" w:orient="portrait"/>
          <w:cols w:equalWidth="0" w:num="1">
            <w:col w:w="10680"/>
          </w:cols>
          <w:pgMar w:left="320" w:top="455" w:right="8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of M&amp;T Bank Corporation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00"/>
          </w:cols>
          <w:pgMar w:left="320" w:top="455" w:right="6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All such reports and other information are available to the public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where you can obtain information about us and M&amp;T Bank. Our website includes our annual, quarterly and current reports, together with any amendments to these reports, as well as certain other SEC filings, as soon as reasonably practicable after they are electronically filed with or furnished to the SEC. Our website address is </w:t>
      </w:r>
      <w:r>
        <w:rPr>
          <w:rFonts w:ascii="Times New Roman" w:cs="Times New Roman" w:eastAsia="Times New Roman" w:hAnsi="Times New Roman"/>
          <w:sz w:val="18"/>
          <w:szCs w:val="18"/>
          <w:i w:val="1"/>
          <w:iCs w:val="1"/>
          <w:color w:val="auto"/>
        </w:rPr>
        <w:t>http://www.mtb.com</w:t>
      </w:r>
      <w:r>
        <w:rPr>
          <w:rFonts w:ascii="Times New Roman" w:cs="Times New Roman" w:eastAsia="Times New Roman" w:hAnsi="Times New Roman"/>
          <w:sz w:val="18"/>
          <w:szCs w:val="18"/>
          <w:color w:val="auto"/>
        </w:rPr>
        <w:t>. The information contained on our website is not part of this prospectus supplement.</w:t>
      </w:r>
    </w:p>
    <w:p>
      <w:pPr>
        <w:spacing w:after="0" w:line="180"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We will provide you, free of charge, with a copy of any or all of the documents incorporated by reference herein upon request. Requests should be directed to:</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One M&amp;T Plaza, 8th Floor</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Buffalo, New York 14203</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Telephone Number: (716) 842-5445</w:t>
      </w:r>
    </w:p>
    <w:p>
      <w:pPr>
        <w:spacing w:after="0" w:line="20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filed by us with the SEC under the Securities Act of 1933, as amended (the “Securities Act”). As permitted by the SEC, this prospectus supplement and the accompanying prospectus do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supplement and the accompanying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such contract or other document or matter involved. Each statement regarding any contract or other document is qualified in its entirety by reference to the actual contract or other document.</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320" w:top="455" w:right="5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Rather than include in this prospectus supplement some of the information that we include in reports filed with the SEC, we are incorporating this information by reference, which means that we are disclosing important information to you by referring to those publicly filed documents that contain such information. The information incorporated by reference is considered to be part of this prospectus supplement and should be read with the same care. Accordingly, we incorporate by reference the following documents:</w:t>
      </w:r>
    </w:p>
    <w:p>
      <w:pPr>
        <w:spacing w:after="0" w:line="207" w:lineRule="exact"/>
        <w:rPr>
          <w:sz w:val="20"/>
          <w:szCs w:val="20"/>
          <w:color w:val="auto"/>
        </w:rPr>
      </w:pPr>
    </w:p>
    <w:p>
      <w:pPr>
        <w:ind w:left="1320" w:hanging="435"/>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February 16, 2022;</w:t>
      </w:r>
    </w:p>
    <w:p>
      <w:pPr>
        <w:spacing w:after="0" w:line="252"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Shareholders, filed with the SEC on March 16, 2022;</w:t>
      </w:r>
    </w:p>
    <w:p>
      <w:pPr>
        <w:spacing w:after="0" w:line="252"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6">
        <w:r>
          <w:rPr>
            <w:rFonts w:ascii="Times New Roman" w:cs="Times New Roman" w:eastAsia="Times New Roman" w:hAnsi="Times New Roman"/>
            <w:sz w:val="18"/>
            <w:szCs w:val="18"/>
            <w:u w:val="single" w:color="auto"/>
            <w:color w:val="0000EE"/>
          </w:rPr>
          <w:t xml:space="preserve">February 18, 2022, </w:t>
        </w:r>
      </w:hyperlink>
      <w:hyperlink r:id="rId27">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8">
        <w:r>
          <w:rPr>
            <w:rFonts w:ascii="Times New Roman" w:cs="Times New Roman" w:eastAsia="Times New Roman" w:hAnsi="Times New Roman"/>
            <w:sz w:val="18"/>
            <w:szCs w:val="18"/>
            <w:u w:val="single" w:color="auto"/>
            <w:color w:val="0000EE"/>
          </w:rPr>
          <w:t>April 4, 2022</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1320" w:right="240" w:hanging="435"/>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M&amp;T’s common stock contained in the Registration Statement on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20, 1998,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all reports and other documents we file with the SEC pursuant to Sections 13(a), 13(c), 14 or 15(d) of the Securities Exchange Act of 1934 (the “Exchange Act”) after the date of this prospectus supplement until the completion or termination of the offering made under this prospectus supplement (other than materials that are deemed “furnished” and not “filed” under SEC rules) will be deemed to be incorporated by reference in this prospectus supplement and to be part of this prospectus supplement from the date of the filing of such reports and documents. 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 Certain of the information incorporated by reference herein has not been audited by an independent registered public accounting firm.</w:t>
      </w:r>
    </w:p>
    <w:p>
      <w:pPr>
        <w:spacing w:after="0" w:line="12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M&amp;T BANK CORPORATION</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securities of each class listed above may be offered and sold, from time to time, by M&amp;T Bank Corporation in one or more offerings, subject to approval from M&amp;T Bank Corporation’s Board of Directors, and also may be offered and sold by one or more selling securityholders to be identified in the future in one or more offerings. Unless otherwise indicated or unless the context requires otherwise, all references in this prospectus to “M&amp;T”, “we”, “us”, “our” or similar references mean M&amp;T Bank Corporation.</w:t>
      </w:r>
    </w:p>
    <w:p>
      <w:pPr>
        <w:spacing w:after="0" w:line="11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or one or more selling securityholders may offer and sell the securities to or through one or more underwriters, dealers or agents as designated from time to time, or directly to purchasers, or through a combination of these methods, on a continuous or delayed basis. We or selling securityholders may offer the securities in amounts, at prices and on terms to be determined by market conditions and other factors at the time of the offering. This prospectus describes only the general terms of these securities and the general manner in which we or selling securityholders will offer these securities. The specific terms of any securities we or selling securityholders offer will be included in one or more supplements to this prospectus. Such prospectus supplements will describe the specific manner in which we or selling securityholders will offer the securities and also may add, update or change information contained in this prospectus.</w:t>
      </w:r>
    </w:p>
    <w:p>
      <w:pPr>
        <w:spacing w:after="0" w:line="12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You should read this prospectus and any applicable prospectus supplement and the documents incorporated by reference herein or therein carefully before you invest in the securities described in the applicable prospectus supplement. You should also read the documents we have referred you to in the “</w:t>
      </w:r>
      <w:r>
        <w:rPr>
          <w:rFonts w:ascii="Times New Roman" w:cs="Times New Roman" w:eastAsia="Times New Roman" w:hAnsi="Times New Roman"/>
          <w:sz w:val="17"/>
          <w:szCs w:val="17"/>
          <w:b w:val="1"/>
          <w:bCs w:val="1"/>
          <w:i w:val="1"/>
          <w:iCs w:val="1"/>
          <w:color w:val="auto"/>
        </w:rPr>
        <w:t>Where You Can Find More Information</w:t>
      </w:r>
      <w:r>
        <w:rPr>
          <w:rFonts w:ascii="Times New Roman" w:cs="Times New Roman" w:eastAsia="Times New Roman" w:hAnsi="Times New Roman"/>
          <w:sz w:val="17"/>
          <w:szCs w:val="17"/>
          <w:color w:val="auto"/>
        </w:rPr>
        <w:t>” section of this prospectus for information about us, including our financial statements. This prospectus may not be used to sell securities unless accompanied by the applicable prospectus supplement and a pricing supplement, if any.</w:t>
      </w:r>
    </w:p>
    <w:p>
      <w:pPr>
        <w:spacing w:after="0" w:line="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specific terms of these securities in supplements to this prospectus. Our common stock is traded on the New York Stock Exchange under the symbol “MTB.” We will provide information in the prospectus supplement for the trading market, if any, for any other securities we or selling securityholders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157480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ind w:left="12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any of our securities involves certain risks. You should carefully consider the risks relating to investing in our securities and each of the other risk factors described under the heading “</w:t>
      </w:r>
      <w:hyperlink w:anchor="page22">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color w:val="auto"/>
        </w:rPr>
        <w:t>” on page 5 of this prospectus and in the applicable prospectus supplement and in the documents incorporated herein by reference before buying any of our securities.</w:t>
      </w:r>
    </w:p>
    <w:p>
      <w:pPr>
        <w:spacing w:after="0" w:line="11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M&amp;T Securities, Inc. is a member of the Financial Industry Regulatory Authority, Inc. (“FINRA”) and may participate in distributions of the securities referred to above. Accordingly, the participation of such entity in the offerings of such securities will conform to the requirements addressing conflicts of interest when distributing the securities of an affiliate set forth in FINRA Rule 5121.</w:t>
      </w:r>
    </w:p>
    <w:p>
      <w:pPr>
        <w:spacing w:after="0" w:line="108"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securities are not savings accounts, deposits or other obligations of any bank and are not guaranteed by Manufacturers and Traders Trust Company, Wilmington Trust, National Association or any other bank. These securities are not insured or guaranteed by the Federal Deposit Insurance Corporation or any other governmental agency.</w:t>
      </w:r>
    </w:p>
    <w:p>
      <w:pPr>
        <w:spacing w:after="0" w:line="9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29, 2021.</w:t>
      </w:r>
    </w:p>
    <w:p>
      <w:pPr>
        <w:sectPr>
          <w:pgSz w:w="11900" w:h="16838" w:orient="portrait"/>
          <w:cols w:equalWidth="0" w:num="1">
            <w:col w:w="11120"/>
          </w:cols>
          <w:pgMar w:left="320" w:top="455"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300" w:type="dxa"/>
            <w:vAlign w:val="bottom"/>
            <w:gridSpan w:val="9"/>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67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180" w:type="dxa"/>
            <w:vAlign w:val="bottom"/>
            <w:gridSpan w:val="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ABOUT THIS PROSPECTUS</w:t>
              </w:r>
            </w:hyperlink>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ABOUT M&amp;T BANK CORPORATION</w:t>
              </w:r>
            </w:hyperlink>
          </w:p>
        </w:tc>
        <w:tc>
          <w:tcPr>
            <w:tcW w:w="1240" w:type="dxa"/>
            <w:vAlign w:val="bottom"/>
            <w:gridSpan w:val="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4180" w:type="dxa"/>
            <w:vAlign w:val="bottom"/>
            <w:gridSpan w:val="8"/>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FORWARD-LOOKING STATEMENTS</w:t>
              </w:r>
            </w:hyperlink>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8"/>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WHERE YOU CAN FIND MORE INFORMATION</w:t>
              </w:r>
            </w:hyperlink>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380" w:type="dxa"/>
            <w:vAlign w:val="bottom"/>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USE OF PROCEEDS</w:t>
              </w:r>
            </w:hyperlink>
          </w:p>
        </w:tc>
        <w:tc>
          <w:tcPr>
            <w:tcW w:w="2600" w:type="dxa"/>
            <w:vAlign w:val="bottom"/>
            <w:gridSpan w:val="5"/>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VALIDITY OF SECURITIES</w:t>
              </w:r>
            </w:hyperlink>
          </w:p>
        </w:tc>
        <w:tc>
          <w:tcPr>
            <w:tcW w:w="1960" w:type="dxa"/>
            <w:vAlign w:val="bottom"/>
            <w:gridSpan w:val="4"/>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180" w:type="dxa"/>
            <w:vAlign w:val="bottom"/>
            <w:gridSpan w:val="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EXPERTS</w:t>
              </w:r>
            </w:hyperlink>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we have provided or incorporated by reference in this prospectus. We have not authorized any person to provide you with additional or different information.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6"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(the “Registration Statement”) that we filed with the Securities and Exchange Commission (the “SEC”), under the Securities Act utilizing a “shelf” registration process. The prospectus does not contain all information included in the Registration Statement as permitted by the rules and regulations of the SEC. You may review a copy of the Registration Statement through the SEC’s internet site, as described below. Under this shelf registration process, we are registering an unspecified amount of each class of the securities described in this prospectus, and may offer and sell any combination of these securities in one or more offerings. Each time we offer and sell securities, we will provide a prospectus supplement that will contain information about the terms of the offering and the securities being offered and, if necessary, a pricing supplement that will contain the specific terms of the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You should carefully read this prospectus and any prospectus supplement and pricing supplement, together with the additional information described below under the heading “</w:t>
      </w:r>
      <w:r>
        <w:rPr>
          <w:rFonts w:ascii="Times New Roman" w:cs="Times New Roman" w:eastAsia="Times New Roman" w:hAnsi="Times New Roman"/>
          <w:sz w:val="18"/>
          <w:szCs w:val="18"/>
          <w:b w:val="1"/>
          <w:bCs w:val="1"/>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More Information</w:t>
      </w:r>
      <w:r>
        <w:rPr>
          <w:rFonts w:ascii="Times New Roman" w:cs="Times New Roman" w:eastAsia="Times New Roman" w:hAnsi="Times New Roman"/>
          <w:sz w:val="18"/>
          <w:szCs w:val="18"/>
          <w:color w:val="auto"/>
        </w:rPr>
        <w:t>.” This prospectus and any prospectus supplement or pricing supplement do not constitute an offer to sell or the solicitation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to buy any securities other than the securities described therein, or an offer to sell or the solicitation of an offer to buy such securities in any circumstances in which such offer or solicitation is unlawful.</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M&amp;T BANK CORPORATION</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M&amp;T Bank Corporation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The telephone number for M&amp;T is (716) 635-4000. At June 30, 2021, M&amp;T had two wholly owned bank subsidiaries: Manufacturers and Traders Trust Company and Wilmington Trust, National Association. The banks collectively offer a wide range of retail and commercial banking, trust and wealth management, and investment services to their customers.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This prospectus and other publicly available documents, including the documents incorporated herein by reference, may include and our representatives may from time to time make projections and statements which may constitute “forward-looking statements” within the meaning of the Private Securities Litigation Reform Act of 1995. These forward-looking statements are based on current expectations, estimates and projections about our business and management’s beliefs and assumptions made by management.</w:t>
      </w:r>
    </w:p>
    <w:p>
      <w:pPr>
        <w:spacing w:after="0" w:line="180"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Statements regarding the potential effects of the Coronavirus Disease 2019 (“COVID-19”) pandemic on our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our control, including the scope and duration of the pandemic, actions taken by governmental authorities in response to the pandemic, and the direct and indirect impact of the pandemic on customers, clients, third parties and us. Statements regarding our expectations or predictions regarding the proposed transaction between M&amp;T and People’s United Financial, Inc. (“People’s United”) also are forward-looking statements, including statements regarding the expected timing, completion and effects of the proposed transaction as well as M&amp;T’s and People’s United’s expected financial results, prospects, targets, goals and outlook.</w:t>
      </w:r>
    </w:p>
    <w:p>
      <w:pPr>
        <w:spacing w:after="0" w:line="192"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Any statement that does not describe historical or current facts is a forward-looking statement.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except as required by applicable law, we assume no duty to update forward-looking statements.</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Future Factors include risks, predictions and uncertainties relating to:</w:t>
      </w:r>
    </w:p>
    <w:p>
      <w:pPr>
        <w:spacing w:after="0" w:line="131" w:lineRule="exact"/>
        <w:rPr>
          <w:sz w:val="20"/>
          <w:szCs w:val="20"/>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between M&amp;T and People’s United;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spreads on earning assets and interest-bearing liabilities, and interest rate sensitivity;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speeds, loan originations, credit losses and market values on loans, collateral securing loans and other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liquidity;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outstanding;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price volatility;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and number of stock-based compensation awards to be issued in future periods;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market values on trust-related revenues;</w:t>
      </w:r>
    </w:p>
    <w:p>
      <w:pPr>
        <w:spacing w:after="0" w:line="130"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and/or regulation affecting the financial services industry as a whole, and M&amp;T and its subsidiaries individually or collectively, including tax legislation or regulation;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supervision and oversight, including monetary policy and capital requirements;</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or procedures as may be required by the Financial Accounting Standards Board, regulatory agencies or legislation;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price and product/service competition by competitors, including new entrants;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developments and changes;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introduce competitive new products and services on a timely, cost-effective basis;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products/services;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costs and expenses;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public policy changes;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validity of intellectual property rights;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large customers;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implementation and cost/financial risks in large, multi-year contracts;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and future litigation and governmental proceedings, including tax-related examinations and other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availability of financing;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resources in the amounts, at the times and on the terms required to support M&amp;T and its subsidiaries’ future businesses; and</w:t>
      </w:r>
    </w:p>
    <w:p>
      <w:pPr>
        <w:spacing w:after="0" w:line="142" w:lineRule="exact"/>
        <w:rPr>
          <w:rFonts w:ascii="Times New Roman" w:cs="Times New Roman" w:eastAsia="Times New Roman" w:hAnsi="Times New Roman"/>
          <w:sz w:val="17"/>
          <w:szCs w:val="17"/>
          <w:color w:val="auto"/>
        </w:rPr>
      </w:pPr>
    </w:p>
    <w:p>
      <w:pPr>
        <w:ind w:left="1540" w:right="44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in the actual financial results of merger, acquisition and investment activities compared with M&amp;T’s initial expectations, including the full realization of anticipated cost savings and revenue enhancements.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that contains reports, proxy and information statements and other information about issuers, like us, that file electronically with the SEC. The address of that site is http://www.sec.gov.</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also maintain a website where you can obtain information about us and Manufacturers and Traders Trust Company. Our website includes our annual, quarterly and current reports, together with any amendments to these reports, as well as certain other SEC filings, as soon as reasonably practicable after they are electronically filed with or furnished to the SEC. Our website address is http://www.mtb.com. The information contained on our website is not part of this prospectus.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reviewed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 Certain of the information incorporated by reference herein has not been audited by an independent registered public accounting firm.</w:t>
      </w:r>
    </w:p>
    <w:p>
      <w:pPr>
        <w:spacing w:after="0" w:line="18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documents we file with the SEC subsequent to the date of this prospectus under Section 13(a), 13(c), 14, or 15(d) of the Securities Exchange Act of 1934, as amended (other than those documents or portions of those documents that may be “furnished” and not filed with the SEC) until our offerings are completed:</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quarters ended </w:t>
      </w:r>
      <w:hyperlink r:id="rId40">
        <w:r>
          <w:rPr>
            <w:rFonts w:ascii="Times New Roman" w:cs="Times New Roman" w:eastAsia="Times New Roman" w:hAnsi="Times New Roman"/>
            <w:sz w:val="18"/>
            <w:szCs w:val="18"/>
            <w:u w:val="single" w:color="auto"/>
            <w:color w:val="0000EE"/>
          </w:rPr>
          <w:t>March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June 30,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Current Reports on Form 8-K filed on </w:t>
        </w:r>
        <w:r>
          <w:rPr>
            <w:rFonts w:ascii="Times New Roman" w:cs="Times New Roman" w:eastAsia="Times New Roman" w:hAnsi="Times New Roman"/>
            <w:sz w:val="18"/>
            <w:szCs w:val="18"/>
            <w:u w:val="single" w:color="auto"/>
            <w:color w:val="0000EE"/>
          </w:rPr>
          <w:t>February 10,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26, 2021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 xml:space="preserve">August 10, 2021 </w:t>
        </w:r>
      </w:hyperlink>
      <w:hyperlink r:id="rId4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August 17, 2021</w:t>
        </w:r>
      </w:hyperlink>
      <w:hyperlink r:id="rId42">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42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auto"/>
          </w:rPr>
          <w:t xml:space="preserve">Definitive Proxy Statement on Schedule 14A for the 2021 Annual Meeting of Shareholders held on April 20, 2021, filed on </w:t>
        </w:r>
        <w:r>
          <w:rPr>
            <w:rFonts w:ascii="Times New Roman" w:cs="Times New Roman" w:eastAsia="Times New Roman" w:hAnsi="Times New Roman"/>
            <w:sz w:val="18"/>
            <w:szCs w:val="18"/>
            <w:u w:val="single" w:color="auto"/>
            <w:color w:val="0000EE"/>
          </w:rPr>
          <w:t>March 8,</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M&amp;T’s common stock and preferred stock contained in the Registration Statement on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20, 1998, including any other amendment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any of these filings, other than an exhibit to a filing unless that exhibit is specifically incorporated by reference into that filing, at no cost, by writing to or telephoning us at the following address and telephone number:</w:t>
      </w:r>
    </w:p>
    <w:p>
      <w:pPr>
        <w:spacing w:after="0" w:line="16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One M&amp;T Plaza</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Buffalo, New York 14203</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Number: (716) 842-5138</w:t>
      </w:r>
    </w:p>
    <w:p>
      <w:pPr>
        <w:spacing w:after="0" w:line="207" w:lineRule="exact"/>
        <w:rPr>
          <w:rFonts w:ascii="Times New Roman" w:cs="Times New Roman" w:eastAsia="Times New Roman" w:hAnsi="Times New Roman"/>
          <w:sz w:val="18"/>
          <w:szCs w:val="18"/>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as required by Article 11 of Regulation S-X, the unaudited pro forma combined condensed financial statements of M&amp;T as of and for the six months ended June 30, 2021 and for the year ended December 31, 2020, reflecting the proposed transaction between M&amp;T and People’s United, have been filed as Exhibit 99(a) to the Registration Statement of which this prospectus is a part and are included herein.</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securities, in addition to the other information included in,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incorporated by reference into, this prospectus, you should carefully consider the risk factors contained in Item 1A under the caption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color w:val="auto"/>
        </w:rPr>
        <w:t>”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elsewhere in our Annual Report on Form 10-K for the year ended December 31, 2020, which is incorporated into this prospectus by reference,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updated by our annual or quarterly reports for subsequent fiscal years or fiscal quarters that we file with the SEC and that are so incorporated. See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Where You Can Find More Information</w:t>
      </w:r>
      <w:r>
        <w:rPr>
          <w:rFonts w:ascii="Times New Roman" w:cs="Times New Roman" w:eastAsia="Times New Roman" w:hAnsi="Times New Roman"/>
          <w:sz w:val="17"/>
          <w:szCs w:val="17"/>
          <w:color w:val="auto"/>
        </w:rPr>
        <w:t>” for information about how to obtain a copy of these documents. You should also carefully consider the risks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other information that may be contained in, or incorporated by reference into, any prospectus supplement relating to specific offerings of securities.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by us under this prospectus in the manner and for the purpose as set forth in the applicable prospectus supplement. Unless set forth in an accompanying prospectus supplement, we will not receive any proceeds in the event that securities are sold by a selling securityholder.</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will be passed upon for us by Hodgson Russ LLP, Buffalo, New York, or by counsel identified in the applicable prospectus supplement, and for any underwriters or agents by counsel selected by such underwriters or agents identified in the applicable prospectus supplement or, if necessary, the applicable pricing supplement.</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M&amp;T Bank Corporation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People’s United as of December 31, 2020 and 2019, and for each of the years in the three-year period ended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42"/>
          <w:szCs w:val="42"/>
          <w:b w:val="1"/>
          <w:bCs w:val="1"/>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680085</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739775</wp:posOffset>
            </wp:positionV>
            <wp:extent cx="699516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M&amp;T Bank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44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3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with Unsold</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6"/>
        </w:trPr>
        <w:tc>
          <w:tcPr>
            <w:tcW w:w="1440" w:type="dxa"/>
            <w:vAlign w:val="bottom"/>
            <w:tcBorders>
              <w:left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Calculation or</w:t>
            </w: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Amount</w:t>
            </w:r>
          </w:p>
        </w:tc>
        <w:tc>
          <w:tcPr>
            <w:tcW w:w="7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3"/>
              </w:rPr>
              <w:t>Offering</w:t>
            </w:r>
          </w:p>
        </w:tc>
        <w:tc>
          <w:tcPr>
            <w:tcW w:w="130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5"/>
              </w:rPr>
              <w:t>Amount of</w:t>
            </w:r>
          </w:p>
        </w:tc>
        <w:tc>
          <w:tcPr>
            <w:tcW w:w="5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Forward</w:t>
            </w:r>
          </w:p>
        </w:tc>
        <w:tc>
          <w:tcPr>
            <w:tcW w:w="5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Forward</w:t>
            </w:r>
          </w:p>
        </w:tc>
        <w:tc>
          <w:tcPr>
            <w:tcW w:w="6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6"/>
              </w:rPr>
              <w:t>Initial</w:t>
            </w:r>
          </w:p>
        </w:tc>
        <w:tc>
          <w:tcPr>
            <w:tcW w:w="7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20" w:type="dxa"/>
            <w:vAlign w:val="bottom"/>
          </w:tcPr>
          <w:p>
            <w:pPr>
              <w:jc w:val="center"/>
              <w:ind w:left="41"/>
              <w:spacing w:after="0" w:line="139" w:lineRule="exact"/>
              <w:rPr>
                <w:sz w:val="20"/>
                <w:szCs w:val="20"/>
                <w:color w:val="auto"/>
              </w:rPr>
            </w:pPr>
            <w:r>
              <w:rPr>
                <w:rFonts w:ascii="Times New Roman" w:cs="Times New Roman" w:eastAsia="Times New Roman" w:hAnsi="Times New Roman"/>
                <w:sz w:val="13"/>
                <w:szCs w:val="13"/>
                <w:color w:val="auto"/>
                <w:w w:val="96"/>
              </w:rPr>
              <w:t>Security</w:t>
            </w:r>
          </w:p>
        </w:tc>
        <w:tc>
          <w:tcPr>
            <w:tcW w:w="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4"/>
              </w:rPr>
              <w:t>Carry</w:t>
            </w:r>
          </w:p>
        </w:tc>
        <w:tc>
          <w:tcPr>
            <w:tcW w:w="10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Registered</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Price Per</w:t>
            </w:r>
          </w:p>
        </w:tc>
        <w:tc>
          <w:tcPr>
            <w:tcW w:w="13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Aggregate</w:t>
            </w:r>
          </w:p>
        </w:tc>
        <w:tc>
          <w:tcPr>
            <w:tcW w:w="9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Form</w:t>
            </w:r>
          </w:p>
        </w:tc>
        <w:tc>
          <w:tcPr>
            <w:tcW w:w="5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8"/>
              </w:rPr>
              <w:t>File</w:t>
            </w:r>
          </w:p>
        </w:tc>
        <w:tc>
          <w:tcPr>
            <w:tcW w:w="6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6"/>
              </w:rPr>
              <w:t>Effective</w:t>
            </w:r>
          </w:p>
        </w:tc>
        <w:tc>
          <w:tcPr>
            <w:tcW w:w="7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62"/>
        </w:trPr>
        <w:tc>
          <w:tcPr>
            <w:tcW w:w="144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3"/>
                <w:szCs w:val="13"/>
                <w:color w:val="auto"/>
                <w:w w:val="97"/>
              </w:rPr>
              <w:t>Type</w:t>
            </w:r>
          </w:p>
        </w:tc>
        <w:tc>
          <w:tcPr>
            <w:tcW w:w="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Forward Rule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(1) (2)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Unit</w:t>
            </w:r>
            <w:r>
              <w:rPr>
                <w:rFonts w:ascii="Times New Roman" w:cs="Times New Roman" w:eastAsia="Times New Roman" w:hAnsi="Times New Roman"/>
                <w:sz w:val="10"/>
                <w:szCs w:val="10"/>
                <w:color w:val="auto"/>
                <w:w w:val="97"/>
              </w:rPr>
              <w:t>(3)</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4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w w:val="97"/>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right w:val="single" w:sz="8" w:color="auto"/>
            </w:tcBorders>
          </w:tcPr>
          <w:p>
            <w:pPr>
              <w:jc w:val="center"/>
              <w:ind w:left="50"/>
              <w:spacing w:after="0" w:line="203" w:lineRule="exact"/>
              <w:rPr>
                <w:sz w:val="20"/>
                <w:szCs w:val="20"/>
                <w:color w:val="auto"/>
              </w:rPr>
            </w:pPr>
            <w:r>
              <w:rPr>
                <w:rFonts w:ascii="Times New Roman" w:cs="Times New Roman" w:eastAsia="Times New Roman" w:hAnsi="Times New Roman"/>
                <w:sz w:val="18"/>
                <w:szCs w:val="18"/>
                <w:b w:val="1"/>
                <w:bCs w:val="1"/>
                <w:color w:val="auto"/>
                <w:w w:val="97"/>
              </w:rPr>
              <w:t>Fees To Be</w:t>
            </w:r>
          </w:p>
        </w:tc>
        <w:tc>
          <w:tcPr>
            <w:tcW w:w="6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Common</w:t>
            </w: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 per</w:t>
            </w:r>
          </w:p>
        </w:tc>
        <w:tc>
          <w:tcPr>
            <w:tcW w:w="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jc w:val="center"/>
              <w:ind w:left="61"/>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11,896</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$2,003,881.20</w:t>
            </w:r>
          </w:p>
        </w:tc>
        <w:tc>
          <w:tcPr>
            <w:tcW w:w="9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0.0000927</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$185.76</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6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2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right w:val="single" w:sz="8" w:color="auto"/>
            </w:tcBorders>
          </w:tcPr>
          <w:p>
            <w:pPr>
              <w:jc w:val="center"/>
              <w:ind w:left="30"/>
              <w:spacing w:after="0" w:line="203" w:lineRule="exact"/>
              <w:rPr>
                <w:sz w:val="20"/>
                <w:szCs w:val="20"/>
                <w:color w:val="auto"/>
              </w:rPr>
            </w:pPr>
            <w:r>
              <w:rPr>
                <w:rFonts w:ascii="Times New Roman" w:cs="Times New Roman" w:eastAsia="Times New Roman" w:hAnsi="Times New Roman"/>
                <w:sz w:val="18"/>
                <w:szCs w:val="18"/>
                <w:b w:val="1"/>
                <w:bCs w:val="1"/>
                <w:color w:val="auto"/>
              </w:rPr>
              <w:t>Carry</w:t>
            </w:r>
          </w:p>
        </w:tc>
        <w:tc>
          <w:tcPr>
            <w:tcW w:w="6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6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2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$2,003,881.20</w:t>
            </w: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$185.76</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gridSpan w:val="5"/>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$185.76</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3: Combined Prospectuses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w:t>
      </w:r>
    </w:p>
    <w:p>
      <w:pPr>
        <w:spacing w:after="0" w:line="252" w:lineRule="exact"/>
        <w:rPr>
          <w:sz w:val="20"/>
          <w:szCs w:val="20"/>
          <w:color w:val="auto"/>
        </w:rPr>
      </w:pPr>
    </w:p>
    <w:p>
      <w:pPr>
        <w:ind w:left="424" w:right="4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“Securities Act”), the prospectus supplement to which this exhibit relates (the “Prospectus Supplement”) shall also cover any additional shares of the common stock of M&amp;T Bank Corporation (“M&amp;T”) that become issuable by reason of any stock dividend, stock split, recapitalization or other similar transaction that results in an increase in the number of outstanding shares of M&amp;T common stock.</w:t>
      </w:r>
    </w:p>
    <w:p>
      <w:pPr>
        <w:sectPr>
          <w:pgSz w:w="11900" w:h="16838" w:orient="portrait"/>
          <w:cols w:equalWidth="0" w:num="1">
            <w:col w:w="11024"/>
          </w:cols>
          <w:pgMar w:left="436" w:top="117" w:right="439" w:bottom="1440" w:gutter="0" w:footer="0" w:header="0"/>
        </w:sectPr>
      </w:pPr>
    </w:p>
    <w:bookmarkStart w:id="25" w:name="page26"/>
    <w:bookmarkEnd w:id="25"/>
    <w:p>
      <w:pPr>
        <w:ind w:left="424" w:right="360" w:hanging="424"/>
        <w:spacing w:after="0" w:line="272"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Agreement and Plan of Merger, dated as of February 21, 2021, by and among M&amp;T, Bridge Merger Corp., a wholly owned subsidiary of M&amp;T (“Merger Sub”), and People’s United Financial, Inc. (“People’s United”), as amended, effective as of April 1, 2022, M&amp;T acquired People’s United pursuant to a merger of Merger Sub with and into People’s United, with People’s United as the surviving entity</w:t>
      </w:r>
    </w:p>
    <w:p>
      <w:pPr>
        <w:spacing w:after="0" w:line="1" w:lineRule="exact"/>
        <w:rPr>
          <w:rFonts w:ascii="Times New Roman" w:cs="Times New Roman" w:eastAsia="Times New Roman" w:hAnsi="Times New Roman"/>
          <w:sz w:val="17"/>
          <w:szCs w:val="17"/>
          <w:color w:val="auto"/>
        </w:rPr>
      </w:pPr>
    </w:p>
    <w:p>
      <w:pPr>
        <w:ind w:left="424"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“merger”). At the effective time of the merger, certain outstanding equity awards with respect to shares of common stock of People’s United held by former employees of People’s United or its affiliates (or their respective legal successors) were converted into equity awards with respect to shares of common stock of M&amp;T, subject to appropriate adjustments to the number of shares and, where applicable, the exercise price of such award. The number of shares registered hereunder represents the maximum number of shares of M&amp;T common stock issuable upon the vesting or exercise of such equity awards, subject to appropriate adjustments thereto.</w:t>
      </w:r>
    </w:p>
    <w:p>
      <w:pPr>
        <w:spacing w:after="0" w:line="1" w:lineRule="exact"/>
        <w:rPr>
          <w:rFonts w:ascii="Times New Roman" w:cs="Times New Roman" w:eastAsia="Times New Roman" w:hAnsi="Times New Roman"/>
          <w:sz w:val="17"/>
          <w:szCs w:val="17"/>
          <w:color w:val="auto"/>
        </w:rPr>
      </w:pPr>
    </w:p>
    <w:p>
      <w:pPr>
        <w:jc w:val="both"/>
        <w:ind w:left="424"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required by Section 6(b) of the Securities Act and calculated in accordance with Rules 457(c) and 457(h) promulgated thereunder. The aggregate offering price is the average of the high and low prices of M&amp;T common stock as reported on the New York Stock Exchange on April 1, 2022.</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2"/>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24" Type="http://schemas.openxmlformats.org/officeDocument/2006/relationships/hyperlink" Target="http://www.sec.gov/ix?doc=/Archives/edgar/data/36270/000156459022005400/mtb-10k_20211231.htm" TargetMode="External"/><Relationship Id="rId25" Type="http://schemas.openxmlformats.org/officeDocument/2006/relationships/hyperlink" Target="http://www.sec.gov/Archives/edgar/data/36270/000156459022010523/mtb-def14a_20220425.htm" TargetMode="External"/><Relationship Id="rId26" Type="http://schemas.openxmlformats.org/officeDocument/2006/relationships/hyperlink" Target="http://www.sec.gov/ix?doc=/Archives/edgar/data/36270/000119312522046602/d289987d8k.htm" TargetMode="External"/><Relationship Id="rId27" Type="http://schemas.openxmlformats.org/officeDocument/2006/relationships/hyperlink" Target="http://www.sec.gov/ix?doc=/Archives/edgar/data/0000036270/000119312522068188/d286172d8k.htm" TargetMode="External"/><Relationship Id="rId28" Type="http://schemas.openxmlformats.org/officeDocument/2006/relationships/hyperlink" Target="http://www.sec.gov/ix?doc=/Archives/edgar/data/36270/000119312522094296/d349120d8k.htm" TargetMode="External"/><Relationship Id="rId29" Type="http://schemas.openxmlformats.org/officeDocument/2006/relationships/hyperlink" Target="http://www.sec.gov/Archives/edgar/data/36270/0001047469-98-021288.txt" TargetMode="External"/><Relationship Id="rId39" Type="http://schemas.openxmlformats.org/officeDocument/2006/relationships/hyperlink" Target="http://www.sec.gov/ix?doc=/Archives/edgar/data/36270/000156459021007188/mtb-10k_20201231.htm" TargetMode="External"/><Relationship Id="rId40" Type="http://schemas.openxmlformats.org/officeDocument/2006/relationships/hyperlink" Target="http://www.sec.gov/ix?doc=/Archives/edgar/data/36270/000156459021024903/mtb-10q_20210331.htm" TargetMode="External"/><Relationship Id="rId41" Type="http://schemas.openxmlformats.org/officeDocument/2006/relationships/hyperlink" Target="http://www.sec.gov/ix?doc=/Archives/edgar/data/36270/000156459021041556/mtb-10q_20210630.htm" TargetMode="External"/><Relationship Id="rId42" Type="http://schemas.openxmlformats.org/officeDocument/2006/relationships/hyperlink" Target="http://www.sec.gov/ix?doc=/Archives/edgar/data/36270/000119312521173639/d186460d8k.htm" TargetMode="External"/><Relationship Id="rId43" Type="http://schemas.openxmlformats.org/officeDocument/2006/relationships/hyperlink" Target="http://www.sec.gov/ix?doc=/Archives/edgar/data/36270/000119312521241288/d386959d8k.htm" TargetMode="External"/><Relationship Id="rId44" Type="http://schemas.openxmlformats.org/officeDocument/2006/relationships/hyperlink" Target="http://www.sec.gov/ix?doc=/Archives/edgar/data/36270/000119312521249178/d200582d8k.htm" TargetMode="External"/><Relationship Id="rId45" Type="http://schemas.openxmlformats.org/officeDocument/2006/relationships/hyperlink" Target="http://www.sec.gov/Archives/edgar/data/36270/000156459021011350/mtb-def14a_20210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2022-04-04T08:21:03Z</dcterms:created>
  <dcterms:modified xsi:type="dcterms:W3CDTF">2022-04-04T08:21:03Z</dcterms:modified>
</cp:coreProperties>
</file>