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spacing w:after="0"/>
              <w:rPr>
                <w:sz w:val="18"/>
                <w:szCs w:val="18"/>
                <w:color w:val="auto"/>
              </w:rPr>
            </w:pP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spacing w:after="0"/>
              <w:rPr>
                <w:sz w:val="20"/>
                <w:szCs w:val="20"/>
                <w:color w:val="auto"/>
              </w:rPr>
            </w:pP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spacing w:after="0"/>
              <w:rPr>
                <w:sz w:val="18"/>
                <w:szCs w:val="18"/>
                <w:color w:val="auto"/>
              </w:rPr>
            </w:pP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p>
      <w:pPr>
        <w:ind w:left="3200" w:hanging="5377"/>
        <w:spacing w:after="0" w:line="223" w:lineRule="exact"/>
        <w:tabs>
          <w:tab w:leader="none" w:pos="31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the registrant’s Common Stock, $0.50 par value, outstanding as of the close of business on April 23, 2010: 118,865,763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320040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March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tcBorders>
              <w:bottom w:val="single" w:sz="8" w:color="auto"/>
            </w:tcBorders>
            <w:gridSpan w:val="25"/>
          </w:tcPr>
          <w:p>
            <w:pPr>
              <w:spacing w:after="0"/>
              <w:rPr>
                <w:sz w:val="20"/>
                <w:szCs w:val="20"/>
                <w:color w:val="auto"/>
              </w:rPr>
            </w:pPr>
            <w:r>
              <w:rPr>
                <w:rFonts w:ascii="Arial" w:cs="Arial" w:eastAsia="Arial" w:hAnsi="Arial"/>
                <w:sz w:val="14"/>
                <w:szCs w:val="14"/>
                <w:color w:val="auto"/>
              </w:rPr>
              <w:t>Table of Contents of Information Required in Report</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Page</w:t>
            </w:r>
          </w:p>
        </w:tc>
      </w:tr>
      <w:tr>
        <w:trPr>
          <w:trHeight w:val="169"/>
        </w:trPr>
        <w:tc>
          <w:tcPr>
            <w:tcW w:w="10060" w:type="dxa"/>
            <w:vAlign w:val="bottom"/>
            <w:gridSpan w:val="25"/>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3"/>
          </w:tcPr>
          <w:p>
            <w:pPr>
              <w:spacing w:after="0"/>
              <w:rPr>
                <w:sz w:val="24"/>
                <w:szCs w:val="24"/>
                <w:color w:val="auto"/>
              </w:rPr>
            </w:pPr>
          </w:p>
        </w:tc>
        <w:tc>
          <w:tcPr>
            <w:tcW w:w="732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 - March 31, 2010 and December 31, 2009</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INCOME - Three months ended March 31, 2010 and 2009</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Three months ended March 31, 2010 and 2009</w:t>
              </w:r>
            </w:hyperlink>
          </w:p>
        </w:tc>
        <w:tc>
          <w:tcPr>
            <w:tcW w:w="2220" w:type="dxa"/>
            <w:vAlign w:val="bottom"/>
            <w:gridSpan w:val="2"/>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STOCKHOLDERS’ EQUITY — Three months ended March 31, 2010 and</w:t>
              </w:r>
            </w:hyperlink>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980" w:type="dxa"/>
            <w:vAlign w:val="bottom"/>
            <w:gridSpan w:val="5"/>
          </w:tcPr>
          <w:p>
            <w:pPr>
              <w:ind w:left="6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2009</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40" w:type="dxa"/>
            <w:vAlign w:val="bottom"/>
            <w:gridSpan w:val="22"/>
          </w:tcPr>
          <w:p>
            <w:pPr>
              <w:spacing w:after="0"/>
              <w:rPr>
                <w:sz w:val="20"/>
                <w:szCs w:val="20"/>
                <w:color w:val="auto"/>
              </w:rPr>
            </w:pPr>
            <w:r>
              <w:rPr>
                <w:rFonts w:ascii="Arial" w:cs="Arial" w:eastAsia="Arial" w:hAnsi="Arial"/>
                <w:sz w:val="18"/>
                <w:szCs w:val="18"/>
                <w:color w:val="auto"/>
                <w:w w:val="95"/>
              </w:rPr>
              <w:t>CONSOLIDATED SUMMARY OF CHANGES IN ALLOWANCE FOR CREDIT LOSSES - Three months ended March 31, 2010</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0" w:type="dxa"/>
            <w:vAlign w:val="bottom"/>
            <w:gridSpan w:val="21"/>
          </w:tcPr>
          <w:p>
            <w:pPr>
              <w:spacing w:after="0"/>
              <w:rPr>
                <w:sz w:val="20"/>
                <w:szCs w:val="20"/>
                <w:color w:val="auto"/>
              </w:rPr>
            </w:pPr>
            <w:r>
              <w:rPr>
                <w:rFonts w:ascii="Arial" w:cs="Arial" w:eastAsia="Arial" w:hAnsi="Arial"/>
                <w:sz w:val="18"/>
                <w:szCs w:val="18"/>
                <w:color w:val="auto"/>
              </w:rPr>
              <w:t>and 2009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580" w:type="dxa"/>
            <w:vAlign w:val="bottom"/>
            <w:gridSpan w:val="8"/>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00" w:type="dxa"/>
            <w:vAlign w:val="bottom"/>
            <w:gridSpan w:val="4"/>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4. Controls and Procedures.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4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5">
              <w:r>
                <w:rPr>
                  <w:rFonts w:ascii="Arial" w:cs="Arial" w:eastAsia="Arial" w:hAnsi="Arial"/>
                  <w:sz w:val="18"/>
                  <w:szCs w:val="18"/>
                  <w:color w:val="0000EE"/>
                  <w:w w:val="95"/>
                </w:rPr>
                <w:t>Part II. OTHER INFORMATION</w:t>
              </w:r>
            </w:hyperlink>
          </w:p>
        </w:tc>
        <w:tc>
          <w:tcPr>
            <w:tcW w:w="762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1. Legal Proceedings.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1A. Risk Factors.</w:t>
              </w:r>
            </w:hyperlink>
          </w:p>
        </w:tc>
        <w:tc>
          <w:tcPr>
            <w:tcW w:w="7920" w:type="dxa"/>
            <w:vAlign w:val="bottom"/>
            <w:gridSpan w:val="14"/>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Item 2. Unregistered Sales of Equity Securities and Use of Proceeds.</w:t>
              </w:r>
            </w:hyperlink>
          </w:p>
        </w:tc>
        <w:tc>
          <w:tcPr>
            <w:tcW w:w="4900" w:type="dxa"/>
            <w:vAlign w:val="bottom"/>
            <w:gridSpan w:val="7"/>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Item 3. Defaults Upon Senior Securities.</w:t>
              </w:r>
            </w:hyperlink>
          </w:p>
        </w:tc>
        <w:tc>
          <w:tcPr>
            <w:tcW w:w="6920" w:type="dxa"/>
            <w:vAlign w:val="bottom"/>
            <w:gridSpan w:val="9"/>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4. Other Information.</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Item 5. Exhibits.</w:t>
              </w:r>
            </w:hyperlink>
          </w:p>
        </w:tc>
        <w:tc>
          <w:tcPr>
            <w:tcW w:w="700" w:type="dxa"/>
            <w:vAlign w:val="bottom"/>
            <w:tcBorders>
              <w:top w:val="single" w:sz="8" w:color="0000EE"/>
            </w:tcBorders>
            <w:gridSpan w:val="2"/>
          </w:tcPr>
          <w:p>
            <w:pPr>
              <w:spacing w:after="0"/>
              <w:rPr>
                <w:sz w:val="24"/>
                <w:szCs w:val="24"/>
                <w:color w:val="auto"/>
              </w:rPr>
            </w:pPr>
          </w:p>
        </w:tc>
        <w:tc>
          <w:tcPr>
            <w:tcW w:w="7940" w:type="dxa"/>
            <w:vAlign w:val="bottom"/>
            <w:gridSpan w:val="15"/>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10060" w:type="dxa"/>
            <w:vAlign w:val="bottom"/>
            <w:gridSpan w:val="2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720" w:type="dxa"/>
            <w:vAlign w:val="bottom"/>
            <w:gridSpan w:val="18"/>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1340" w:type="dxa"/>
            <w:vAlign w:val="bottom"/>
            <w:tcBorders>
              <w:bottom w:val="single" w:sz="8" w:color="0000EE"/>
            </w:tcBorders>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 INDEX</w:t>
              </w:r>
            </w:hyperlink>
          </w:p>
        </w:tc>
        <w:tc>
          <w:tcPr>
            <w:tcW w:w="8720" w:type="dxa"/>
            <w:vAlign w:val="bottom"/>
            <w:gridSpan w:val="18"/>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6"/>
              </w:rPr>
              <w:t>EX-31.1</w:t>
            </w:r>
          </w:p>
        </w:tc>
        <w:tc>
          <w:tcPr>
            <w:tcW w:w="9400" w:type="dxa"/>
            <w:vAlign w:val="bottom"/>
            <w:gridSpan w:val="21"/>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jc w:val="right"/>
              <w:ind w:right="591"/>
              <w:spacing w:after="0"/>
              <w:rPr>
                <w:sz w:val="20"/>
                <w:szCs w:val="20"/>
                <w:color w:val="auto"/>
              </w:rPr>
            </w:pPr>
            <w:r>
              <w:rPr>
                <w:rFonts w:ascii="Arial" w:cs="Arial" w:eastAsia="Arial" w:hAnsi="Arial"/>
                <w:sz w:val="14"/>
                <w:szCs w:val="14"/>
                <w:color w:val="auto"/>
              </w:rPr>
              <w:t>March 31,</w:t>
            </w:r>
          </w:p>
        </w:tc>
        <w:tc>
          <w:tcPr>
            <w:tcW w:w="162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r>
      <w:tr>
        <w:trPr>
          <w:trHeight w:val="174"/>
        </w:trPr>
        <w:tc>
          <w:tcPr>
            <w:tcW w:w="77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700" w:type="dxa"/>
            <w:vAlign w:val="bottom"/>
          </w:tcPr>
          <w:p>
            <w:pPr>
              <w:spacing w:after="0"/>
              <w:rPr>
                <w:sz w:val="15"/>
                <w:szCs w:val="15"/>
                <w:color w:val="auto"/>
              </w:rPr>
            </w:pPr>
          </w:p>
        </w:tc>
        <w:tc>
          <w:tcPr>
            <w:tcW w:w="1380" w:type="dxa"/>
            <w:vAlign w:val="bottom"/>
          </w:tcPr>
          <w:p>
            <w:pPr>
              <w:jc w:val="right"/>
              <w:ind w:right="751"/>
              <w:spacing w:after="0"/>
              <w:rPr>
                <w:sz w:val="20"/>
                <w:szCs w:val="20"/>
                <w:color w:val="auto"/>
              </w:rPr>
            </w:pPr>
            <w:r>
              <w:rPr>
                <w:rFonts w:ascii="Arial" w:cs="Arial" w:eastAsia="Arial" w:hAnsi="Arial"/>
                <w:sz w:val="14"/>
                <w:szCs w:val="14"/>
                <w:color w:val="auto"/>
              </w:rPr>
              <w:t>2010</w:t>
            </w:r>
          </w:p>
        </w:tc>
        <w:tc>
          <w:tcPr>
            <w:tcW w:w="1620" w:type="dxa"/>
            <w:vAlign w:val="bottom"/>
          </w:tcPr>
          <w:p>
            <w:pPr>
              <w:jc w:val="right"/>
              <w:ind w:right="471"/>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1,033,269</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1,226,223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deposits at banks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121,305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133,335</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10,400</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20,119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403,476</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386,984</w:t>
            </w:r>
          </w:p>
        </w:tc>
      </w:tr>
      <w:tr>
        <w:trPr>
          <w:trHeight w:val="202"/>
        </w:trPr>
        <w:tc>
          <w:tcPr>
            <w:tcW w:w="20" w:type="dxa"/>
            <w:vAlign w:val="bottom"/>
          </w:tcPr>
          <w:p>
            <w:pPr>
              <w:spacing w:after="0"/>
              <w:rPr>
                <w:sz w:val="17"/>
                <w:szCs w:val="17"/>
                <w:color w:val="auto"/>
              </w:rPr>
            </w:pPr>
          </w:p>
        </w:tc>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7"/>
              </w:rPr>
              <w:t>Investment securities (includes pledged securities that can be sold or repledged of $1,787,179 at</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March 31, 2010; $1,797,701 at December 31, 2009)</w:t>
            </w:r>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 (cost: $6,261,058 at March 31, 2010; $6,997,009 at December 31, 2009)</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6,097,266</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6,704,378</w:t>
            </w: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w w:val="99"/>
              </w:rPr>
              <w:t>Held to maturity (fair value: $1,373,672 at March 31, 2010; $416,483 at December 31, 2009)</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1,509,805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567,607</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(fair value: $497,575 at March 31, 2010; $508,624 at December 31, 2009)</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497,575</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508,624</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investment securities</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8,104,646</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7,780,609</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8"/>
              </w:rPr>
              <w:t>51,800,817</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52,306,457</w:t>
            </w: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Unearned discount</w:t>
            </w:r>
          </w:p>
        </w:tc>
        <w:tc>
          <w:tcPr>
            <w:tcW w:w="700" w:type="dxa"/>
            <w:vAlign w:val="bottom"/>
          </w:tcPr>
          <w:p>
            <w:pPr>
              <w:spacing w:after="0"/>
              <w:rPr>
                <w:sz w:val="18"/>
                <w:szCs w:val="18"/>
                <w:color w:val="auto"/>
              </w:rPr>
            </w:pP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(356,776)</w:t>
            </w:r>
          </w:p>
        </w:tc>
        <w:tc>
          <w:tcPr>
            <w:tcW w:w="1620" w:type="dxa"/>
            <w:vAlign w:val="bottom"/>
          </w:tcPr>
          <w:p>
            <w:pPr>
              <w:jc w:val="right"/>
              <w:ind w:right="151"/>
              <w:spacing w:after="0"/>
              <w:rPr>
                <w:sz w:val="20"/>
                <w:szCs w:val="20"/>
                <w:color w:val="auto"/>
              </w:rPr>
            </w:pPr>
            <w:r>
              <w:rPr>
                <w:rFonts w:ascii="Arial" w:cs="Arial" w:eastAsia="Arial" w:hAnsi="Arial"/>
                <w:sz w:val="18"/>
                <w:szCs w:val="18"/>
                <w:color w:val="auto"/>
              </w:rPr>
              <w:t>(369,771)</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Allowance for credit losses</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(891,265)</w:t>
            </w:r>
          </w:p>
        </w:tc>
        <w:tc>
          <w:tcPr>
            <w:tcW w:w="16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(878,022)</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Loans and leases, net</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50,552,776</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51,058,664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427,883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435,845</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3,524,625</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3,524,625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deposit and other intangible assets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167,545</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182,418</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Accrued interest and other assets</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4,093,297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4,131,577</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68,439,222</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68,880,399</w:t>
            </w:r>
          </w:p>
        </w:tc>
      </w:tr>
      <w:tr>
        <w:trPr>
          <w:trHeight w:val="20"/>
        </w:trPr>
        <w:tc>
          <w:tcPr>
            <w:tcW w:w="7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7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 deposits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8"/>
              </w:rPr>
              <w:t>13,622,819</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13,794,636</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1,312,284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1,396,471</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88"/>
              </w:rPr>
              <w:t>24,867,761</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23,676,798</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6,945,716</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7,531,495</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rPr>
              <w:t>789,825</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1,050,438</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deposits</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47,538,405</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47,449,838</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and agreements to repurchase securities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1,740,059</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2,211,692</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Other short-term borrowings</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130,704</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230,890</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and other liabilities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1,048,473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995,056</w:t>
            </w:r>
          </w:p>
        </w:tc>
      </w:tr>
      <w:tr>
        <w:trPr>
          <w:trHeight w:val="223"/>
        </w:trPr>
        <w:tc>
          <w:tcPr>
            <w:tcW w:w="20" w:type="dxa"/>
            <w:vAlign w:val="bottom"/>
          </w:tcPr>
          <w:p>
            <w:pPr>
              <w:spacing w:after="0"/>
              <w:rPr>
                <w:sz w:val="19"/>
                <w:szCs w:val="19"/>
                <w:color w:val="auto"/>
              </w:rPr>
            </w:pPr>
          </w:p>
        </w:tc>
        <w:tc>
          <w:tcPr>
            <w:tcW w:w="7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Long-term borrowings</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88"/>
              </w:rPr>
              <w:t>10,065,894</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10,240,016</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60,523,535</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61,127,492</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Preferred stock, $1.00 par, 1,000,000 shares authorized, 778,000 shares issued and outstanding</w:t>
            </w: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(liquidation preference $1,000 per share)</w:t>
            </w:r>
          </w:p>
        </w:tc>
        <w:tc>
          <w:tcPr>
            <w:tcW w:w="7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732,769</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730,235</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Common stock, $.50 par, 250,000,000 shares authorized, 120,396,611 shares issued</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rPr>
              <w:t>60,198</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60,198</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Common stock issuable, 70,274 shares at March 31, 2010; 75,170 shares at December 31, 2009</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4,073</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4,342</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1380" w:type="dxa"/>
            <w:vAlign w:val="bottom"/>
          </w:tcPr>
          <w:p>
            <w:pPr>
              <w:jc w:val="right"/>
              <w:ind w:right="471"/>
              <w:spacing w:after="0"/>
              <w:rPr>
                <w:sz w:val="20"/>
                <w:szCs w:val="20"/>
                <w:color w:val="auto"/>
              </w:rPr>
            </w:pPr>
            <w:r>
              <w:rPr>
                <w:rFonts w:ascii="Arial" w:cs="Arial" w:eastAsia="Arial" w:hAnsi="Arial"/>
                <w:sz w:val="18"/>
                <w:szCs w:val="18"/>
                <w:color w:val="auto"/>
                <w:w w:val="99"/>
              </w:rPr>
              <w:t>2,411,402</w:t>
            </w:r>
          </w:p>
        </w:tc>
        <w:tc>
          <w:tcPr>
            <w:tcW w:w="1620" w:type="dxa"/>
            <w:vAlign w:val="bottom"/>
          </w:tcPr>
          <w:p>
            <w:pPr>
              <w:jc w:val="right"/>
              <w:ind w:right="211"/>
              <w:spacing w:after="0"/>
              <w:rPr>
                <w:sz w:val="20"/>
                <w:szCs w:val="20"/>
                <w:color w:val="auto"/>
              </w:rPr>
            </w:pPr>
            <w:r>
              <w:rPr>
                <w:rFonts w:ascii="Arial" w:cs="Arial" w:eastAsia="Arial" w:hAnsi="Arial"/>
                <w:sz w:val="18"/>
                <w:szCs w:val="18"/>
                <w:color w:val="auto"/>
              </w:rPr>
              <w:t>2,442,947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99"/>
              </w:rPr>
              <w:t>5,131,600</w:t>
            </w:r>
          </w:p>
        </w:tc>
        <w:tc>
          <w:tcPr>
            <w:tcW w:w="16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5,076,884</w:t>
            </w: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w:t>
            </w:r>
          </w:p>
        </w:tc>
        <w:tc>
          <w:tcPr>
            <w:tcW w:w="700" w:type="dxa"/>
            <w:vAlign w:val="bottom"/>
          </w:tcPr>
          <w:p>
            <w:pPr>
              <w:spacing w:after="0"/>
              <w:rPr>
                <w:sz w:val="18"/>
                <w:szCs w:val="18"/>
                <w:color w:val="auto"/>
              </w:rPr>
            </w:pPr>
          </w:p>
        </w:tc>
        <w:tc>
          <w:tcPr>
            <w:tcW w:w="1380" w:type="dxa"/>
            <w:vAlign w:val="bottom"/>
          </w:tcPr>
          <w:p>
            <w:pPr>
              <w:jc w:val="right"/>
              <w:ind w:right="411"/>
              <w:spacing w:after="0"/>
              <w:rPr>
                <w:sz w:val="20"/>
                <w:szCs w:val="20"/>
                <w:color w:val="auto"/>
              </w:rPr>
            </w:pPr>
            <w:r>
              <w:rPr>
                <w:rFonts w:ascii="Arial" w:cs="Arial" w:eastAsia="Arial" w:hAnsi="Arial"/>
                <w:sz w:val="18"/>
                <w:szCs w:val="18"/>
                <w:color w:val="auto"/>
              </w:rPr>
              <w:t>(255,181)</w:t>
            </w:r>
          </w:p>
        </w:tc>
        <w:tc>
          <w:tcPr>
            <w:tcW w:w="1620" w:type="dxa"/>
            <w:vAlign w:val="bottom"/>
          </w:tcPr>
          <w:p>
            <w:pPr>
              <w:jc w:val="right"/>
              <w:ind w:right="151"/>
              <w:spacing w:after="0"/>
              <w:rPr>
                <w:sz w:val="20"/>
                <w:szCs w:val="20"/>
                <w:color w:val="auto"/>
              </w:rPr>
            </w:pPr>
            <w:r>
              <w:rPr>
                <w:rFonts w:ascii="Arial" w:cs="Arial" w:eastAsia="Arial" w:hAnsi="Arial"/>
                <w:sz w:val="18"/>
                <w:szCs w:val="18"/>
                <w:color w:val="auto"/>
              </w:rPr>
              <w:t>(335,997)</w:t>
            </w: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Treasury stock — common, at cost - 1,643,972 shares at March 31, 2010; 2,173,916 shares at</w:t>
            </w: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December 31, 2009</w:t>
            </w:r>
          </w:p>
        </w:tc>
        <w:tc>
          <w:tcPr>
            <w:tcW w:w="7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(169,174)</w:t>
            </w:r>
          </w:p>
        </w:tc>
        <w:tc>
          <w:tcPr>
            <w:tcW w:w="16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(225,702)</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7,915,687</w:t>
            </w:r>
          </w:p>
        </w:tc>
        <w:tc>
          <w:tcPr>
            <w:tcW w:w="16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7,752,907</w:t>
            </w:r>
          </w:p>
        </w:tc>
      </w:tr>
      <w:tr>
        <w:trPr>
          <w:trHeight w:val="216"/>
        </w:trPr>
        <w:tc>
          <w:tcPr>
            <w:tcW w:w="20" w:type="dxa"/>
            <w:vAlign w:val="bottom"/>
          </w:tcPr>
          <w:p>
            <w:pPr>
              <w:spacing w:after="0"/>
              <w:rPr>
                <w:sz w:val="18"/>
                <w:szCs w:val="18"/>
                <w:color w:val="auto"/>
              </w:rPr>
            </w:pPr>
          </w:p>
        </w:tc>
        <w:tc>
          <w:tcPr>
            <w:tcW w:w="77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88"/>
              </w:rPr>
              <w:t>68,439,222</w:t>
            </w:r>
          </w:p>
        </w:tc>
        <w:tc>
          <w:tcPr>
            <w:tcW w:w="16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68,880,399</w:t>
            </w:r>
          </w:p>
        </w:tc>
      </w:tr>
      <w:tr>
        <w:trPr>
          <w:trHeight w:val="20"/>
        </w:trPr>
        <w:tc>
          <w:tcPr>
            <w:tcW w:w="20" w:type="dxa"/>
            <w:vAlign w:val="bottom"/>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99"/>
        </w:trPr>
        <w:tc>
          <w:tcPr>
            <w:tcW w:w="7720" w:type="dxa"/>
            <w:vAlign w:val="bottom"/>
            <w:gridSpan w:val="2"/>
          </w:tcPr>
          <w:p>
            <w:pPr>
              <w:jc w:val="right"/>
              <w:ind w:right="1770"/>
              <w:spacing w:after="0"/>
              <w:rPr>
                <w:sz w:val="20"/>
                <w:szCs w:val="20"/>
                <w:color w:val="auto"/>
              </w:rPr>
            </w:pPr>
            <w:r>
              <w:rPr>
                <w:rFonts w:ascii="Arial" w:cs="Arial" w:eastAsia="Arial" w:hAnsi="Arial"/>
                <w:sz w:val="18"/>
                <w:szCs w:val="18"/>
                <w:color w:val="auto"/>
              </w:rPr>
              <w:t>- 3 -</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2"/>
          </w:tcPr>
          <w:p>
            <w:pPr>
              <w:jc w:val="right"/>
              <w:ind w:right="57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74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1260" w:type="dxa"/>
            <w:vAlign w:val="bottom"/>
          </w:tcPr>
          <w:p>
            <w:pPr>
              <w:spacing w:after="0"/>
              <w:rPr>
                <w:sz w:val="15"/>
                <w:szCs w:val="15"/>
                <w:color w:val="auto"/>
              </w:rPr>
            </w:pPr>
          </w:p>
        </w:tc>
        <w:tc>
          <w:tcPr>
            <w:tcW w:w="1240" w:type="dxa"/>
            <w:vAlign w:val="bottom"/>
          </w:tcPr>
          <w:p>
            <w:pPr>
              <w:jc w:val="right"/>
              <w:ind w:right="711"/>
              <w:spacing w:after="0"/>
              <w:rPr>
                <w:sz w:val="20"/>
                <w:szCs w:val="20"/>
                <w:color w:val="auto"/>
              </w:rPr>
            </w:pPr>
            <w:r>
              <w:rPr>
                <w:rFonts w:ascii="Arial" w:cs="Arial" w:eastAsia="Arial" w:hAnsi="Arial"/>
                <w:sz w:val="14"/>
                <w:szCs w:val="14"/>
                <w:color w:val="auto"/>
              </w:rPr>
              <w:t>2010</w:t>
            </w:r>
          </w:p>
        </w:tc>
        <w:tc>
          <w:tcPr>
            <w:tcW w:w="1520" w:type="dxa"/>
            <w:vAlign w:val="bottom"/>
          </w:tcPr>
          <w:p>
            <w:pPr>
              <w:jc w:val="right"/>
              <w:ind w:right="410"/>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Loans and leases, including fees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588,127</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554,329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banks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6</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 to resell securities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2</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Trading account</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83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Fully taxable</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85,647</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98,467</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Exempt from federal taxes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2,510</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1,529</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income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676,386</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654,512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NOW accounts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200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327</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20,449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41,922</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29,446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60,329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at foreign office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325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981</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887</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2,348</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68,745</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100,798</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interest expense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120,052</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206,705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556,334</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447,807</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Provision for credit losses</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105,000</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158,000</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451,334</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289,807</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banking revenues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41,476</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56,233</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Service charges on deposit accounts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120,295</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101,029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 income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30,928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34,880</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Brokerage services income</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13,106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15,393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4,699</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1,435</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Gain on bank investment securities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459</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575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2"/>
              </w:rPr>
              <w:t>(29,487)</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(62,808)</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2,685</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30,609</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OTTI losses recognized in earnings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92"/>
              </w:rPr>
              <w:t>(26,802)</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(32,199)</w:t>
            </w:r>
          </w:p>
        </w:tc>
      </w:tr>
      <w:tr>
        <w:trPr>
          <w:trHeight w:val="223"/>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1260" w:type="dxa"/>
            <w:vAlign w:val="bottom"/>
          </w:tcPr>
          <w:p>
            <w:pPr>
              <w:spacing w:after="0"/>
              <w:rPr>
                <w:sz w:val="19"/>
                <w:szCs w:val="19"/>
                <w:color w:val="auto"/>
              </w:rPr>
            </w:pPr>
          </w:p>
        </w:tc>
        <w:tc>
          <w:tcPr>
            <w:tcW w:w="1240" w:type="dxa"/>
            <w:vAlign w:val="bottom"/>
          </w:tcPr>
          <w:p>
            <w:pPr>
              <w:jc w:val="right"/>
              <w:ind w:right="511"/>
              <w:spacing w:after="0"/>
              <w:rPr>
                <w:sz w:val="20"/>
                <w:szCs w:val="20"/>
                <w:color w:val="auto"/>
              </w:rPr>
            </w:pPr>
            <w:r>
              <w:rPr>
                <w:rFonts w:ascii="Arial" w:cs="Arial" w:eastAsia="Arial" w:hAnsi="Arial"/>
                <w:sz w:val="18"/>
                <w:szCs w:val="18"/>
                <w:color w:val="auto"/>
              </w:rPr>
              <w:t>(5,714)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(4,144)</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revenues from operations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rPr>
              <w:t>79,259</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59,139</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income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257,706</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232,341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Salaries and employee benefits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264,046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249,392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55,401</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48,172</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Printing, postage and supplies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9,043</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9,095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16,475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15,370</w:t>
            </w: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FDIC assessments</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21,348</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5,856</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1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123,049</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110,461</w:t>
            </w:r>
          </w:p>
        </w:tc>
      </w:tr>
      <w:tr>
        <w:trPr>
          <w:trHeight w:val="230"/>
        </w:trPr>
        <w:tc>
          <w:tcPr>
            <w:tcW w:w="20" w:type="dxa"/>
            <w:vAlign w:val="bottom"/>
          </w:tcPr>
          <w:p>
            <w:pPr>
              <w:spacing w:after="0"/>
              <w:rPr>
                <w:sz w:val="20"/>
                <w:szCs w:val="20"/>
                <w:color w:val="auto"/>
              </w:rPr>
            </w:pPr>
          </w:p>
        </w:tc>
        <w:tc>
          <w:tcPr>
            <w:tcW w:w="73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Total other expense</w:t>
            </w: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w w:val="86"/>
              </w:rPr>
              <w:t>489,362</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438,346</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219,678</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83,802</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taxes</w:t>
            </w: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68,723</w:t>
            </w: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19,581</w:t>
            </w: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86"/>
              </w:rPr>
              <w:t>150,955</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64,221</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Net income available to common equity</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138,341</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55,322</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Basic</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1.16</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1.15</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.49</w:t>
            </w:r>
          </w:p>
        </w:tc>
      </w:tr>
      <w:tr>
        <w:trPr>
          <w:trHeight w:val="432"/>
        </w:trPr>
        <w:tc>
          <w:tcPr>
            <w:tcW w:w="20" w:type="dxa"/>
            <w:vAlign w:val="bottom"/>
          </w:tcPr>
          <w:p>
            <w:pPr>
              <w:spacing w:after="0"/>
              <w:rPr>
                <w:sz w:val="24"/>
                <w:szCs w:val="24"/>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Cash dividends per common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1"/>
              <w:spacing w:after="0"/>
              <w:rPr>
                <w:sz w:val="20"/>
                <w:szCs w:val="20"/>
                <w:color w:val="auto"/>
              </w:rPr>
            </w:pPr>
            <w:r>
              <w:rPr>
                <w:rFonts w:ascii="Arial" w:cs="Arial" w:eastAsia="Arial" w:hAnsi="Arial"/>
                <w:sz w:val="18"/>
                <w:szCs w:val="18"/>
                <w:color w:val="auto"/>
              </w:rPr>
              <w:t>.70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common shares outstanding</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Basic</w:t>
            </w:r>
          </w:p>
        </w:tc>
        <w:tc>
          <w:tcPr>
            <w:tcW w:w="126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Arial" w:cs="Arial" w:eastAsia="Arial" w:hAnsi="Arial"/>
                <w:sz w:val="18"/>
                <w:szCs w:val="18"/>
                <w:color w:val="auto"/>
                <w:w w:val="86"/>
              </w:rPr>
              <w:t>117,765</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110,439</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86"/>
              </w:rPr>
              <w:t>118,256</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110,439</w:t>
            </w:r>
          </w:p>
        </w:tc>
      </w:tr>
      <w:tr>
        <w:trPr>
          <w:trHeight w:val="405"/>
        </w:trPr>
        <w:tc>
          <w:tcPr>
            <w:tcW w:w="7400" w:type="dxa"/>
            <w:vAlign w:val="bottom"/>
            <w:gridSpan w:val="2"/>
          </w:tcPr>
          <w:p>
            <w:pPr>
              <w:jc w:val="right"/>
              <w:ind w:right="1450"/>
              <w:spacing w:after="0"/>
              <w:rPr>
                <w:sz w:val="20"/>
                <w:szCs w:val="20"/>
                <w:color w:val="auto"/>
              </w:rPr>
            </w:pPr>
            <w:r>
              <w:rPr>
                <w:rFonts w:ascii="Arial" w:cs="Arial" w:eastAsia="Arial" w:hAnsi="Arial"/>
                <w:sz w:val="18"/>
                <w:szCs w:val="18"/>
                <w:color w:val="auto"/>
              </w:rPr>
              <w:t>- 4 -</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3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721"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940" w:type="dxa"/>
            <w:vAlign w:val="bottom"/>
            <w:gridSpan w:val="2"/>
          </w:tcPr>
          <w:p>
            <w:pPr>
              <w:jc w:val="right"/>
              <w:ind w:right="650"/>
              <w:spacing w:after="0"/>
              <w:rPr>
                <w:sz w:val="20"/>
                <w:szCs w:val="20"/>
                <w:color w:val="auto"/>
              </w:rPr>
            </w:pPr>
            <w:r>
              <w:rPr>
                <w:rFonts w:ascii="Arial" w:cs="Arial" w:eastAsia="Arial" w:hAnsi="Arial"/>
                <w:sz w:val="14"/>
                <w:szCs w:val="14"/>
                <w:color w:val="auto"/>
              </w:rPr>
              <w:t>Three months ended March 31</w:t>
            </w:r>
          </w:p>
        </w:tc>
      </w:tr>
      <w:tr>
        <w:trPr>
          <w:trHeight w:val="174"/>
        </w:trPr>
        <w:tc>
          <w:tcPr>
            <w:tcW w:w="7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Pr>
          <w:p>
            <w:pPr>
              <w:spacing w:after="0"/>
              <w:rPr>
                <w:sz w:val="15"/>
                <w:szCs w:val="15"/>
                <w:color w:val="auto"/>
              </w:rPr>
            </w:pPr>
          </w:p>
        </w:tc>
        <w:tc>
          <w:tcPr>
            <w:tcW w:w="1320" w:type="dxa"/>
            <w:vAlign w:val="bottom"/>
          </w:tcPr>
          <w:p>
            <w:pPr>
              <w:jc w:val="right"/>
              <w:ind w:right="731"/>
              <w:spacing w:after="0"/>
              <w:rPr>
                <w:sz w:val="20"/>
                <w:szCs w:val="20"/>
                <w:color w:val="auto"/>
              </w:rPr>
            </w:pPr>
            <w:r>
              <w:rPr>
                <w:rFonts w:ascii="Arial" w:cs="Arial" w:eastAsia="Arial" w:hAnsi="Arial"/>
                <w:sz w:val="14"/>
                <w:szCs w:val="14"/>
                <w:color w:val="auto"/>
              </w:rPr>
              <w:t>2010</w:t>
            </w:r>
          </w:p>
        </w:tc>
        <w:tc>
          <w:tcPr>
            <w:tcW w:w="1620" w:type="dxa"/>
            <w:vAlign w:val="bottom"/>
          </w:tcPr>
          <w:p>
            <w:pPr>
              <w:jc w:val="right"/>
              <w:ind w:right="470"/>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150,955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64,221</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Provision for credit losses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105,000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158,000</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premises and equipment</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17,207</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13,038</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Amortization of capitalized servicing rights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14,645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15,954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core deposit and other intangible assets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16,475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15,370</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Provision for deferred income taxes</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(10,163)</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(11,948)</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 write-downs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27,821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34,063</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Net (gain) loss on sales of assets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1,461</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(447)</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accrued interest receivable, payable</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98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12,423</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Net change in other accrued income and expense</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80,537</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36,624</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change in loans originated for sale</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252,227</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(263,004)</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change in trading account assets and liabilities</w:t>
            </w:r>
          </w:p>
        </w:tc>
        <w:tc>
          <w:tcPr>
            <w:tcW w:w="1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(2,664)</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653,599</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74,605</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14,759</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5,550</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11,478</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23,895</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369,136</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496,247</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29,828</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28,125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(34,084)</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(21,702)</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Held to maturity</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8"/>
              </w:rPr>
              <w:t>(969,953)</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(8,299)</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(428)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loans and leases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546,709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84,162</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Other investments, net</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(6,198)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(5,786)</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capitalized servicing rights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(57)</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Capital expenditures, net</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(10,570)</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(10,250)</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1,725</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(12,772)</w:t>
            </w:r>
          </w:p>
        </w:tc>
      </w:tr>
      <w:tr>
        <w:trPr>
          <w:trHeight w:val="230"/>
        </w:trPr>
        <w:tc>
          <w:tcPr>
            <w:tcW w:w="20" w:type="dxa"/>
            <w:vAlign w:val="bottom"/>
          </w:tcPr>
          <w:p>
            <w:pPr>
              <w:spacing w:after="0"/>
              <w:rPr>
                <w:sz w:val="20"/>
                <w:szCs w:val="20"/>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provided (used) by investing activities</w:t>
            </w: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(47,655)</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578,262</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Net increase (decrease) in deposits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93,998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(103,205)</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short-term borrowings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8"/>
              </w:rPr>
              <w:t>(571,827)</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(367,924)</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Payments on long-term borrowings</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w w:val="98"/>
              </w:rPr>
              <w:t>(252,880)</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(520,549)</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 common</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(83,303)</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(77,744)</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Dividends paid — preferred</w:t>
            </w:r>
          </w:p>
        </w:tc>
        <w:tc>
          <w:tcPr>
            <w:tcW w:w="1280" w:type="dxa"/>
            <w:vAlign w:val="bottom"/>
          </w:tcPr>
          <w:p>
            <w:pPr>
              <w:spacing w:after="0"/>
              <w:rPr>
                <w:sz w:val="18"/>
                <w:szCs w:val="18"/>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(10,056)</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(4,333)</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15,451</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6,382</w:t>
            </w:r>
          </w:p>
        </w:tc>
      </w:tr>
      <w:tr>
        <w:trPr>
          <w:trHeight w:val="230"/>
        </w:trPr>
        <w:tc>
          <w:tcPr>
            <w:tcW w:w="20" w:type="dxa"/>
            <w:vAlign w:val="bottom"/>
          </w:tcPr>
          <w:p>
            <w:pPr>
              <w:spacing w:after="0"/>
              <w:rPr>
                <w:sz w:val="20"/>
                <w:szCs w:val="20"/>
                <w:color w:val="auto"/>
              </w:rPr>
            </w:pPr>
          </w:p>
        </w:tc>
        <w:tc>
          <w:tcPr>
            <w:tcW w:w="71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cash used by financing activities</w:t>
            </w: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8"/>
              </w:rPr>
              <w:t>(808,617)</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(1,067,373)</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8"/>
              </w:rPr>
              <w:t>(202,673)</w:t>
            </w: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(414,506)</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1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w w:val="87"/>
              </w:rPr>
              <w:t>1,246,342</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1,568,151</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87"/>
              </w:rPr>
              <w:t>1,043,669</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1,153,645</w:t>
            </w:r>
          </w:p>
        </w:tc>
      </w:tr>
      <w:tr>
        <w:trPr>
          <w:trHeight w:val="20"/>
        </w:trPr>
        <w:tc>
          <w:tcPr>
            <w:tcW w:w="7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received during the period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684,212</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679,531</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121,445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206,417</w:t>
            </w: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taxes paid (refunded) during the period</w:t>
            </w: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rPr>
              <w:t>14,250</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(67,722)</w:t>
            </w:r>
          </w:p>
        </w:tc>
      </w:tr>
      <w:tr>
        <w:trPr>
          <w:trHeight w:val="20"/>
        </w:trPr>
        <w:tc>
          <w:tcPr>
            <w:tcW w:w="7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acquired in settlement of loans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20,749</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16,545</w:t>
            </w: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Securitization of residential mortgage loans allocated to</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Available for sale investment securities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140,942</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Capitalized servicing rights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788</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from consolidation of securitization trusts:</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Loans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423,865</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securities — available for sale</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8"/>
              </w:rPr>
              <w:t>(360,471)</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Long-term borrowings</w:t>
            </w:r>
          </w:p>
        </w:tc>
        <w:tc>
          <w:tcPr>
            <w:tcW w:w="128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Arial" w:cs="Arial" w:eastAsia="Arial" w:hAnsi="Arial"/>
                <w:sz w:val="18"/>
                <w:szCs w:val="18"/>
                <w:color w:val="auto"/>
              </w:rPr>
              <w:t>65,419</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interest and other</w:t>
            </w:r>
          </w:p>
        </w:tc>
        <w:tc>
          <w:tcPr>
            <w:tcW w:w="1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2,025</w:t>
            </w:r>
          </w:p>
        </w:tc>
        <w:tc>
          <w:tcPr>
            <w:tcW w:w="1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405"/>
        </w:trPr>
        <w:tc>
          <w:tcPr>
            <w:tcW w:w="7200" w:type="dxa"/>
            <w:vAlign w:val="bottom"/>
            <w:gridSpan w:val="2"/>
          </w:tcPr>
          <w:p>
            <w:pPr>
              <w:jc w:val="right"/>
              <w:ind w:right="1250"/>
              <w:spacing w:after="0"/>
              <w:rPr>
                <w:sz w:val="20"/>
                <w:szCs w:val="20"/>
                <w:color w:val="auto"/>
              </w:rPr>
            </w:pPr>
            <w:r>
              <w:rPr>
                <w:rFonts w:ascii="Arial" w:cs="Arial" w:eastAsia="Arial" w:hAnsi="Arial"/>
                <w:sz w:val="18"/>
                <w:szCs w:val="18"/>
                <w:color w:val="auto"/>
              </w:rPr>
              <w:t>- 5 -</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71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829"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Accumulated</w:t>
            </w: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other</w:t>
            </w: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Common</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Additional</w:t>
            </w:r>
          </w:p>
        </w:tc>
        <w:tc>
          <w:tcPr>
            <w:tcW w:w="1040" w:type="dxa"/>
            <w:vAlign w:val="bottom"/>
          </w:tcPr>
          <w:p>
            <w:pPr>
              <w:spacing w:after="0"/>
              <w:rPr>
                <w:sz w:val="11"/>
                <w:szCs w:val="11"/>
                <w:color w:val="auto"/>
              </w:rPr>
            </w:pP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comprehensive</w:t>
            </w: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w w:val="99"/>
              </w:rPr>
              <w:t>Preferred</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Common</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stock</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paid-in</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Retained</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income</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Treasury</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6"/>
        </w:trPr>
        <w:tc>
          <w:tcPr>
            <w:tcW w:w="2460" w:type="dxa"/>
            <w:vAlign w:val="bottom"/>
            <w:gridSpan w:val="2"/>
          </w:tcPr>
          <w:p>
            <w:pPr>
              <w:spacing w:after="0"/>
              <w:rPr>
                <w:sz w:val="20"/>
                <w:szCs w:val="20"/>
                <w:color w:val="auto"/>
              </w:rPr>
            </w:pPr>
            <w:r>
              <w:rPr>
                <w:rFonts w:ascii="Arial" w:cs="Arial" w:eastAsia="Arial" w:hAnsi="Arial"/>
                <w:sz w:val="13"/>
                <w:szCs w:val="13"/>
                <w:i w:val="1"/>
                <w:iCs w:val="1"/>
                <w:color w:val="auto"/>
              </w:rPr>
              <w:t>In thousands, except per share</w:t>
            </w:r>
          </w:p>
        </w:tc>
        <w:tc>
          <w:tcPr>
            <w:tcW w:w="34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stock</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stock</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issuable</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capital</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earnings</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(loss), net</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stock</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Total</w:t>
            </w:r>
          </w:p>
        </w:tc>
      </w:tr>
      <w:tr>
        <w:trPr>
          <w:trHeight w:val="135"/>
        </w:trPr>
        <w:tc>
          <w:tcPr>
            <w:tcW w:w="20" w:type="dxa"/>
            <w:vAlign w:val="bottom"/>
          </w:tcPr>
          <w:p>
            <w:pPr>
              <w:spacing w:after="0"/>
              <w:rPr>
                <w:sz w:val="11"/>
                <w:szCs w:val="11"/>
                <w:color w:val="auto"/>
              </w:rPr>
            </w:pPr>
          </w:p>
        </w:tc>
        <w:tc>
          <w:tcPr>
            <w:tcW w:w="24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Balance-January 1, 2009</w:t>
            </w:r>
          </w:p>
        </w:tc>
        <w:tc>
          <w:tcPr>
            <w:tcW w:w="340" w:type="dxa"/>
            <w:vAlign w:val="bottom"/>
            <w:tcBorders>
              <w:top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567,463</w:t>
            </w:r>
          </w:p>
        </w:tc>
        <w:tc>
          <w:tcPr>
            <w:tcW w:w="1140" w:type="dxa"/>
            <w:vAlign w:val="bottom"/>
            <w:tcBorders>
              <w:top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60,198</w:t>
            </w:r>
          </w:p>
        </w:tc>
        <w:tc>
          <w:tcPr>
            <w:tcW w:w="1100" w:type="dxa"/>
            <w:vAlign w:val="bottom"/>
            <w:tcBorders>
              <w:top w:val="single" w:sz="8" w:color="auto"/>
            </w:tcBorders>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4,617</w:t>
            </w:r>
          </w:p>
        </w:tc>
        <w:tc>
          <w:tcPr>
            <w:tcW w:w="1140" w:type="dxa"/>
            <w:vAlign w:val="bottom"/>
            <w:tcBorders>
              <w:top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2,897,907</w:t>
            </w:r>
          </w:p>
        </w:tc>
        <w:tc>
          <w:tcPr>
            <w:tcW w:w="1040" w:type="dxa"/>
            <w:vAlign w:val="bottom"/>
            <w:tcBorders>
              <w:top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5,062,754</w:t>
            </w:r>
          </w:p>
        </w:tc>
        <w:tc>
          <w:tcPr>
            <w:tcW w:w="1260" w:type="dxa"/>
            <w:vAlign w:val="bottom"/>
            <w:tcBorders>
              <w:top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(736,881)</w:t>
            </w:r>
          </w:p>
        </w:tc>
        <w:tc>
          <w:tcPr>
            <w:tcW w:w="1260" w:type="dxa"/>
            <w:vAlign w:val="bottom"/>
            <w:tcBorders>
              <w:top w:val="single" w:sz="8" w:color="auto"/>
            </w:tcBorders>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(1,071,327)</w:t>
            </w:r>
          </w:p>
        </w:tc>
        <w:tc>
          <w:tcPr>
            <w:tcW w:w="780" w:type="dxa"/>
            <w:vAlign w:val="bottom"/>
            <w:tcBorders>
              <w:top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6,784,731</w:t>
            </w: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Comprehensive income:</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Net income</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64,221</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64,221</w:t>
            </w:r>
          </w:p>
        </w:tc>
      </w:tr>
      <w:tr>
        <w:trPr>
          <w:trHeight w:val="121"/>
        </w:trPr>
        <w:tc>
          <w:tcPr>
            <w:tcW w:w="20" w:type="dxa"/>
            <w:vAlign w:val="bottom"/>
          </w:tcPr>
          <w:p>
            <w:pPr>
              <w:spacing w:after="0"/>
              <w:rPr>
                <w:sz w:val="10"/>
                <w:szCs w:val="10"/>
                <w:color w:val="auto"/>
              </w:rPr>
            </w:pPr>
          </w:p>
        </w:tc>
        <w:tc>
          <w:tcPr>
            <w:tcW w:w="2440" w:type="dxa"/>
            <w:vAlign w:val="bottom"/>
          </w:tcPr>
          <w:p>
            <w:pPr>
              <w:ind w:left="200"/>
              <w:spacing w:after="0" w:line="121" w:lineRule="exact"/>
              <w:rPr>
                <w:sz w:val="20"/>
                <w:szCs w:val="20"/>
                <w:color w:val="auto"/>
              </w:rPr>
            </w:pPr>
            <w:r>
              <w:rPr>
                <w:rFonts w:ascii="Arial" w:cs="Arial" w:eastAsia="Arial" w:hAnsi="Arial"/>
                <w:sz w:val="13"/>
                <w:szCs w:val="13"/>
                <w:color w:val="auto"/>
                <w:w w:val="96"/>
              </w:rPr>
              <w:t>Other comprehensive income, net of tax</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400"/>
              <w:spacing w:after="0"/>
              <w:rPr>
                <w:sz w:val="20"/>
                <w:szCs w:val="20"/>
                <w:color w:val="auto"/>
              </w:rPr>
            </w:pPr>
            <w:r>
              <w:rPr>
                <w:rFonts w:ascii="Arial" w:cs="Arial" w:eastAsia="Arial" w:hAnsi="Arial"/>
                <w:sz w:val="13"/>
                <w:szCs w:val="13"/>
                <w:color w:val="auto"/>
              </w:rPr>
              <w:t>and reclassification adjustments:</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Unrealized gains on investment</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securities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110,839</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110,839</w:t>
            </w: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Defined benefit plans liability</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adjustment</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472</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472</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w w:val="93"/>
              </w:rPr>
              <w:t>Unrealized losses on terminated cash</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flow hedges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3,161</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3,161</w:t>
            </w: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178,693</w:t>
            </w:r>
          </w:p>
        </w:tc>
        <w:tc>
          <w:tcPr>
            <w:tcW w:w="1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Preferred stock cash dividends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(4,333)</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(4,333)</w:t>
            </w: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Amortization of preferred stock discount</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821</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(821)</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plans: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Compensation expense</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(50,437)</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72,160</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21,723</w:t>
            </w: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Exercises of stock options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(1,568)</w:t>
            </w:r>
          </w:p>
        </w:tc>
        <w:tc>
          <w:tcPr>
            <w:tcW w:w="10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360</w:t>
            </w: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(1,208)</w:t>
            </w: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Directors’ stock plan</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(278)</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600</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322</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Deferred compensation plans, net,</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including dividend equivalents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(429)</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(497)</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(50)</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1,025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r>
      <w:tr>
        <w:trPr>
          <w:trHeight w:val="121"/>
        </w:trPr>
        <w:tc>
          <w:tcPr>
            <w:tcW w:w="20" w:type="dxa"/>
            <w:vAlign w:val="bottom"/>
          </w:tcPr>
          <w:p>
            <w:pPr>
              <w:spacing w:after="0"/>
              <w:rPr>
                <w:sz w:val="10"/>
                <w:szCs w:val="10"/>
                <w:color w:val="auto"/>
              </w:rPr>
            </w:pPr>
          </w:p>
        </w:tc>
        <w:tc>
          <w:tcPr>
            <w:tcW w:w="2440" w:type="dxa"/>
            <w:vAlign w:val="bottom"/>
          </w:tcPr>
          <w:p>
            <w:pPr>
              <w:spacing w:after="0" w:line="121" w:lineRule="exact"/>
              <w:rPr>
                <w:sz w:val="20"/>
                <w:szCs w:val="20"/>
                <w:color w:val="auto"/>
              </w:rPr>
            </w:pPr>
            <w:r>
              <w:rPr>
                <w:rFonts w:ascii="Arial" w:cs="Arial" w:eastAsia="Arial" w:hAnsi="Arial"/>
                <w:sz w:val="13"/>
                <w:szCs w:val="13"/>
                <w:color w:val="auto"/>
                <w:w w:val="96"/>
              </w:rPr>
              <w:t>Common stock cash dividends — $0.70 per</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24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share</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(78,138)</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(78,138)</w:t>
            </w:r>
          </w:p>
        </w:tc>
      </w:tr>
      <w:tr>
        <w:trPr>
          <w:trHeight w:val="135"/>
        </w:trPr>
        <w:tc>
          <w:tcPr>
            <w:tcW w:w="20" w:type="dxa"/>
            <w:vAlign w:val="bottom"/>
          </w:tcPr>
          <w:p>
            <w:pPr>
              <w:spacing w:after="0"/>
              <w:rPr>
                <w:sz w:val="11"/>
                <w:szCs w:val="11"/>
                <w:color w:val="auto"/>
              </w:rPr>
            </w:pPr>
          </w:p>
        </w:tc>
        <w:tc>
          <w:tcPr>
            <w:tcW w:w="244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Balance -March 31, 2009</w:t>
            </w:r>
          </w:p>
        </w:tc>
        <w:tc>
          <w:tcPr>
            <w:tcW w:w="340" w:type="dxa"/>
            <w:vAlign w:val="bottom"/>
            <w:tcBorders>
              <w:bottom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568,284</w:t>
            </w:r>
          </w:p>
        </w:tc>
        <w:tc>
          <w:tcPr>
            <w:tcW w:w="114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60,198</w:t>
            </w:r>
          </w:p>
        </w:tc>
        <w:tc>
          <w:tcPr>
            <w:tcW w:w="1100" w:type="dxa"/>
            <w:vAlign w:val="bottom"/>
            <w:tcBorders>
              <w:bottom w:val="single" w:sz="8" w:color="auto"/>
            </w:tcBorders>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4,188</w:t>
            </w:r>
          </w:p>
        </w:tc>
        <w:tc>
          <w:tcPr>
            <w:tcW w:w="1140" w:type="dxa"/>
            <w:vAlign w:val="bottom"/>
            <w:tcBorders>
              <w:bottom w:val="single" w:sz="8" w:color="auto"/>
            </w:tcBorders>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2,845,127</w:t>
            </w:r>
          </w:p>
        </w:tc>
        <w:tc>
          <w:tcPr>
            <w:tcW w:w="104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5,043,633</w:t>
            </w:r>
          </w:p>
        </w:tc>
        <w:tc>
          <w:tcPr>
            <w:tcW w:w="1260" w:type="dxa"/>
            <w:vAlign w:val="bottom"/>
            <w:tcBorders>
              <w:bottom w:val="single" w:sz="8" w:color="auto"/>
            </w:tcBorders>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(622,409)</w:t>
            </w:r>
          </w:p>
        </w:tc>
        <w:tc>
          <w:tcPr>
            <w:tcW w:w="1260" w:type="dxa"/>
            <w:vAlign w:val="bottom"/>
            <w:tcBorders>
              <w:bottom w:val="single" w:sz="8" w:color="auto"/>
            </w:tcBorders>
            <w:shd w:val="clear" w:color="auto" w:fill="CCEEFF"/>
          </w:tcPr>
          <w:p>
            <w:pPr>
              <w:jc w:val="right"/>
              <w:ind w:right="337"/>
              <w:spacing w:after="0" w:line="135" w:lineRule="exact"/>
              <w:rPr>
                <w:sz w:val="20"/>
                <w:szCs w:val="20"/>
                <w:color w:val="auto"/>
              </w:rPr>
            </w:pPr>
            <w:r>
              <w:rPr>
                <w:rFonts w:ascii="Arial" w:cs="Arial" w:eastAsia="Arial" w:hAnsi="Arial"/>
                <w:sz w:val="13"/>
                <w:szCs w:val="13"/>
                <w:color w:val="auto"/>
              </w:rPr>
              <w:t>(997,182)</w:t>
            </w:r>
          </w:p>
        </w:tc>
        <w:tc>
          <w:tcPr>
            <w:tcW w:w="780" w:type="dxa"/>
            <w:vAlign w:val="bottom"/>
            <w:tcBorders>
              <w:bottom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6,901,839</w:t>
            </w: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264"/>
        </w:trPr>
        <w:tc>
          <w:tcPr>
            <w:tcW w:w="2460" w:type="dxa"/>
            <w:vAlign w:val="bottom"/>
            <w:gridSpan w:val="2"/>
          </w:tcPr>
          <w:p>
            <w:pPr>
              <w:spacing w:after="0"/>
              <w:rPr>
                <w:sz w:val="20"/>
                <w:szCs w:val="20"/>
                <w:color w:val="auto"/>
              </w:rPr>
            </w:pPr>
            <w:r>
              <w:rPr>
                <w:rFonts w:ascii="Arial" w:cs="Arial" w:eastAsia="Arial" w:hAnsi="Arial"/>
                <w:sz w:val="13"/>
                <w:szCs w:val="13"/>
                <w:color w:val="auto"/>
              </w:rPr>
              <w:t>Balance-January 1, 2010</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730,235</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60,198</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4,342</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2,442,947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5,076,884</w:t>
            </w:r>
          </w:p>
        </w:tc>
        <w:tc>
          <w:tcPr>
            <w:tcW w:w="1260" w:type="dxa"/>
            <w:vAlign w:val="bottom"/>
          </w:tcPr>
          <w:p>
            <w:pPr>
              <w:jc w:val="right"/>
              <w:ind w:right="197"/>
              <w:spacing w:after="0"/>
              <w:rPr>
                <w:sz w:val="20"/>
                <w:szCs w:val="20"/>
                <w:color w:val="auto"/>
              </w:rPr>
            </w:pPr>
            <w:r>
              <w:rPr>
                <w:rFonts w:ascii="Arial" w:cs="Arial" w:eastAsia="Arial" w:hAnsi="Arial"/>
                <w:sz w:val="13"/>
                <w:szCs w:val="13"/>
                <w:color w:val="auto"/>
              </w:rPr>
              <w:t>(335,997)</w:t>
            </w:r>
          </w:p>
        </w:tc>
        <w:tc>
          <w:tcPr>
            <w:tcW w:w="1260" w:type="dxa"/>
            <w:vAlign w:val="bottom"/>
          </w:tcPr>
          <w:p>
            <w:pPr>
              <w:jc w:val="right"/>
              <w:ind w:right="337"/>
              <w:spacing w:after="0"/>
              <w:rPr>
                <w:sz w:val="20"/>
                <w:szCs w:val="20"/>
                <w:color w:val="auto"/>
              </w:rPr>
            </w:pPr>
            <w:r>
              <w:rPr>
                <w:rFonts w:ascii="Arial" w:cs="Arial" w:eastAsia="Arial" w:hAnsi="Arial"/>
                <w:sz w:val="13"/>
                <w:szCs w:val="13"/>
                <w:color w:val="auto"/>
              </w:rPr>
              <w:t>(225,702)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7,752,907</w:t>
            </w: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Comprehensive income:</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Net income</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150,955</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150,955</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w w:val="96"/>
              </w:rPr>
              <w:t>Other comprehensive income, net of tax</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and reclassification adjustments: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rPr>
              <w:t>Unrealized gains on investment</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securities</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79,856</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79,856</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rPr>
              <w:t>Defined benefit plans liability</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adjustment</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1,030</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1,030</w:t>
            </w:r>
          </w:p>
        </w:tc>
      </w:tr>
      <w:tr>
        <w:trPr>
          <w:trHeight w:val="121"/>
        </w:trPr>
        <w:tc>
          <w:tcPr>
            <w:tcW w:w="20" w:type="dxa"/>
            <w:vAlign w:val="bottom"/>
          </w:tcPr>
          <w:p>
            <w:pPr>
              <w:spacing w:after="0"/>
              <w:rPr>
                <w:sz w:val="10"/>
                <w:szCs w:val="10"/>
                <w:color w:val="auto"/>
              </w:rPr>
            </w:pPr>
          </w:p>
        </w:tc>
        <w:tc>
          <w:tcPr>
            <w:tcW w:w="2440" w:type="dxa"/>
            <w:vAlign w:val="bottom"/>
          </w:tcPr>
          <w:p>
            <w:pPr>
              <w:ind w:left="400"/>
              <w:spacing w:after="0" w:line="121" w:lineRule="exact"/>
              <w:rPr>
                <w:sz w:val="20"/>
                <w:szCs w:val="20"/>
                <w:color w:val="auto"/>
              </w:rPr>
            </w:pPr>
            <w:r>
              <w:rPr>
                <w:rFonts w:ascii="Arial" w:cs="Arial" w:eastAsia="Arial" w:hAnsi="Arial"/>
                <w:sz w:val="13"/>
                <w:szCs w:val="13"/>
                <w:color w:val="auto"/>
                <w:w w:val="98"/>
              </w:rPr>
              <w:t>Unrealized gain on terminated cash</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20" w:type="dxa"/>
            <w:vAlign w:val="bottom"/>
          </w:tcPr>
          <w:p>
            <w:pPr>
              <w:spacing w:after="0"/>
              <w:rPr>
                <w:sz w:val="13"/>
                <w:szCs w:val="13"/>
                <w:color w:val="auto"/>
              </w:rPr>
            </w:pPr>
          </w:p>
        </w:tc>
        <w:tc>
          <w:tcPr>
            <w:tcW w:w="2440" w:type="dxa"/>
            <w:vAlign w:val="bottom"/>
          </w:tcPr>
          <w:p>
            <w:pPr>
              <w:ind w:left="600"/>
              <w:spacing w:after="0"/>
              <w:rPr>
                <w:sz w:val="20"/>
                <w:szCs w:val="20"/>
                <w:color w:val="auto"/>
              </w:rPr>
            </w:pPr>
            <w:r>
              <w:rPr>
                <w:rFonts w:ascii="Arial" w:cs="Arial" w:eastAsia="Arial" w:hAnsi="Arial"/>
                <w:sz w:val="13"/>
                <w:szCs w:val="13"/>
                <w:color w:val="auto"/>
              </w:rPr>
              <w:t>flow hedge</w:t>
            </w:r>
          </w:p>
        </w:tc>
        <w:tc>
          <w:tcPr>
            <w:tcW w:w="340" w:type="dxa"/>
            <w:vAlign w:val="bottom"/>
          </w:tcPr>
          <w:p>
            <w:pPr>
              <w:spacing w:after="0"/>
              <w:rPr>
                <w:sz w:val="13"/>
                <w:szCs w:val="13"/>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97"/>
              <w:spacing w:after="0"/>
              <w:rPr>
                <w:sz w:val="20"/>
                <w:szCs w:val="20"/>
                <w:color w:val="auto"/>
              </w:rPr>
            </w:pPr>
            <w:r>
              <w:rPr>
                <w:rFonts w:ascii="Arial" w:cs="Arial" w:eastAsia="Arial" w:hAnsi="Arial"/>
                <w:sz w:val="13"/>
                <w:szCs w:val="13"/>
                <w:color w:val="auto"/>
              </w:rPr>
              <w:t>(70)</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(70)</w:t>
            </w: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231,771</w:t>
            </w:r>
          </w:p>
        </w:tc>
        <w:tc>
          <w:tcPr>
            <w:tcW w:w="10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line="135" w:lineRule="exact"/>
              <w:rPr>
                <w:sz w:val="20"/>
                <w:szCs w:val="20"/>
                <w:color w:val="auto"/>
              </w:rPr>
            </w:pPr>
            <w:r>
              <w:rPr>
                <w:rFonts w:ascii="Arial" w:cs="Arial" w:eastAsia="Arial" w:hAnsi="Arial"/>
                <w:sz w:val="13"/>
                <w:szCs w:val="13"/>
                <w:color w:val="auto"/>
              </w:rPr>
              <w:t>Preferred stock cash dividends</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(10,056)</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(10,056)</w:t>
            </w: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Amortization of preferred stock discount</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2,534</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(2,534)</w:t>
            </w:r>
          </w:p>
        </w:tc>
        <w:tc>
          <w:tcPr>
            <w:tcW w:w="12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20" w:type="dxa"/>
            <w:vAlign w:val="bottom"/>
          </w:tcPr>
          <w:p>
            <w:pPr>
              <w:spacing w:after="0"/>
              <w:rPr>
                <w:sz w:val="10"/>
                <w:szCs w:val="10"/>
                <w:color w:val="auto"/>
              </w:rPr>
            </w:pPr>
          </w:p>
        </w:tc>
        <w:tc>
          <w:tcPr>
            <w:tcW w:w="2440" w:type="dxa"/>
            <w:vAlign w:val="bottom"/>
          </w:tcPr>
          <w:p>
            <w:pPr>
              <w:spacing w:after="0" w:line="121" w:lineRule="exact"/>
              <w:rPr>
                <w:sz w:val="20"/>
                <w:szCs w:val="20"/>
                <w:color w:val="auto"/>
              </w:rPr>
            </w:pPr>
            <w:r>
              <w:rPr>
                <w:rFonts w:ascii="Arial" w:cs="Arial" w:eastAsia="Arial" w:hAnsi="Arial"/>
                <w:sz w:val="13"/>
                <w:szCs w:val="13"/>
                <w:color w:val="auto"/>
                <w:w w:val="94"/>
              </w:rPr>
              <w:t>Repayment of management stock ownership</w:t>
            </w: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200"/>
              <w:spacing w:after="0"/>
              <w:rPr>
                <w:sz w:val="20"/>
                <w:szCs w:val="20"/>
                <w:color w:val="auto"/>
              </w:rPr>
            </w:pPr>
            <w:r>
              <w:rPr>
                <w:rFonts w:ascii="Arial" w:cs="Arial" w:eastAsia="Arial" w:hAnsi="Arial"/>
                <w:sz w:val="13"/>
                <w:szCs w:val="13"/>
                <w:color w:val="auto"/>
              </w:rPr>
              <w:t>program receivable</w:t>
            </w:r>
          </w:p>
        </w:tc>
        <w:tc>
          <w:tcPr>
            <w:tcW w:w="340" w:type="dxa"/>
            <w:vAlign w:val="bottom"/>
          </w:tcPr>
          <w:p>
            <w:pPr>
              <w:spacing w:after="0"/>
              <w:rPr>
                <w:sz w:val="12"/>
                <w:szCs w:val="12"/>
                <w:color w:val="auto"/>
              </w:rPr>
            </w:pPr>
          </w:p>
        </w:tc>
        <w:tc>
          <w:tcPr>
            <w:tcW w:w="9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rPr>
                <w:sz w:val="20"/>
                <w:szCs w:val="20"/>
                <w:color w:val="auto"/>
              </w:rPr>
            </w:pPr>
            <w:r>
              <w:rPr>
                <w:rFonts w:ascii="Arial" w:cs="Arial" w:eastAsia="Arial" w:hAnsi="Arial"/>
                <w:sz w:val="13"/>
                <w:szCs w:val="13"/>
                <w:color w:val="auto"/>
              </w:rPr>
              <w:t>155</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155</w:t>
            </w:r>
          </w:p>
        </w:tc>
      </w:tr>
      <w:tr>
        <w:trPr>
          <w:trHeight w:val="135"/>
        </w:trPr>
        <w:tc>
          <w:tcPr>
            <w:tcW w:w="20" w:type="dxa"/>
            <w:vAlign w:val="bottom"/>
          </w:tcPr>
          <w:p>
            <w:pPr>
              <w:spacing w:after="0"/>
              <w:rPr>
                <w:sz w:val="11"/>
                <w:szCs w:val="11"/>
                <w:color w:val="auto"/>
              </w:rPr>
            </w:pPr>
          </w:p>
        </w:tc>
        <w:tc>
          <w:tcPr>
            <w:tcW w:w="2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plans:</w:t>
            </w: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Compensation expense</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(23,297)</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43,138</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19,841</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w w:val="94"/>
              </w:rPr>
              <w:t>Exercises of stock options and vesting of</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restricted stock awards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(8,471)</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12,973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4,502</w:t>
            </w: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Directors’ stock plan</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(145)</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408</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263</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Deferred compensation plans, net,</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including dividend equivalents</w:t>
            </w: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(269)</w:t>
            </w:r>
          </w:p>
        </w:tc>
        <w:tc>
          <w:tcPr>
            <w:tcW w:w="11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(258)</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(48)</w:t>
            </w:r>
          </w:p>
        </w:tc>
        <w:tc>
          <w:tcPr>
            <w:tcW w:w="12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525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w:t>
            </w:r>
          </w:p>
        </w:tc>
      </w:tr>
      <w:tr>
        <w:trPr>
          <w:trHeight w:val="135"/>
        </w:trPr>
        <w:tc>
          <w:tcPr>
            <w:tcW w:w="20" w:type="dxa"/>
            <w:vAlign w:val="bottom"/>
          </w:tcPr>
          <w:p>
            <w:pPr>
              <w:spacing w:after="0"/>
              <w:rPr>
                <w:sz w:val="11"/>
                <w:szCs w:val="11"/>
                <w:color w:val="auto"/>
              </w:rPr>
            </w:pPr>
          </w:p>
        </w:tc>
        <w:tc>
          <w:tcPr>
            <w:tcW w:w="2440" w:type="dxa"/>
            <w:vAlign w:val="bottom"/>
          </w:tcPr>
          <w:p>
            <w:pPr>
              <w:ind w:left="200"/>
              <w:spacing w:after="0" w:line="135" w:lineRule="exact"/>
              <w:rPr>
                <w:sz w:val="20"/>
                <w:szCs w:val="20"/>
                <w:color w:val="auto"/>
              </w:rPr>
            </w:pPr>
            <w:r>
              <w:rPr>
                <w:rFonts w:ascii="Arial" w:cs="Arial" w:eastAsia="Arial" w:hAnsi="Arial"/>
                <w:sz w:val="13"/>
                <w:szCs w:val="13"/>
                <w:color w:val="auto"/>
              </w:rPr>
              <w:t>Other</w:t>
            </w:r>
          </w:p>
        </w:tc>
        <w:tc>
          <w:tcPr>
            <w:tcW w:w="340" w:type="dxa"/>
            <w:vAlign w:val="bottom"/>
          </w:tcPr>
          <w:p>
            <w:pPr>
              <w:spacing w:after="0"/>
              <w:rPr>
                <w:sz w:val="11"/>
                <w:szCs w:val="11"/>
                <w:color w:val="auto"/>
              </w:rPr>
            </w:pPr>
          </w:p>
        </w:tc>
        <w:tc>
          <w:tcPr>
            <w:tcW w:w="90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471</w:t>
            </w:r>
          </w:p>
        </w:tc>
        <w:tc>
          <w:tcPr>
            <w:tcW w:w="10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26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(516)</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(45)</w:t>
            </w:r>
          </w:p>
        </w:tc>
      </w:tr>
      <w:tr>
        <w:trPr>
          <w:trHeight w:val="121"/>
        </w:trPr>
        <w:tc>
          <w:tcPr>
            <w:tcW w:w="20" w:type="dxa"/>
            <w:vAlign w:val="bottom"/>
          </w:tcPr>
          <w:p>
            <w:pPr>
              <w:spacing w:after="0"/>
              <w:rPr>
                <w:sz w:val="10"/>
                <w:szCs w:val="10"/>
                <w:color w:val="auto"/>
              </w:rPr>
            </w:pPr>
          </w:p>
        </w:tc>
        <w:tc>
          <w:tcPr>
            <w:tcW w:w="2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Common stock cash dividends — $0.70 per</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share</w:t>
            </w:r>
          </w:p>
        </w:tc>
        <w:tc>
          <w:tcPr>
            <w:tcW w:w="3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(83,601)</w:t>
            </w:r>
          </w:p>
        </w:tc>
        <w:tc>
          <w:tcPr>
            <w:tcW w:w="126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(83,601)</w:t>
            </w:r>
          </w:p>
        </w:tc>
      </w:tr>
      <w:tr>
        <w:trPr>
          <w:trHeight w:val="142"/>
        </w:trPr>
        <w:tc>
          <w:tcPr>
            <w:tcW w:w="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Balance -March 31, 2010</w:t>
            </w:r>
          </w:p>
        </w:tc>
        <w:tc>
          <w:tcPr>
            <w:tcW w:w="34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732,769</w:t>
            </w:r>
          </w:p>
        </w:tc>
        <w:tc>
          <w:tcPr>
            <w:tcW w:w="114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60,198</w:t>
            </w:r>
          </w:p>
        </w:tc>
        <w:tc>
          <w:tcPr>
            <w:tcW w:w="110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3"/>
                <w:szCs w:val="13"/>
                <w:color w:val="auto"/>
              </w:rPr>
              <w:t>4,073</w:t>
            </w:r>
          </w:p>
        </w:tc>
        <w:tc>
          <w:tcPr>
            <w:tcW w:w="114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color w:val="auto"/>
              </w:rPr>
              <w:t>2,411,402</w:t>
            </w:r>
          </w:p>
        </w:tc>
        <w:tc>
          <w:tcPr>
            <w:tcW w:w="104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color w:val="auto"/>
              </w:rPr>
              <w:t>5,131,600</w:t>
            </w:r>
          </w:p>
        </w:tc>
        <w:tc>
          <w:tcPr>
            <w:tcW w:w="1260" w:type="dxa"/>
            <w:vAlign w:val="bottom"/>
            <w:tcBorders>
              <w:bottom w:val="single" w:sz="8" w:color="auto"/>
            </w:tcBorders>
          </w:tcPr>
          <w:p>
            <w:pPr>
              <w:jc w:val="right"/>
              <w:ind w:right="197"/>
              <w:spacing w:after="0" w:line="143" w:lineRule="exact"/>
              <w:rPr>
                <w:sz w:val="20"/>
                <w:szCs w:val="20"/>
                <w:color w:val="auto"/>
              </w:rPr>
            </w:pPr>
            <w:r>
              <w:rPr>
                <w:rFonts w:ascii="Arial" w:cs="Arial" w:eastAsia="Arial" w:hAnsi="Arial"/>
                <w:sz w:val="13"/>
                <w:szCs w:val="13"/>
                <w:color w:val="auto"/>
              </w:rPr>
              <w:t>(255,181)</w:t>
            </w:r>
          </w:p>
        </w:tc>
        <w:tc>
          <w:tcPr>
            <w:tcW w:w="1260" w:type="dxa"/>
            <w:vAlign w:val="bottom"/>
            <w:tcBorders>
              <w:bottom w:val="single" w:sz="8" w:color="auto"/>
            </w:tcBorders>
          </w:tcPr>
          <w:p>
            <w:pPr>
              <w:jc w:val="right"/>
              <w:ind w:right="337"/>
              <w:spacing w:after="0" w:line="143" w:lineRule="exact"/>
              <w:rPr>
                <w:sz w:val="20"/>
                <w:szCs w:val="20"/>
                <w:color w:val="auto"/>
              </w:rPr>
            </w:pPr>
            <w:r>
              <w:rPr>
                <w:rFonts w:ascii="Arial" w:cs="Arial" w:eastAsia="Arial" w:hAnsi="Arial"/>
                <w:sz w:val="13"/>
                <w:szCs w:val="13"/>
                <w:color w:val="auto"/>
              </w:rPr>
              <w:t>(169,174)</w:t>
            </w:r>
          </w:p>
        </w:tc>
        <w:tc>
          <w:tcPr>
            <w:tcW w:w="780" w:type="dxa"/>
            <w:vAlign w:val="bottom"/>
            <w:tcBorders>
              <w:bottom w:val="single" w:sz="8" w:color="auto"/>
            </w:tcBorders>
            <w:gridSpan w:val="2"/>
          </w:tcPr>
          <w:p>
            <w:pPr>
              <w:jc w:val="right"/>
              <w:ind w:right="100"/>
              <w:spacing w:after="0" w:line="143" w:lineRule="exact"/>
              <w:rPr>
                <w:sz w:val="20"/>
                <w:szCs w:val="20"/>
                <w:color w:val="auto"/>
              </w:rPr>
            </w:pPr>
            <w:r>
              <w:rPr>
                <w:rFonts w:ascii="Arial" w:cs="Arial" w:eastAsia="Arial" w:hAnsi="Arial"/>
                <w:sz w:val="13"/>
                <w:szCs w:val="13"/>
                <w:color w:val="auto"/>
              </w:rPr>
              <w:t>7,915,687</w:t>
            </w:r>
          </w:p>
        </w:tc>
      </w:tr>
      <w:tr>
        <w:trPr>
          <w:trHeight w:val="20"/>
        </w:trPr>
        <w:tc>
          <w:tcPr>
            <w:tcW w:w="2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SUMMARY OF CHANGES IN ALLOWANCE FOR CREDIT LOSSES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120" w:type="dxa"/>
            <w:vAlign w:val="bottom"/>
            <w:gridSpan w:val="2"/>
          </w:tcPr>
          <w:p>
            <w:pPr>
              <w:jc w:val="right"/>
              <w:ind w:right="632"/>
              <w:spacing w:after="0"/>
              <w:rPr>
                <w:sz w:val="20"/>
                <w:szCs w:val="20"/>
                <w:color w:val="auto"/>
              </w:rPr>
            </w:pPr>
            <w:r>
              <w:rPr>
                <w:rFonts w:ascii="Arial" w:cs="Arial" w:eastAsia="Arial" w:hAnsi="Arial"/>
                <w:sz w:val="14"/>
                <w:szCs w:val="14"/>
                <w:color w:val="auto"/>
              </w:rPr>
              <w:t>Three months ended March 31</w:t>
            </w: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560" w:type="dxa"/>
            <w:vAlign w:val="bottom"/>
          </w:tcPr>
          <w:p>
            <w:pPr>
              <w:jc w:val="right"/>
              <w:ind w:right="754"/>
              <w:spacing w:after="0"/>
              <w:rPr>
                <w:sz w:val="20"/>
                <w:szCs w:val="20"/>
                <w:color w:val="auto"/>
              </w:rPr>
            </w:pPr>
            <w:r>
              <w:rPr>
                <w:rFonts w:ascii="Arial" w:cs="Arial" w:eastAsia="Arial" w:hAnsi="Arial"/>
                <w:sz w:val="14"/>
                <w:szCs w:val="14"/>
                <w:color w:val="auto"/>
              </w:rPr>
              <w:t>2010</w:t>
            </w:r>
          </w:p>
        </w:tc>
        <w:tc>
          <w:tcPr>
            <w:tcW w:w="1560" w:type="dxa"/>
            <w:vAlign w:val="bottom"/>
          </w:tcPr>
          <w:p>
            <w:pPr>
              <w:jc w:val="right"/>
              <w:ind w:right="432"/>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56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$ 878,022</w:t>
            </w:r>
          </w:p>
        </w:tc>
        <w:tc>
          <w:tcPr>
            <w:tcW w:w="156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787,904</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5560" w:type="dxa"/>
            <w:vAlign w:val="bottom"/>
          </w:tcPr>
          <w:p>
            <w:pPr>
              <w:jc w:val="right"/>
              <w:ind w:right="574"/>
              <w:spacing w:after="0"/>
              <w:rPr>
                <w:sz w:val="20"/>
                <w:szCs w:val="20"/>
                <w:color w:val="auto"/>
              </w:rPr>
            </w:pPr>
            <w:r>
              <w:rPr>
                <w:rFonts w:ascii="Arial" w:cs="Arial" w:eastAsia="Arial" w:hAnsi="Arial"/>
                <w:sz w:val="18"/>
                <w:szCs w:val="18"/>
                <w:color w:val="auto"/>
              </w:rPr>
              <w:t>105,000</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158,000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Consolidation of loan securitization trusts</w:t>
            </w:r>
          </w:p>
        </w:tc>
        <w:tc>
          <w:tcPr>
            <w:tcW w:w="55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2,752</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charge-offs</w:t>
            </w:r>
          </w:p>
        </w:tc>
        <w:tc>
          <w:tcPr>
            <w:tcW w:w="55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55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(106,039)</w:t>
            </w:r>
          </w:p>
        </w:tc>
        <w:tc>
          <w:tcPr>
            <w:tcW w:w="15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(110,605)</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556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11,530</w:t>
            </w: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10,672</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net charge-offs</w:t>
            </w:r>
          </w:p>
        </w:tc>
        <w:tc>
          <w:tcPr>
            <w:tcW w:w="55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rPr>
              <w:t>(94,509)</w:t>
            </w:r>
          </w:p>
        </w:tc>
        <w:tc>
          <w:tcPr>
            <w:tcW w:w="15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(99,933)</w:t>
            </w: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w:t>
            </w:r>
          </w:p>
        </w:tc>
        <w:tc>
          <w:tcPr>
            <w:tcW w:w="5560" w:type="dxa"/>
            <w:vAlign w:val="bottom"/>
            <w:tcBorders>
              <w:bottom w:val="single" w:sz="8" w:color="auto"/>
            </w:tcBorders>
          </w:tcPr>
          <w:p>
            <w:pPr>
              <w:jc w:val="right"/>
              <w:ind w:right="574"/>
              <w:spacing w:after="0"/>
              <w:rPr>
                <w:sz w:val="20"/>
                <w:szCs w:val="20"/>
                <w:color w:val="auto"/>
              </w:rPr>
            </w:pPr>
            <w:r>
              <w:rPr>
                <w:rFonts w:ascii="Arial" w:cs="Arial" w:eastAsia="Arial" w:hAnsi="Arial"/>
                <w:sz w:val="18"/>
                <w:szCs w:val="18"/>
                <w:color w:val="auto"/>
              </w:rPr>
              <w:t>$ 891,265</w:t>
            </w: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845,971</w:t>
            </w: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560" w:type="dxa"/>
            <w:vAlign w:val="bottom"/>
          </w:tcPr>
          <w:p>
            <w:pPr>
              <w:jc w:val="right"/>
              <w:ind w:right="3914"/>
              <w:spacing w:after="0"/>
              <w:rPr>
                <w:sz w:val="20"/>
                <w:szCs w:val="20"/>
                <w:color w:val="auto"/>
              </w:rPr>
            </w:pPr>
            <w:r>
              <w:rPr>
                <w:rFonts w:ascii="Arial" w:cs="Arial" w:eastAsia="Arial" w:hAnsi="Arial"/>
                <w:sz w:val="18"/>
                <w:szCs w:val="18"/>
                <w:color w:val="auto"/>
              </w:rPr>
              <w:t>- 6 -</w:t>
            </w:r>
          </w:p>
        </w:tc>
        <w:tc>
          <w:tcPr>
            <w:tcW w:w="15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2009 Annual Report, except as described below. In the opinion of management, all adjustments necessary for a fair presentation have been made and were all of a normal recurring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August 28, 2009, M&amp;T Bank, M&amp;T’s principal banking subsidiary, entered into a purchase and assumption agreement with the Federal Deposit Insurance Corporation (“FDIC”) to assume all of the deposits and acquire certain assets of Bradford Bank (“Bradford”), Baltimore, Maryland. As part of the transaction, M&amp;T Bank entered into a loss-share arrangement with the FDIC whereby M&amp;T Bank will be reimbursed by the FDIC for most losses it incurs on the acquired loan portfolio. The transaction has been accounted for using the acquisition method of accounting and, accordingly, assets acquired and liabilities assumed were recorded at estimated fair value on the acquisition date. Assets acquired totaled approximately $469 million, including $302 million of loans, and liabilities assumed aggregated $440 million, including $361 million of deposits. In accordance with GAAP, M&amp;T Bank recorded an after-tax gain on the transaction of $18 million ($29 million before taxes) during the third quarter of 2009. There was no goodwill or other intangible assets recorded in connection with this transaction. The Bradford acquisition transaction did not have a material impact on the Company’s consolidated statement of position or results of operations.</w:t>
      </w:r>
    </w:p>
    <w:p>
      <w:pPr>
        <w:spacing w:after="0" w:line="8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May 23, 2009, M&amp;T acquired all of the outstanding common stock of Provident Bankshares Corporation (“Provident”), a bank holding company based in Baltimore, Maryland, in a stock-for-stock transaction. Provident Bank, Provident’s banking subsidiary, was merged into M&amp;T Bank on that date. The results of operations acquired in the Provident transaction have been included in the Company’s financial results since May 23, 2009. Provident common shareholders received .171625 shares of M&amp;T common stock in exchange for each share of Provident common stock, resulting in M&amp;T issuing a total of 5,838,308 common shares with an acquisition date fair value of $273 million. In addition, based on the merger agreement, outstanding and unexercised options to purchase Provident common stock were converted into options to purchase the common stock of M&amp;T. Those options had an estimated fair value of $1 million. In total, the purchase price was approximately $274 million based on the fair value on the acquisition date of M&amp;T common stock exchanged and the options to purchase M&amp;T common stock. Holders of Provident’s preferred stock were issued shares of new Series B and Series C Preferred Stock of M&amp;T having substantially identical terms. That preferred stock and warrants to purchase common stock associated with the Series C Preferred Stock added $162 million to M&amp;T’s stockholders’ equity.</w:t>
      </w:r>
    </w:p>
    <w:p>
      <w:pPr>
        <w:spacing w:after="0" w:line="70"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Provident transaction has been accounted for using the acquisition method of accounting and, accordingly, assets acquired, liabilities assumed and consideration exchanged were recorded at estimated fair value on the acquisition date. Assets acquired totaled $6.3 billion, including $4.0 billion of loans and leases (including approximately $1.7 billion of commercial real estate loans, $1.4 billion of consumer loans, $700 million of commercial loans and leases and $300 million of residential real estate loans) and $1.0 billion of investment securities. Liabilities assumed were $5.9 billion, including $5.1 billion of deposits. The transaction added $436 million to M&amp;T’s stockholders’ equity, including $280 million of common equity and $156 million of preferred equity. In connection with the acquisition, the Company recorded $332 million of goodwill and $63 million of core deposit intangible. The core deposit intangible is being amortized over seven years using an accelerated method. The acquisition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Provident expanded the Company’s presence in the Mid-Atlantic area, gave the Company the second largest deposit share in Maryland, and tripled the Company’s presence in Virginia.</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For such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the impact of estimated credit losses and other factors, such as prepayments. In accordance with GAAP, there was no carry over of Provident’s previously established allowance for credit losses. Subsequent decreases in the expected cash flows will require the Company to evaluate the need for additions to the Company’s allowance for credit losses. Subsequent improvements in expected cash flows will result in the recognition of additional interest income over the then remaining lives of the loans.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conjunction with the Provident acquisition, the acquired loan portfolio was accounted for at fair value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May 23, 2009</w:t>
            </w:r>
          </w:p>
        </w:tc>
      </w:tr>
      <w:tr>
        <w:trPr>
          <w:trHeight w:val="142"/>
        </w:trPr>
        <w:tc>
          <w:tcPr>
            <w:tcW w:w="20" w:type="dxa"/>
            <w:vAlign w:val="bottom"/>
          </w:tcPr>
          <w:p>
            <w:pPr>
              <w:spacing w:after="0"/>
              <w:rPr>
                <w:sz w:val="12"/>
                <w:szCs w:val="12"/>
                <w:color w:val="auto"/>
              </w:rPr>
            </w:pPr>
          </w:p>
        </w:tc>
        <w:tc>
          <w:tcPr>
            <w:tcW w:w="104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principal and interest at acquisition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$ 5,465,167</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Contractual cash flows not expected to be collected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(832,115)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Expected cash flows at acquisition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4,633,052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Interest component of expected cash flows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(595,685)</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Basis in acquired loans at acquisition – estimated fair value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$ 4,037,367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Interest income on acquired loans for the first quarter of 2010 was approximately $39 million. The outstanding principal balance and the carrying amount of these loans that is included in the consolidated balance sheet at March 31, 2010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5020" w:type="dxa"/>
            <w:vAlign w:val="bottom"/>
          </w:tcPr>
          <w:p>
            <w:pPr>
              <w:jc w:val="right"/>
              <w:spacing w:after="0"/>
              <w:rPr>
                <w:sz w:val="20"/>
                <w:szCs w:val="20"/>
                <w:color w:val="auto"/>
              </w:rPr>
            </w:pPr>
            <w:r>
              <w:rPr>
                <w:rFonts w:ascii="Arial" w:cs="Arial" w:eastAsia="Arial" w:hAnsi="Arial"/>
                <w:sz w:val="14"/>
                <w:szCs w:val="14"/>
                <w:color w:val="auto"/>
              </w:rPr>
              <w:t>(in thousands)</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5020" w:type="dxa"/>
            <w:vAlign w:val="bottom"/>
          </w:tcPr>
          <w:p>
            <w:pPr>
              <w:jc w:val="right"/>
              <w:spacing w:after="0"/>
              <w:rPr>
                <w:sz w:val="20"/>
                <w:szCs w:val="20"/>
                <w:color w:val="auto"/>
              </w:rPr>
            </w:pPr>
            <w:r>
              <w:rPr>
                <w:rFonts w:ascii="Arial" w:cs="Arial" w:eastAsia="Arial" w:hAnsi="Arial"/>
                <w:sz w:val="18"/>
                <w:szCs w:val="18"/>
                <w:color w:val="auto"/>
              </w:rPr>
              <w:t>$3,729,361</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Carrying amount</w:t>
            </w:r>
          </w:p>
        </w:tc>
        <w:tc>
          <w:tcPr>
            <w:tcW w:w="5020" w:type="dxa"/>
            <w:vAlign w:val="bottom"/>
          </w:tcPr>
          <w:p>
            <w:pPr>
              <w:jc w:val="right"/>
              <w:spacing w:after="0"/>
              <w:rPr>
                <w:sz w:val="20"/>
                <w:szCs w:val="20"/>
                <w:color w:val="auto"/>
              </w:rPr>
            </w:pPr>
            <w:r>
              <w:rPr>
                <w:rFonts w:ascii="Arial" w:cs="Arial" w:eastAsia="Arial" w:hAnsi="Arial"/>
                <w:sz w:val="18"/>
                <w:szCs w:val="18"/>
                <w:color w:val="auto"/>
              </w:rPr>
              <w:t>3,508,231</w:t>
            </w:r>
          </w:p>
        </w:tc>
      </w:tr>
    </w:tbl>
    <w:p>
      <w:pPr>
        <w:spacing w:after="0" w:line="94"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Receivables (including loans and investment securities) obtained in the acquisition of Provident for which there was specific evidence of credit deterioration as of the acquisition date and for which it was probable that the Company would be unable to collect all contractually required principal and interest payments represent less than .25% of the Company’s assets and, accordingly, are not considered material.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following table presents certain pro forma information for the quarter ended March 31, 2009 as if Provident had been acquired on January 1, 2009. These results combine the historical results of Provident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January 1, 2009. In particular, no adjustments have been made to eliminate the amount of Provident’s provision for credit losses of $36 million in the quarter ended March 31, 2009 or the impact of other-than-temporary impairment losses recognized by Provident of $87 million in the quarter ended March 31, 2009 that would not have been necessary had the acquired loans and investment securities been recorded at fair value as of the beginning of 2009. Furthermore, expenses related to systems conversions and other costs of integration are only included to the extent they were incurred during the first quarter of 2009.</w:t>
      </w:r>
    </w:p>
    <w:p>
      <w:pPr>
        <w:spacing w:after="0" w:line="84"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Additionally, the Company expects to achieve further operating cost savings and other business synergies as a result of the acquisition which are not reflected in the pro forma amounts that follow.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Pro forma</w:t>
            </w:r>
          </w:p>
        </w:tc>
      </w:tr>
      <w:tr>
        <w:trPr>
          <w:trHeight w:val="149"/>
        </w:trPr>
        <w:tc>
          <w:tcPr>
            <w:tcW w:w="3460" w:type="dxa"/>
            <w:vAlign w:val="bottom"/>
          </w:tcPr>
          <w:p>
            <w:pPr>
              <w:spacing w:after="0"/>
              <w:rPr>
                <w:sz w:val="12"/>
                <w:szCs w:val="12"/>
                <w:color w:val="auto"/>
              </w:rPr>
            </w:pPr>
          </w:p>
        </w:tc>
        <w:tc>
          <w:tcPr>
            <w:tcW w:w="3580" w:type="dxa"/>
            <w:vAlign w:val="bottom"/>
            <w:gridSpan w:val="3"/>
          </w:tcPr>
          <w:p>
            <w:pPr>
              <w:jc w:val="center"/>
              <w:ind w:left="2316"/>
              <w:spacing w:after="0" w:line="149" w:lineRule="exact"/>
              <w:rPr>
                <w:sz w:val="20"/>
                <w:szCs w:val="20"/>
                <w:color w:val="auto"/>
              </w:rPr>
            </w:pPr>
            <w:r>
              <w:rPr>
                <w:rFonts w:ascii="Arial" w:cs="Arial" w:eastAsia="Arial" w:hAnsi="Arial"/>
                <w:sz w:val="14"/>
                <w:szCs w:val="14"/>
                <w:color w:val="auto"/>
                <w:w w:val="91"/>
              </w:rPr>
              <w:t>Three months ended</w:t>
            </w:r>
          </w:p>
        </w:tc>
      </w:tr>
      <w:tr>
        <w:trPr>
          <w:trHeight w:val="167"/>
        </w:trPr>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March 31, 2009</w:t>
            </w:r>
          </w:p>
        </w:tc>
      </w:tr>
      <w:tr>
        <w:trPr>
          <w:trHeight w:val="128"/>
        </w:trPr>
        <w:tc>
          <w:tcPr>
            <w:tcW w:w="3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1"/>
                <w:szCs w:val="1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Total revenues</w:t>
            </w:r>
          </w:p>
        </w:tc>
        <w:tc>
          <w:tcPr>
            <w:tcW w:w="3560" w:type="dxa"/>
            <w:vAlign w:val="bottom"/>
            <w:gridSpan w:val="2"/>
          </w:tcPr>
          <w:p>
            <w:pPr>
              <w:jc w:val="right"/>
              <w:ind w:right="88"/>
              <w:spacing w:after="0"/>
              <w:rPr>
                <w:sz w:val="20"/>
                <w:szCs w:val="20"/>
                <w:color w:val="auto"/>
              </w:rPr>
            </w:pPr>
            <w:r>
              <w:rPr>
                <w:rFonts w:ascii="Arial" w:cs="Arial" w:eastAsia="Arial" w:hAnsi="Arial"/>
                <w:sz w:val="18"/>
                <w:szCs w:val="18"/>
                <w:color w:val="auto"/>
              </w:rPr>
              <w:t>$   886,968</w:t>
            </w:r>
          </w:p>
        </w:tc>
        <w:tc>
          <w:tcPr>
            <w:tcW w:w="2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tcPr>
          <w:p>
            <w:pPr>
              <w:jc w:val="right"/>
              <w:ind w:right="28"/>
              <w:spacing w:after="0"/>
              <w:rPr>
                <w:sz w:val="20"/>
                <w:szCs w:val="20"/>
                <w:color w:val="auto"/>
              </w:rPr>
            </w:pPr>
            <w:r>
              <w:rPr>
                <w:rFonts w:ascii="Arial" w:cs="Arial" w:eastAsia="Arial" w:hAnsi="Arial"/>
                <w:sz w:val="18"/>
                <w:szCs w:val="18"/>
                <w:color w:val="auto"/>
              </w:rPr>
              <w:t>(8,498)</w:t>
            </w:r>
          </w:p>
        </w:tc>
        <w:tc>
          <w:tcPr>
            <w:tcW w:w="20" w:type="dxa"/>
            <w:vAlign w:val="bottom"/>
          </w:tcPr>
          <w:p>
            <w:pPr>
              <w:spacing w:after="0"/>
              <w:rPr>
                <w:sz w:val="20"/>
                <w:szCs w:val="20"/>
                <w:color w:val="auto"/>
              </w:rPr>
            </w:pPr>
          </w:p>
        </w:tc>
      </w:tr>
    </w:tbl>
    <w:p>
      <w:pPr>
        <w:spacing w:after="0" w:line="9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Merger-related expenses associated with the then pending acquisition of Provident for systems conversions and other costs of integrating and conforming acquired operations with and into the Company were $2 million during the three-month period ended March 31, 2009. There were no similar expenses in 2010’s initial quarter.</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color w:val="auto"/>
                <w:w w:val="90"/>
              </w:rPr>
              <w:t>Gross</w:t>
            </w: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w w:val="98"/>
              </w:rPr>
              <w:t>Amortized</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unrealized</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gains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losses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8"/>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40" w:type="dxa"/>
            <w:vAlign w:val="bottom"/>
            <w:gridSpan w:val="4"/>
          </w:tcPr>
          <w:p>
            <w:pPr>
              <w:ind w:left="62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98,431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70,888</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922</w:t>
            </w: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3,545,040</w:t>
            </w:r>
          </w:p>
        </w:tc>
        <w:tc>
          <w:tcPr>
            <w:tcW w:w="700" w:type="dxa"/>
            <w:vAlign w:val="bottom"/>
          </w:tcPr>
          <w:p>
            <w:pPr>
              <w:jc w:val="right"/>
              <w:spacing w:after="0"/>
              <w:rPr>
                <w:sz w:val="20"/>
                <w:szCs w:val="20"/>
                <w:color w:val="auto"/>
              </w:rPr>
            </w:pPr>
            <w:r>
              <w:rPr>
                <w:rFonts w:ascii="Arial" w:cs="Arial" w:eastAsia="Arial" w:hAnsi="Arial"/>
                <w:sz w:val="18"/>
                <w:szCs w:val="18"/>
                <w:color w:val="auto"/>
              </w:rPr>
              <w:t>145,435</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3,688,910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1,958,635</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11,111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305,405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31,356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102,282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32,241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310,996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22,965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48,270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143,430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6,261,058</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221,072</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384,864</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6,097,266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205,054</w:t>
            </w:r>
          </w:p>
        </w:tc>
        <w:tc>
          <w:tcPr>
            <w:tcW w:w="700" w:type="dxa"/>
            <w:vAlign w:val="bottom"/>
          </w:tcPr>
          <w:p>
            <w:pPr>
              <w:jc w:val="right"/>
              <w:spacing w:after="0"/>
              <w:rPr>
                <w:sz w:val="20"/>
                <w:szCs w:val="20"/>
                <w:color w:val="auto"/>
              </w:rPr>
            </w:pPr>
            <w:r>
              <w:rPr>
                <w:rFonts w:ascii="Arial" w:cs="Arial" w:eastAsia="Arial" w:hAnsi="Arial"/>
                <w:sz w:val="18"/>
                <w:szCs w:val="18"/>
                <w:color w:val="auto"/>
              </w:rPr>
              <w:t>1,448</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951,007</w:t>
            </w:r>
          </w:p>
        </w:tc>
        <w:tc>
          <w:tcPr>
            <w:tcW w:w="700" w:type="dxa"/>
            <w:vAlign w:val="bottom"/>
          </w:tcPr>
          <w:p>
            <w:pPr>
              <w:jc w:val="right"/>
              <w:spacing w:after="0"/>
              <w:rPr>
                <w:sz w:val="20"/>
                <w:szCs w:val="20"/>
                <w:color w:val="auto"/>
              </w:rPr>
            </w:pPr>
            <w:r>
              <w:rPr>
                <w:rFonts w:ascii="Arial" w:cs="Arial" w:eastAsia="Arial" w:hAnsi="Arial"/>
                <w:sz w:val="18"/>
                <w:szCs w:val="18"/>
                <w:color w:val="auto"/>
              </w:rPr>
              <w:t>2,439</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mortgage-backed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341,618</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137,442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12,126</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1,509,805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140,020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1,373,672</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497,575</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8,268,438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224,959</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524,884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7,968,513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102,755</w:t>
            </w:r>
          </w:p>
        </w:tc>
        <w:tc>
          <w:tcPr>
            <w:tcW w:w="700" w:type="dxa"/>
            <w:vAlign w:val="bottom"/>
          </w:tcPr>
          <w:p>
            <w:pPr>
              <w:jc w:val="right"/>
              <w:spacing w:after="0"/>
              <w:rPr>
                <w:sz w:val="20"/>
                <w:szCs w:val="20"/>
                <w:color w:val="auto"/>
              </w:rPr>
            </w:pPr>
            <w:r>
              <w:rPr>
                <w:rFonts w:ascii="Arial" w:cs="Arial" w:eastAsia="Arial" w:hAnsi="Arial"/>
                <w:sz w:val="18"/>
                <w:szCs w:val="18"/>
                <w:color w:val="auto"/>
              </w:rPr>
              <w:t>1,988</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3,777,642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131,407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3,902,282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2,438,353</w:t>
            </w:r>
          </w:p>
        </w:tc>
        <w:tc>
          <w:tcPr>
            <w:tcW w:w="700" w:type="dxa"/>
            <w:vAlign w:val="bottom"/>
          </w:tcPr>
          <w:p>
            <w:pPr>
              <w:jc w:val="right"/>
              <w:spacing w:after="0"/>
              <w:rPr>
                <w:sz w:val="20"/>
                <w:szCs w:val="20"/>
                <w:color w:val="auto"/>
              </w:rPr>
            </w:pPr>
            <w:r>
              <w:rPr>
                <w:rFonts w:ascii="Arial" w:cs="Arial" w:eastAsia="Arial" w:hAnsi="Arial"/>
                <w:sz w:val="18"/>
                <w:szCs w:val="18"/>
                <w:color w:val="auto"/>
              </w:rPr>
              <w:t>9,630</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383,079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33,133</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103,159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23,389</w:t>
            </w:r>
          </w:p>
        </w:tc>
        <w:tc>
          <w:tcPr>
            <w:tcW w:w="700" w:type="dxa"/>
            <w:vAlign w:val="bottom"/>
          </w:tcPr>
          <w:p>
            <w:pPr>
              <w:jc w:val="right"/>
              <w:spacing w:after="0"/>
              <w:rPr>
                <w:sz w:val="20"/>
                <w:szCs w:val="20"/>
                <w:color w:val="auto"/>
              </w:rPr>
            </w:pPr>
            <w:r>
              <w:rPr>
                <w:rFonts w:ascii="Arial" w:cs="Arial" w:eastAsia="Arial" w:hAnsi="Arial"/>
                <w:sz w:val="18"/>
                <w:szCs w:val="18"/>
                <w:color w:val="auto"/>
              </w:rPr>
              <w:t>11,202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309,514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16,851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170,985</w:t>
            </w: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6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6,997,009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190,438</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483,069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6,704,378</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203,825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352,195</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150,993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11,587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567,607</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6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152,543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508,624</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8,073,240</w:t>
            </w: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191,857</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635,612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7,629,485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0" w:type="dxa"/>
            <w:vAlign w:val="bottom"/>
            <w:vMerge w:val="restart"/>
          </w:tcPr>
          <w:p>
            <w:pPr>
              <w:jc w:val="right"/>
              <w:ind w:right="250"/>
              <w:spacing w:after="0"/>
              <w:rPr>
                <w:sz w:val="20"/>
                <w:szCs w:val="20"/>
                <w:color w:val="auto"/>
              </w:rPr>
            </w:pPr>
            <w:r>
              <w:rPr>
                <w:rFonts w:ascii="Arial" w:cs="Arial" w:eastAsia="Arial" w:hAnsi="Arial"/>
                <w:sz w:val="18"/>
                <w:szCs w:val="18"/>
                <w:color w:val="auto"/>
              </w:rPr>
              <w:t>- 10 -</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Gross realized gains on investment securities were $1.2 million and $854 thousand for the quarters ended March 31, 2010 and 2009, respectively. Gross realized losses on investment securities were $777 thousand and $279 thousand for the quarters ended March 31, 2010 and 2009, respectively. The Company recognized $27 million (pre-tax) of other-than-temporary impairment losses during the quarter ended March 31, 2010 related to twenty privately issued residential mortgage-backed securities with an amortized cost basis (before impairment charge) of $423 million. The impairment charges were recognized in light of deterioration of housing values in the residential real estate market and continued high levels of delinquencies and charge-offs of underlying mortgage loans collateralizing these securities. The other-than-temporary impairment losses recognized in the consolidated statement of income were net of $3 million (pre-tax) of unrealized losses classified in accumulated other comprehensive income for the same securities. The $27 million loss represents management’s estimate of credit losses inherent in the securities considering projected cash flows using assumptions of delinquency rates, loss severities, and other estimates of future collateral performance. During the first quarter of 2009, the Company recognized $32 million (pre-tax) of other-than-temporary impairment losses related to seven privately issued residential mortgage-backed securities with a cost basis of $91 million. The following table displays changes in credit losses for debt securities recognized in earnings for the quarters ended March 31, 2010 and March 31,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7"/>
          </w:tcPr>
          <w:p>
            <w:pPr>
              <w:jc w:val="right"/>
              <w:ind w:right="240"/>
              <w:spacing w:after="0"/>
              <w:rPr>
                <w:sz w:val="20"/>
                <w:szCs w:val="20"/>
                <w:color w:val="auto"/>
              </w:rPr>
            </w:pPr>
            <w:r>
              <w:rPr>
                <w:rFonts w:ascii="Arial" w:cs="Arial" w:eastAsia="Arial" w:hAnsi="Arial"/>
                <w:sz w:val="14"/>
                <w:szCs w:val="14"/>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2010</w:t>
            </w: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6"/>
          </w:tcPr>
          <w:p>
            <w:pPr>
              <w:jc w:val="right"/>
              <w:ind w:right="740"/>
              <w:spacing w:after="0" w:line="142" w:lineRule="exact"/>
              <w:rPr>
                <w:sz w:val="20"/>
                <w:szCs w:val="20"/>
                <w:color w:val="auto"/>
              </w:rPr>
            </w:pPr>
            <w:r>
              <w:rPr>
                <w:rFonts w:ascii="Arial" w:cs="Arial" w:eastAsia="Arial" w:hAnsi="Arial"/>
                <w:sz w:val="14"/>
                <w:szCs w:val="14"/>
                <w:color w:val="auto"/>
                <w:w w:val="94"/>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$ 284,513</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right"/>
              <w:ind w:right="540"/>
              <w:spacing w:after="0"/>
              <w:rPr>
                <w:sz w:val="20"/>
                <w:szCs w:val="20"/>
                <w:color w:val="auto"/>
              </w:rPr>
            </w:pPr>
            <w:r>
              <w:rPr>
                <w:rFonts w:ascii="Arial" w:cs="Arial" w:eastAsia="Arial" w:hAnsi="Arial"/>
                <w:sz w:val="18"/>
                <w:szCs w:val="18"/>
                <w:color w:val="auto"/>
              </w:rPr>
              <w:t>26,802</w:t>
            </w: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$ 308,017</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gridSpan w:val="3"/>
            <w:vMerge w:val="restart"/>
          </w:tcPr>
          <w:p>
            <w:pPr>
              <w:jc w:val="right"/>
              <w:spacing w:after="0"/>
              <w:rPr>
                <w:sz w:val="20"/>
                <w:szCs w:val="20"/>
                <w:color w:val="auto"/>
              </w:rPr>
            </w:pPr>
            <w:r>
              <w:rPr>
                <w:rFonts w:ascii="Arial" w:cs="Arial" w:eastAsia="Arial" w:hAnsi="Arial"/>
                <w:sz w:val="18"/>
                <w:szCs w:val="18"/>
                <w:color w:val="auto"/>
                <w:w w:val="93"/>
              </w:rPr>
              <w:t>At March 31, 2010, the amortized cost and estimated fair value of debt securities by contractual maturity were as follows:</w:t>
            </w: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4"/>
                <w:szCs w:val="14"/>
                <w:color w:val="auto"/>
              </w:rPr>
              <w:t>Amortized</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w w:val="93"/>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cost</w:t>
            </w:r>
          </w:p>
        </w:tc>
        <w:tc>
          <w:tcPr>
            <w:tcW w:w="6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4"/>
          </w:tcPr>
          <w:p>
            <w:pPr>
              <w:ind w:left="500"/>
              <w:spacing w:after="0" w:line="142"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73,255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58,498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33,697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35,292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417,147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582,597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583,271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5,535,031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5,378,376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$ 6,117,628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5,961,647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38,355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38,581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8,394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123,439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123,181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46,992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217,180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1,292,625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1,156,501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$ 1,509,805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1,373,672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320" w:type="dxa"/>
            <w:vAlign w:val="bottom"/>
            <w:vMerge w:val="restart"/>
          </w:tcPr>
          <w:p>
            <w:pPr>
              <w:jc w:val="right"/>
              <w:ind w:right="299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21"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 summary of investment securities that as of March 31, 2010 and December 31, 2009 had been in a continuous unrealized loss position for less than twelve months and those that had been in a continuous unrealized loss position for twelve months or longer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color w:val="auto"/>
              </w:rPr>
              <w:t>Less than 12 months</w:t>
            </w:r>
          </w:p>
        </w:tc>
        <w:tc>
          <w:tcPr>
            <w:tcW w:w="224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gridSpan w:val="4"/>
          </w:tcPr>
          <w:p>
            <w:pPr>
              <w:ind w:left="120"/>
              <w:spacing w:after="0"/>
              <w:rPr>
                <w:sz w:val="20"/>
                <w:szCs w:val="20"/>
                <w:color w:val="auto"/>
              </w:rPr>
            </w:pPr>
            <w:r>
              <w:rPr>
                <w:rFonts w:ascii="Arial" w:cs="Arial" w:eastAsia="Arial" w:hAnsi="Arial"/>
                <w:sz w:val="14"/>
                <w:szCs w:val="14"/>
                <w:color w:val="auto"/>
              </w:rPr>
              <w:t>Fair value</w:t>
            </w:r>
          </w:p>
        </w:tc>
        <w:tc>
          <w:tcPr>
            <w:tcW w:w="1460" w:type="dxa"/>
            <w:vAlign w:val="bottom"/>
            <w:gridSpan w:val="3"/>
          </w:tcPr>
          <w:p>
            <w:pPr>
              <w:jc w:val="center"/>
              <w:ind w:right="800"/>
              <w:spacing w:after="0"/>
              <w:rPr>
                <w:sz w:val="20"/>
                <w:szCs w:val="20"/>
                <w:color w:val="auto"/>
              </w:rPr>
            </w:pPr>
            <w:r>
              <w:rPr>
                <w:rFonts w:ascii="Arial" w:cs="Arial" w:eastAsia="Arial" w:hAnsi="Arial"/>
                <w:sz w:val="14"/>
                <w:szCs w:val="14"/>
                <w:color w:val="auto"/>
                <w:w w:val="85"/>
              </w:rPr>
              <w:t>losses</w:t>
            </w:r>
          </w:p>
        </w:tc>
        <w:tc>
          <w:tcPr>
            <w:tcW w:w="138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72"/>
              </w:rPr>
              <w:t>(in thousands)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3,881</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573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134,590</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829,778</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(2,653)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5,620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75,195</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1,500,335</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25,125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Collateralized debt obligations</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12,199</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(8,419)</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3,669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1,763</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102,428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4,900</w:t>
            </w:r>
          </w:p>
        </w:tc>
        <w:tc>
          <w:tcPr>
            <w:tcW w:w="660" w:type="dxa"/>
            <w:vAlign w:val="bottom"/>
          </w:tcPr>
          <w:p>
            <w:pPr>
              <w:spacing w:after="0"/>
              <w:rPr>
                <w:sz w:val="18"/>
                <w:szCs w:val="18"/>
                <w:color w:val="auto"/>
              </w:rPr>
            </w:pP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7,037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$ 1,062,306</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(16,018)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1,648,764</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color w:val="auto"/>
              </w:rPr>
              <w:t>Less than 12 months</w:t>
            </w:r>
          </w:p>
        </w:tc>
        <w:tc>
          <w:tcPr>
            <w:tcW w:w="2240" w:type="dxa"/>
            <w:vAlign w:val="bottom"/>
            <w:gridSpan w:val="4"/>
          </w:tcPr>
          <w:p>
            <w:pPr>
              <w:jc w:val="right"/>
              <w:ind w:right="70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losses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Fair value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jc w:val="right"/>
              <w:ind w:right="573"/>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660" w:type="dxa"/>
            <w:vAlign w:val="bottom"/>
            <w:gridSpan w:val="3"/>
          </w:tcPr>
          <w:p>
            <w:pPr>
              <w:ind w:left="156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6,265</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572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145,572</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issued or guaranteed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685,319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(6,460)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19,379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Privately issued residential</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98,312</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1,705,222</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Privately issued commercial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25,166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13,046</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(10,218)</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3,598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5,786</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138,705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7,449</w:t>
            </w:r>
          </w:p>
        </w:tc>
        <w:tc>
          <w:tcPr>
            <w:tcW w:w="660" w:type="dxa"/>
            <w:vAlign w:val="bottom"/>
          </w:tcPr>
          <w:p>
            <w:pPr>
              <w:spacing w:after="0"/>
              <w:rPr>
                <w:sz w:val="18"/>
                <w:szCs w:val="18"/>
                <w:color w:val="auto"/>
              </w:rPr>
            </w:pP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23,159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$ 961,749</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(23,079)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1,920,005</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owned 748 individual investment securities with aggregate gross unrealized losses of $525 million at March 31, 2010.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$443 million of the unrealized losses pertain to privately issued residential mortgage-backed securities with a cost basis of $2.0 billion. The Company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$56 million of unrealized losses on trust preferred securities issued by financial institutions and securities backed by trust preferred securities issued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institutions having a cost basis of $171 million. Based on a review of each of the remaining securities in the investment securities portfolio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2010, with the exception of the aforementioned securities for which other-than-temporary impairment losses were recognized,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concluded that it expected to recover the amortized cost basis of its investment. As of March 31, 2010, the Company does not intend to sell nor is 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anticipated that it would be required to sell any of its impaired investment securities. At March 31, 2010, the Company has not identified events or changes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circumstances which may have a significant adverse effect on the fair value of the $498 million of cost method investment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had $1.2 billion of fixed and floating rate junior subordinated deferrable interest debentures (“Junior Subordinated Debentures”) outstanding at March 31, 2010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capital.</w:t>
      </w:r>
    </w:p>
    <w:p>
      <w:pPr>
        <w:spacing w:after="0" w:line="5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1"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various trusts the Junior Subordinated Debentures associated with Capital Securities had financial statement carrying values of $1.2 billion at each of March 31, 2010 and December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5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Carrying</w:t>
            </w: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issued and</w:t>
            </w:r>
          </w:p>
        </w:tc>
        <w:tc>
          <w:tcPr>
            <w:tcW w:w="5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5"/>
              </w:rPr>
              <w:t>value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outstanding</w:t>
            </w:r>
          </w:p>
        </w:tc>
        <w:tc>
          <w:tcPr>
            <w:tcW w:w="54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color w:val="auto"/>
                <w:w w:val="92"/>
              </w:rPr>
              <w:t>March 31, 2010</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December 31, 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560" w:type="dxa"/>
            <w:vAlign w:val="bottom"/>
            <w:gridSpan w:val="3"/>
          </w:tcPr>
          <w:p>
            <w:pPr>
              <w:jc w:val="right"/>
              <w:ind w:right="579"/>
              <w:spacing w:after="0" w:line="142" w:lineRule="exact"/>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rPr>
              <w:t>Fixed Rate Cumulative Perpetual Preferred Stock, Series A, $1,000 liquidation preference per</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share, 600,000 shares authorized</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600,000</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$ 574,057</w:t>
            </w:r>
          </w:p>
        </w:tc>
        <w:tc>
          <w:tcPr>
            <w:tcW w:w="5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572,580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Series B (b)</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w w:val="98"/>
              </w:rPr>
              <w:t>Series B Mandatory Convertible Non-cumulative Preferred Stock, $1,000 liquidation preference</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per share, 26,500 shares authorized</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26,500</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26,500</w:t>
            </w:r>
          </w:p>
        </w:tc>
        <w:tc>
          <w:tcPr>
            <w:tcW w:w="5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color w:val="auto"/>
                <w:w w:val="99"/>
              </w:rPr>
              <w:t>Fixed Rate Cumulative Perpetual Preferred Stock, Series C, $1,000 liquidation preference per</w:t>
            </w: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share, 151,500 shares authorized</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151,500</w:t>
            </w:r>
          </w:p>
        </w:tc>
        <w:tc>
          <w:tcPr>
            <w:tcW w:w="1420" w:type="dxa"/>
            <w:vAlign w:val="bottom"/>
            <w:gridSpan w:val="2"/>
          </w:tcPr>
          <w:p>
            <w:pPr>
              <w:jc w:val="right"/>
              <w:ind w:right="48"/>
              <w:spacing w:after="0"/>
              <w:rPr>
                <w:sz w:val="20"/>
                <w:szCs w:val="20"/>
                <w:color w:val="auto"/>
              </w:rPr>
            </w:pPr>
            <w:r>
              <w:rPr>
                <w:rFonts w:ascii="Arial" w:cs="Arial" w:eastAsia="Arial" w:hAnsi="Arial"/>
                <w:sz w:val="18"/>
                <w:szCs w:val="18"/>
                <w:color w:val="auto"/>
              </w:rPr>
              <w:t>132,212</w:t>
            </w:r>
          </w:p>
        </w:tc>
        <w:tc>
          <w:tcPr>
            <w:tcW w:w="5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131,155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40"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were assumed in the Provident acquisition and a new Series B Preferred Stock was designated. In the aggregate, the shares of Series B Preferred Stock will automatically convert into 433,148 shares of M&amp;T common stock on April 1, 2011, but shareholders may elect to convert their preferred shares at any time prior to that date. Dividends, if declared, are payable quarterly in arrears at a rate of 10% per year.</w:t>
      </w:r>
    </w:p>
    <w:p>
      <w:pPr>
        <w:spacing w:after="0" w:line="125" w:lineRule="exact"/>
        <w:rPr>
          <w:rFonts w:ascii="Arial" w:cs="Arial" w:eastAsia="Arial" w:hAnsi="Arial"/>
          <w:sz w:val="17"/>
          <w:szCs w:val="17"/>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2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were assumed in the Provident acquisition and a new Series C Preferred Stock was designated.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plans and other postretirement benefits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Other</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Pension</w:t>
            </w: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center"/>
              <w:ind w:left="334"/>
              <w:spacing w:after="0" w:line="149" w:lineRule="exact"/>
              <w:rPr>
                <w:sz w:val="20"/>
                <w:szCs w:val="20"/>
                <w:color w:val="auto"/>
              </w:rPr>
            </w:pPr>
            <w:r>
              <w:rPr>
                <w:rFonts w:ascii="Arial" w:cs="Arial" w:eastAsia="Arial" w:hAnsi="Arial"/>
                <w:sz w:val="14"/>
                <w:szCs w:val="14"/>
                <w:color w:val="auto"/>
                <w:w w:val="93"/>
              </w:rPr>
              <w:t>postretirement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benefits</w:t>
            </w:r>
          </w:p>
        </w:tc>
        <w:tc>
          <w:tcPr>
            <w:tcW w:w="6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9"/>
              </w:rPr>
              <w:t>benefits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40" w:type="dxa"/>
            <w:vAlign w:val="bottom"/>
            <w:gridSpan w:val="6"/>
          </w:tcPr>
          <w:p>
            <w:pPr>
              <w:jc w:val="center"/>
              <w:ind w:right="880"/>
              <w:spacing w:after="0" w:line="123" w:lineRule="exact"/>
              <w:rPr>
                <w:sz w:val="20"/>
                <w:szCs w:val="20"/>
                <w:color w:val="auto"/>
              </w:rPr>
            </w:pPr>
            <w:r>
              <w:rPr>
                <w:rFonts w:ascii="Arial" w:cs="Arial" w:eastAsia="Arial" w:hAnsi="Arial"/>
                <w:sz w:val="14"/>
                <w:szCs w:val="14"/>
                <w:color w:val="auto"/>
                <w:w w:val="92"/>
              </w:rPr>
              <w:t>Three months ended March 31,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left="436"/>
              <w:spacing w:after="0" w:line="142"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4,875</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628"/>
              <w:spacing w:after="0"/>
              <w:rPr>
                <w:sz w:val="20"/>
                <w:szCs w:val="20"/>
                <w:color w:val="auto"/>
              </w:rPr>
            </w:pPr>
            <w:r>
              <w:rPr>
                <w:rFonts w:ascii="Arial" w:cs="Arial" w:eastAsia="Arial" w:hAnsi="Arial"/>
                <w:sz w:val="18"/>
                <w:szCs w:val="18"/>
                <w:color w:val="auto"/>
              </w:rPr>
              <w:t>12,029</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11,015</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w w:val="95"/>
              </w:rPr>
              <w:t>(12,788)</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(11,475)</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568"/>
              <w:spacing w:after="0"/>
              <w:rPr>
                <w:sz w:val="20"/>
                <w:szCs w:val="20"/>
                <w:color w:val="auto"/>
              </w:rPr>
            </w:pPr>
            <w:r>
              <w:rPr>
                <w:rFonts w:ascii="Arial" w:cs="Arial" w:eastAsia="Arial" w:hAnsi="Arial"/>
                <w:sz w:val="18"/>
                <w:szCs w:val="18"/>
                <w:color w:val="auto"/>
              </w:rPr>
              <w:t>(1,650)</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3,321</w:t>
            </w: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$11,690,000 and $10,774,000 for the three months ended March 31, 2010 and 2009,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color w:val="auto"/>
                <w:w w:val="89"/>
              </w:rPr>
              <w:t>Three months ended</w:t>
            </w:r>
          </w:p>
        </w:tc>
        <w:tc>
          <w:tcPr>
            <w:tcW w:w="0" w:type="dxa"/>
            <w:vAlign w:val="bottom"/>
          </w:tcPr>
          <w:p>
            <w:pPr>
              <w:spacing w:after="0"/>
              <w:rPr>
                <w:sz w:val="1"/>
                <w:szCs w:val="1"/>
                <w:color w:val="auto"/>
              </w:rPr>
            </w:pPr>
          </w:p>
        </w:tc>
      </w:tr>
      <w:tr>
        <w:trPr>
          <w:trHeight w:val="182"/>
        </w:trPr>
        <w:tc>
          <w:tcPr>
            <w:tcW w:w="8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2010</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March 31,</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4"/>
          </w:tcPr>
          <w:p>
            <w:pPr>
              <w:jc w:val="center"/>
              <w:ind w:right="200"/>
              <w:spacing w:after="0" w:line="142" w:lineRule="exact"/>
              <w:rPr>
                <w:sz w:val="20"/>
                <w:szCs w:val="20"/>
                <w:color w:val="auto"/>
              </w:rPr>
            </w:pPr>
            <w:r>
              <w:rPr>
                <w:rFonts w:ascii="Arial" w:cs="Arial" w:eastAsia="Arial" w:hAnsi="Arial"/>
                <w:sz w:val="14"/>
                <w:szCs w:val="14"/>
                <w:color w:val="auto"/>
                <w:w w:val="91"/>
              </w:rPr>
              <w:t>(in thousands, except per share)</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stockholders: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w w:val="89"/>
              </w:rPr>
              <w:t>150,955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64,221</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w w:val="95"/>
              </w:rPr>
              <w:t>(10,056)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8880" w:type="dxa"/>
            <w:vAlign w:val="bottom"/>
          </w:tcPr>
          <w:p>
            <w:pPr>
              <w:ind w:left="620"/>
              <w:spacing w:after="0"/>
              <w:rPr>
                <w:sz w:val="20"/>
                <w:szCs w:val="20"/>
                <w:color w:val="auto"/>
              </w:rPr>
            </w:pPr>
            <w:r>
              <w:rPr>
                <w:rFonts w:ascii="Arial" w:cs="Arial" w:eastAsia="Arial" w:hAnsi="Arial"/>
                <w:sz w:val="18"/>
                <w:szCs w:val="18"/>
                <w:color w:val="auto"/>
              </w:rPr>
              <w:t>Amortization of preferred stock discount (a)</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(2,558)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138,341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55,322</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(1,913)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to common stockholders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136,428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432"/>
        </w:trPr>
        <w:tc>
          <w:tcPr>
            <w:tcW w:w="888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shares outstanding (including common stock issuable) and unvested stock-based compensation awards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119,324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111,298</w:t>
            </w:r>
          </w:p>
        </w:tc>
        <w:tc>
          <w:tcPr>
            <w:tcW w:w="0" w:type="dxa"/>
            <w:vAlign w:val="bottom"/>
          </w:tcPr>
          <w:p>
            <w:pPr>
              <w:spacing w:after="0"/>
              <w:rPr>
                <w:sz w:val="1"/>
                <w:szCs w:val="1"/>
                <w:color w:val="auto"/>
              </w:rPr>
            </w:pPr>
          </w:p>
        </w:tc>
      </w:tr>
      <w:tr>
        <w:trPr>
          <w:trHeight w:val="216"/>
        </w:trPr>
        <w:tc>
          <w:tcPr>
            <w:tcW w:w="888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(1,559)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117,765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432"/>
        </w:trPr>
        <w:tc>
          <w:tcPr>
            <w:tcW w:w="8880" w:type="dxa"/>
            <w:vAlign w:val="bottom"/>
          </w:tcPr>
          <w:p>
            <w:pPr>
              <w:ind w:left="220"/>
              <w:spacing w:after="0"/>
              <w:rPr>
                <w:sz w:val="20"/>
                <w:szCs w:val="20"/>
                <w:color w:val="auto"/>
              </w:rPr>
            </w:pPr>
            <w:r>
              <w:rPr>
                <w:rFonts w:ascii="Arial" w:cs="Arial" w:eastAsia="Arial" w:hAnsi="Arial"/>
                <w:sz w:val="18"/>
                <w:szCs w:val="18"/>
                <w:color w:val="auto"/>
              </w:rPr>
              <w:t>Basic earnings per common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rPr>
              <w:t>1.16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common share,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color w:val="auto"/>
                <w:w w:val="89"/>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color w:val="auto"/>
              </w:rPr>
              <w:t>2010</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March 31,</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(in thousands, except per share)</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138,341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(1,910)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136,431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432"/>
        </w:trPr>
        <w:tc>
          <w:tcPr>
            <w:tcW w:w="884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and unvested stock-based compensation awards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119,324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111,298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Less: Unvested stock-based compensation awards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48"/>
              <w:spacing w:after="0"/>
              <w:rPr>
                <w:sz w:val="20"/>
                <w:szCs w:val="20"/>
                <w:color w:val="auto"/>
              </w:rPr>
            </w:pPr>
            <w:r>
              <w:rPr>
                <w:rFonts w:ascii="Arial" w:cs="Arial" w:eastAsia="Arial" w:hAnsi="Arial"/>
                <w:sz w:val="18"/>
                <w:szCs w:val="18"/>
                <w:color w:val="auto"/>
              </w:rPr>
              <w:t>(1,559)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Plus: Incremental shares from assumed conversion of stock-based compensation awards and convertible preferred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Adjusted weighted-average shares outstanding</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08"/>
              <w:spacing w:after="0"/>
              <w:rPr>
                <w:sz w:val="20"/>
                <w:szCs w:val="20"/>
                <w:color w:val="auto"/>
              </w:rPr>
            </w:pPr>
            <w:r>
              <w:rPr>
                <w:rFonts w:ascii="Arial" w:cs="Arial" w:eastAsia="Arial" w:hAnsi="Arial"/>
                <w:sz w:val="18"/>
                <w:szCs w:val="18"/>
                <w:color w:val="auto"/>
                <w:w w:val="89"/>
              </w:rPr>
              <w:t>118,256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1.15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first quarters of 2010 and 2009, the Company issued stock-based compensation awards in the form of restricted stock and restricted stock units, which, in accordance with GAAP, are considered participating securities.</w:t>
      </w:r>
    </w:p>
    <w:p>
      <w:pPr>
        <w:spacing w:after="0" w:line="79"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common stock representing approximately 11.9 million and 15.0 million common shares during the three-month periods ended March 31, 2010 and 2009, respectively, were not included in the computations of diluted earnings per common share because the effect on those periods would have been antidilutive.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221" w:lineRule="exact"/>
        <w:rPr>
          <w:sz w:val="20"/>
          <w:szCs w:val="20"/>
          <w:color w:val="auto"/>
        </w:rPr>
      </w:pPr>
    </w:p>
    <w:p>
      <w:pPr>
        <w:ind w:left="8540"/>
        <w:spacing w:after="0"/>
        <w:rPr>
          <w:sz w:val="20"/>
          <w:szCs w:val="20"/>
          <w:color w:val="auto"/>
        </w:rPr>
      </w:pPr>
      <w:r>
        <w:rPr>
          <w:rFonts w:ascii="Arial" w:cs="Arial" w:eastAsia="Arial" w:hAnsi="Arial"/>
          <w:sz w:val="14"/>
          <w:szCs w:val="14"/>
          <w:color w:val="auto"/>
        </w:rPr>
        <w:t>Three months ended March 31, 2010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9"/>
              </w:rPr>
              <w:t>Before-tax</w:t>
            </w:r>
          </w:p>
        </w:tc>
        <w:tc>
          <w:tcPr>
            <w:tcW w:w="3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800"/>
              <w:spacing w:after="0" w:line="123" w:lineRule="exact"/>
              <w:rPr>
                <w:sz w:val="20"/>
                <w:szCs w:val="20"/>
                <w:color w:val="auto"/>
              </w:rPr>
            </w:pPr>
            <w:r>
              <w:rPr>
                <w:rFonts w:ascii="Arial" w:cs="Arial" w:eastAsia="Arial" w:hAnsi="Arial"/>
                <w:sz w:val="14"/>
                <w:szCs w:val="14"/>
                <w:color w:val="auto"/>
              </w:rPr>
              <w:t>Income</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taxes</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w w:val="99"/>
              </w:rPr>
              <w:t>Available for sale (“AFS”) investment securities with other-than-temporary impairment (“OTTI”):</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(29,487)</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11,574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(26,802)</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10,483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(2,685)</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1,091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439"/>
        </w:trPr>
        <w:tc>
          <w:tcPr>
            <w:tcW w:w="750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101,892</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(39,882)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(145)</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(29,487)</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11,574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131,524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(51,500)</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unrealized holding losses to income during period on investment securities</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held to maturity (“HTM”)</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0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131,186</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(51,330)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79,856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 on terminated cash flow hedge to income</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(666)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$ 132,770</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(51,954)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80,816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5520"/>
              <w:spacing w:after="0"/>
              <w:rPr>
                <w:sz w:val="20"/>
                <w:szCs w:val="20"/>
                <w:color w:val="auto"/>
              </w:rPr>
            </w:pPr>
            <w:r>
              <w:rPr>
                <w:rFonts w:ascii="Arial" w:cs="Arial" w:eastAsia="Arial" w:hAnsi="Arial"/>
                <w:sz w:val="18"/>
                <w:szCs w:val="18"/>
                <w:color w:val="auto"/>
              </w:rPr>
              <w:t>- 18 -</w:t>
            </w: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2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4"/>
                <w:szCs w:val="14"/>
                <w:color w:val="auto"/>
                <w:w w:val="92"/>
              </w:rPr>
              <w:t>Three months ended March 31, 2009</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04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w w:val="99"/>
              </w:rPr>
              <w:t>Before-tax</w:t>
            </w:r>
          </w:p>
        </w:tc>
        <w:tc>
          <w:tcPr>
            <w:tcW w:w="340" w:type="dxa"/>
            <w:vAlign w:val="bottom"/>
          </w:tcPr>
          <w:p>
            <w:pPr>
              <w:spacing w:after="0"/>
              <w:rPr>
                <w:sz w:val="10"/>
                <w:szCs w:val="10"/>
                <w:color w:val="auto"/>
              </w:rPr>
            </w:pPr>
          </w:p>
        </w:tc>
        <w:tc>
          <w:tcPr>
            <w:tcW w:w="1440" w:type="dxa"/>
            <w:vAlign w:val="bottom"/>
            <w:gridSpan w:val="3"/>
          </w:tcPr>
          <w:p>
            <w:pPr>
              <w:jc w:val="center"/>
              <w:ind w:right="760"/>
              <w:spacing w:after="0" w:line="123" w:lineRule="exact"/>
              <w:rPr>
                <w:sz w:val="20"/>
                <w:szCs w:val="20"/>
                <w:color w:val="auto"/>
              </w:rPr>
            </w:pPr>
            <w:r>
              <w:rPr>
                <w:rFonts w:ascii="Arial" w:cs="Arial" w:eastAsia="Arial" w:hAnsi="Arial"/>
                <w:sz w:val="14"/>
                <w:szCs w:val="14"/>
                <w:color w:val="auto"/>
                <w:w w:val="95"/>
              </w:rPr>
              <w:t>Income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taxes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AFS investment securities with OTTI:</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(62,808)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24,566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OTTI charges recognized in net income</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(32,199)</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losses on investment securities with OTTI</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(30,609)</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11,976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(18,633)</w:t>
            </w:r>
          </w:p>
        </w:tc>
        <w:tc>
          <w:tcPr>
            <w:tcW w:w="0" w:type="dxa"/>
            <w:vAlign w:val="bottom"/>
          </w:tcPr>
          <w:p>
            <w:pPr>
              <w:spacing w:after="0"/>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AFS investment securities – all other:</w:t>
            </w: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during period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147,229</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(58,559)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securities with OTTI charges during the period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(62,808)</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24,566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(83,115)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126,895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unrealized holding losses to income during period on investment securities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previously transferred from AFS to HTM</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3,456</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80" w:type="dxa"/>
            <w:vAlign w:val="bottom"/>
            <w:gridSpan w:val="2"/>
          </w:tcPr>
          <w:p>
            <w:pPr>
              <w:spacing w:after="0"/>
              <w:rPr>
                <w:sz w:val="20"/>
                <w:szCs w:val="20"/>
                <w:color w:val="auto"/>
              </w:rPr>
            </w:pPr>
            <w:r>
              <w:rPr>
                <w:rFonts w:ascii="Arial" w:cs="Arial" w:eastAsia="Arial" w:hAnsi="Arial"/>
                <w:sz w:val="18"/>
                <w:szCs w:val="18"/>
                <w:color w:val="auto"/>
              </w:rPr>
              <w:t>Net unrealized gains on investment securities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182,857</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(72,018)</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110,839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on terminated cash flow hedges to income</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5,185</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color w:val="auto"/>
              </w:rPr>
              <w:t>Defined benefit plans liability adjustment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775</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$ 188,817</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(74,345)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114,472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5520"/>
              <w:spacing w:after="0"/>
              <w:rPr>
                <w:sz w:val="20"/>
                <w:szCs w:val="20"/>
                <w:color w:val="auto"/>
              </w:rPr>
            </w:pPr>
            <w:r>
              <w:rPr>
                <w:rFonts w:ascii="Arial" w:cs="Arial" w:eastAsia="Arial" w:hAnsi="Arial"/>
                <w:sz w:val="18"/>
                <w:szCs w:val="18"/>
                <w:color w:val="auto"/>
              </w:rPr>
              <w:t>- 19 -</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vMerge w:val="restart"/>
          </w:tcPr>
          <w:p>
            <w:pPr>
              <w:jc w:val="right"/>
              <w:ind w:right="780"/>
              <w:spacing w:after="0"/>
              <w:rPr>
                <w:sz w:val="20"/>
                <w:szCs w:val="20"/>
                <w:color w:val="auto"/>
              </w:rPr>
            </w:pPr>
            <w:r>
              <w:rPr>
                <w:rFonts w:ascii="Arial" w:cs="Arial" w:eastAsia="Arial" w:hAnsi="Arial"/>
                <w:sz w:val="14"/>
                <w:szCs w:val="14"/>
                <w:color w:val="auto"/>
              </w:rPr>
              <w:t>Investment securities</w:t>
            </w:r>
          </w:p>
        </w:tc>
        <w:tc>
          <w:tcPr>
            <w:tcW w:w="32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Cash</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Defined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rPr>
              <w:t>flow</w:t>
            </w:r>
          </w:p>
        </w:tc>
        <w:tc>
          <w:tcPr>
            <w:tcW w:w="14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5"/>
              </w:rPr>
              <w:t>benefit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3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With OTTI</w:t>
            </w:r>
          </w:p>
        </w:tc>
        <w:tc>
          <w:tcPr>
            <w:tcW w:w="7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All other</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7"/>
              </w:rPr>
              <w:t>hedges</w:t>
            </w:r>
          </w:p>
        </w:tc>
        <w:tc>
          <w:tcPr>
            <w:tcW w:w="14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89"/>
              </w:rPr>
              <w:t>plans</w:t>
            </w: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74"/>
              </w:rPr>
              <w:t>(in thousands)</w:t>
            </w: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(76,772)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(142,853)</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674</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(117,046)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(335,997)</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(1,594)</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81,450</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(70)</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1,030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80,816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(78,366)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(61,403)</w:t>
            </w:r>
          </w:p>
        </w:tc>
        <w:tc>
          <w:tcPr>
            <w:tcW w:w="16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604</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(116,016)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(255,181)</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20" w:type="dxa"/>
            <w:vAlign w:val="bottom"/>
            <w:gridSpan w:val="2"/>
          </w:tcPr>
          <w:p>
            <w:pPr>
              <w:spacing w:after="0"/>
              <w:rPr>
                <w:sz w:val="20"/>
                <w:szCs w:val="20"/>
                <w:color w:val="auto"/>
              </w:rPr>
            </w:pPr>
            <w:r>
              <w:rPr>
                <w:rFonts w:ascii="Arial" w:cs="Arial" w:eastAsia="Arial" w:hAnsi="Arial"/>
                <w:sz w:val="18"/>
                <w:szCs w:val="18"/>
                <w:color w:val="auto"/>
              </w:rPr>
              <w:t>Balance — January 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(556,668)</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(5,883)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(174,330)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(736,881)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(18,633)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129,472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114,472</w:t>
            </w: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gridSpan w:val="2"/>
          </w:tcPr>
          <w:p>
            <w:pPr>
              <w:spacing w:after="0"/>
              <w:rPr>
                <w:sz w:val="20"/>
                <w:szCs w:val="20"/>
                <w:color w:val="auto"/>
              </w:rPr>
            </w:pPr>
            <w:r>
              <w:rPr>
                <w:rFonts w:ascii="Arial" w:cs="Arial" w:eastAsia="Arial" w:hAnsi="Arial"/>
                <w:sz w:val="18"/>
                <w:szCs w:val="18"/>
                <w:color w:val="auto"/>
              </w:rPr>
              <w:t>Balance – March 31,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(18,633)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(427,196)</w:t>
            </w:r>
          </w:p>
        </w:tc>
        <w:tc>
          <w:tcPr>
            <w:tcW w:w="1660" w:type="dxa"/>
            <w:vAlign w:val="bottom"/>
            <w:gridSpan w:val="3"/>
          </w:tcPr>
          <w:p>
            <w:pPr>
              <w:jc w:val="right"/>
              <w:ind w:right="620"/>
              <w:spacing w:after="0"/>
              <w:rPr>
                <w:sz w:val="20"/>
                <w:szCs w:val="20"/>
                <w:color w:val="auto"/>
              </w:rPr>
            </w:pPr>
            <w:r>
              <w:rPr>
                <w:rFonts w:ascii="Arial" w:cs="Arial" w:eastAsia="Arial" w:hAnsi="Arial"/>
                <w:sz w:val="18"/>
                <w:szCs w:val="18"/>
                <w:color w:val="auto"/>
              </w:rPr>
              <w:t>(2,722)</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(173,858)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(622,409)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March 31, 2010.</w:t>
      </w:r>
    </w:p>
    <w:p>
      <w:pPr>
        <w:spacing w:after="0" w:line="85"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net effect of interest rate swap agreements was to increase net interest income by $11 million and $7 million for the three months ended March 31, 2010 and 2009, respectively. Information about interest rate swap agreements entered into for interest rate risk management purposes summarized by type of financial instrument the swap agreements were intended to hedge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Weighted-</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color w:val="auto"/>
              </w:rPr>
              <w:t>Notional</w:t>
            </w: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Average</w:t>
            </w: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average rate</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amount</w:t>
            </w:r>
          </w:p>
        </w:tc>
        <w:tc>
          <w:tcPr>
            <w:tcW w:w="134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maturity</w:t>
            </w:r>
          </w:p>
        </w:tc>
        <w:tc>
          <w:tcPr>
            <w:tcW w:w="1400" w:type="dxa"/>
            <w:vAlign w:val="bottom"/>
            <w:gridSpan w:val="2"/>
          </w:tcPr>
          <w:p>
            <w:pPr>
              <w:jc w:val="right"/>
              <w:ind w:right="828"/>
              <w:spacing w:after="0" w:line="142" w:lineRule="exact"/>
              <w:rPr>
                <w:sz w:val="20"/>
                <w:szCs w:val="20"/>
                <w:color w:val="auto"/>
              </w:rPr>
            </w:pPr>
            <w:r>
              <w:rPr>
                <w:rFonts w:ascii="Arial" w:cs="Arial" w:eastAsia="Arial" w:hAnsi="Arial"/>
                <w:sz w:val="14"/>
                <w:szCs w:val="14"/>
                <w:color w:val="auto"/>
              </w:rPr>
              <w:t>Fixed</w:t>
            </w:r>
          </w:p>
        </w:tc>
        <w:tc>
          <w:tcPr>
            <w:tcW w:w="680" w:type="dxa"/>
            <w:vAlign w:val="bottom"/>
          </w:tcPr>
          <w:p>
            <w:pPr>
              <w:ind w:left="100"/>
              <w:spacing w:after="0" w:line="142"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(in years)</w:t>
            </w: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March 31,2010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5.30%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6.33%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1,062,241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6.30%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December 31,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Fixed rate time deposits (a)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64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5.30%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6.33%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1,062,241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60" w:type="dxa"/>
            <w:vAlign w:val="bottom"/>
            <w:vMerge w:val="continue"/>
          </w:tcPr>
          <w:p>
            <w:pPr>
              <w:spacing w:after="0"/>
              <w:rPr>
                <w:sz w:val="19"/>
                <w:szCs w:val="19"/>
                <w:color w:val="auto"/>
              </w:rPr>
            </w:pP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6.30%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121"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$12.8 billion and $13.9 billion at March 31, 2010 and December 31, 2009, respectively. The notional amounts of foreign currency and other option and futures contracts entered into for trading purposes aggregated $701 million and $608 million at March 31, 2010 and December 31, 2009, respectively.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724"/>
              <w:spacing w:after="0" w:line="142" w:lineRule="exact"/>
              <w:rPr>
                <w:sz w:val="20"/>
                <w:szCs w:val="20"/>
                <w:color w:val="auto"/>
              </w:rPr>
            </w:pPr>
            <w:r>
              <w:rPr>
                <w:rFonts w:ascii="Arial" w:cs="Arial" w:eastAsia="Arial" w:hAnsi="Arial"/>
                <w:sz w:val="14"/>
                <w:szCs w:val="14"/>
                <w:color w:val="auto"/>
                <w:w w:val="97"/>
              </w:rPr>
              <w:t>Fair value</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719"/>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3"/>
          </w:tcPr>
          <w:p>
            <w:pPr>
              <w:jc w:val="right"/>
              <w:ind w:right="120"/>
              <w:spacing w:after="0" w:line="123" w:lineRule="exact"/>
              <w:rPr>
                <w:sz w:val="20"/>
                <w:szCs w:val="20"/>
                <w:color w:val="auto"/>
              </w:rPr>
            </w:pPr>
            <w:r>
              <w:rPr>
                <w:rFonts w:ascii="Arial" w:cs="Arial" w:eastAsia="Arial" w:hAnsi="Arial"/>
                <w:sz w:val="14"/>
                <w:szCs w:val="14"/>
                <w:color w:val="auto"/>
                <w:w w:val="99"/>
              </w:rPr>
              <w:t>March 31,</w:t>
            </w:r>
          </w:p>
        </w:tc>
        <w:tc>
          <w:tcPr>
            <w:tcW w:w="6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660" w:type="dxa"/>
            <w:vAlign w:val="bottom"/>
          </w:tcPr>
          <w:p>
            <w:pPr>
              <w:spacing w:after="0"/>
              <w:rPr>
                <w:sz w:val="10"/>
                <w:szCs w:val="10"/>
                <w:color w:val="auto"/>
              </w:rPr>
            </w:pPr>
          </w:p>
        </w:tc>
        <w:tc>
          <w:tcPr>
            <w:tcW w:w="740" w:type="dxa"/>
            <w:vAlign w:val="bottom"/>
            <w:gridSpan w:val="3"/>
          </w:tcPr>
          <w:p>
            <w:pPr>
              <w:jc w:val="right"/>
              <w:ind w:right="100"/>
              <w:spacing w:after="0" w:line="123" w:lineRule="exact"/>
              <w:rPr>
                <w:sz w:val="20"/>
                <w:szCs w:val="20"/>
                <w:color w:val="auto"/>
              </w:rPr>
            </w:pPr>
            <w:r>
              <w:rPr>
                <w:rFonts w:ascii="Arial" w:cs="Arial" w:eastAsia="Arial" w:hAnsi="Arial"/>
                <w:sz w:val="14"/>
                <w:szCs w:val="14"/>
                <w:color w:val="auto"/>
                <w:w w:val="99"/>
              </w:rPr>
              <w:t>March 31,</w:t>
            </w:r>
          </w:p>
        </w:tc>
        <w:tc>
          <w:tcPr>
            <w:tcW w:w="62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Fair value hedges: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67,092</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54,486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1,258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6,009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68,350</w:t>
            </w:r>
          </w:p>
        </w:tc>
        <w:tc>
          <w:tcPr>
            <w:tcW w:w="20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60,495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Mortgage-related commitments to originate real estate loans for sale (a)</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c>
          <w:tcPr>
            <w:tcW w:w="2080" w:type="dxa"/>
            <w:vAlign w:val="bottom"/>
            <w:gridSpan w:val="3"/>
          </w:tcPr>
          <w:p>
            <w:pPr>
              <w:jc w:val="right"/>
              <w:ind w:right="660"/>
              <w:spacing w:after="0"/>
              <w:rPr>
                <w:sz w:val="20"/>
                <w:szCs w:val="20"/>
                <w:color w:val="auto"/>
              </w:rPr>
            </w:pPr>
            <w:r>
              <w:rPr>
                <w:rFonts w:ascii="Arial" w:cs="Arial" w:eastAsia="Arial" w:hAnsi="Arial"/>
                <w:sz w:val="18"/>
                <w:szCs w:val="18"/>
                <w:color w:val="auto"/>
              </w:rPr>
              <w:t>13,293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1,469</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Interest rate contracts (b)</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330,868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317,651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304,180</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290,104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and other option and futures contracts (b)</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353,703</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347,280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317,818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422,053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407,775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318,048</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8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financial instruments,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rPr>
              <w:t>Amount of unrealized gain (loss) recognized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gridSpan w:val="5"/>
          </w:tcPr>
          <w:p>
            <w:pPr>
              <w:jc w:val="right"/>
              <w:ind w:right="1140"/>
              <w:spacing w:after="0" w:line="123"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0"/>
                <w:szCs w:val="10"/>
                <w:color w:val="auto"/>
              </w:rPr>
            </w:pPr>
          </w:p>
        </w:tc>
        <w:tc>
          <w:tcPr>
            <w:tcW w:w="1980" w:type="dxa"/>
            <w:vAlign w:val="bottom"/>
            <w:gridSpan w:val="4"/>
          </w:tcPr>
          <w:p>
            <w:pPr>
              <w:jc w:val="center"/>
              <w:ind w:right="48"/>
              <w:spacing w:after="0" w:line="123" w:lineRule="exact"/>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1260"/>
              <w:spacing w:after="0"/>
              <w:rPr>
                <w:sz w:val="20"/>
                <w:szCs w:val="20"/>
                <w:color w:val="auto"/>
              </w:rPr>
            </w:pPr>
            <w:r>
              <w:rPr>
                <w:rFonts w:ascii="Arial" w:cs="Arial" w:eastAsia="Arial" w:hAnsi="Arial"/>
                <w:sz w:val="14"/>
                <w:szCs w:val="14"/>
                <w:color w:val="auto"/>
              </w:rPr>
              <w:t>March 31, 2010</w:t>
            </w:r>
          </w:p>
        </w:tc>
        <w:tc>
          <w:tcPr>
            <w:tcW w:w="100" w:type="dxa"/>
            <w:vAlign w:val="bottom"/>
          </w:tcPr>
          <w:p>
            <w:pPr>
              <w:spacing w:after="0"/>
              <w:rPr>
                <w:sz w:val="14"/>
                <w:szCs w:val="1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92"/>
              </w:rPr>
              <w:t>March 31,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Derivative</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6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Derivative</w:t>
            </w: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rate time deposits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12,470</w:t>
            </w:r>
          </w:p>
        </w:tc>
        <w:tc>
          <w:tcPr>
            <w:tcW w:w="260" w:type="dxa"/>
            <w:vAlign w:val="bottom"/>
          </w:tcPr>
          <w:p>
            <w:pPr>
              <w:spacing w:after="0"/>
              <w:rPr>
                <w:sz w:val="18"/>
                <w:szCs w:val="18"/>
                <w:color w:val="auto"/>
              </w:rPr>
            </w:pP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(21,315)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12,271</w:t>
            </w:r>
          </w:p>
        </w:tc>
        <w:tc>
          <w:tcPr>
            <w:tcW w:w="26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(11,782)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(21,767)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(614)</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704</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117"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$17 million and $20 million at March 31, 2010 and December 31, 2009, respectively. Changes in unrealized gains and losses are included in mortgage banking revenues and, in general, are realized in subsequent periods as the related loans are sold and commitments satisfied.</w:t>
      </w:r>
    </w:p>
    <w:p>
      <w:pPr>
        <w:spacing w:after="0" w:line="8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aggregate fair value of derivative financial instruments in a net liability position at March 31, 2010 for which the Company was required to post collateral was $230 million. The fair value of collateral posted for such instruments was $221 million.</w:t>
      </w:r>
    </w:p>
    <w:p>
      <w:pPr>
        <w:spacing w:after="0" w:line="62"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Company’s credit exposure with respect to the estimated fair value as of March 31, 2010 of interest rate swap agreements used for managing interest rate risk has been substantially mitigated through master netting agreements with trading account interest rate contracts with the same counterparties as well as counterparty postings of $47 million of collateral with the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entities and asset securitizations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Effective January 1, 2010, the Financial Accounting Standards Board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w:t>
      </w:r>
    </w:p>
    <w:p>
      <w:pPr>
        <w:spacing w:after="0" w:line="57" w:lineRule="exact"/>
        <w:rPr>
          <w:sz w:val="20"/>
          <w:szCs w:val="20"/>
          <w:color w:val="auto"/>
        </w:rPr>
      </w:pPr>
    </w:p>
    <w:p>
      <w:pPr>
        <w:ind w:right="140" w:firstLine="215"/>
        <w:spacing w:after="0" w:line="293" w:lineRule="auto"/>
        <w:rPr>
          <w:sz w:val="20"/>
          <w:szCs w:val="20"/>
          <w:color w:val="auto"/>
        </w:rPr>
      </w:pPr>
      <w:r>
        <w:rPr>
          <w:rFonts w:ascii="Arial" w:cs="Arial" w:eastAsia="Arial" w:hAnsi="Arial"/>
          <w:sz w:val="16"/>
          <w:szCs w:val="16"/>
          <w:color w:val="auto"/>
        </w:rPr>
        <w:t>Also effective January 1, 2010, the FASB amended accounting guidance relating to accounting for transfers of financial assets to eliminate the exceptions for qualifying special purpose entities from the consolidation guidance and the exception that permitted sale accounting for certain mortgage securitizations when a transferor has not surrendered control over the transferred assets. The recognition and measurement provisions of the amended guidance were required to be applied prospectively. Additionally, beginning January 1, 2010, the concept of a qualifying special-purpose entity is no longer relevant for accounting purposes. Therefore, formerly qualifying special-purpose entities had to be re-evaluated for consolidation in accordance with applicable consolidation guidance, including the new accounting guidance relating to the consolidation of variable interest entities discussed in the previous paragraph.</w:t>
      </w:r>
    </w:p>
    <w:p>
      <w:pPr>
        <w:spacing w:after="0" w:line="5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2002 and 2003, the Company transferred approximately $1.9 billion of one-to-four family residential mortgage loans to qualified special purpose trusts in two non-recourse securitization transactions. In exchange for the loans, the Company received cash, no more than 88% of the resulting securities, and the servicing rights to the loans. Through December 31, 2009, all of the retained securities were classified as investment securities available for sale as the qualified special purpose trusts were not included in the Company’s consolidated financial statements. Effective January 1, 2010, the Company determined that it was the primary beneficiary of both securitization trusts under the amended consolidation rules considering its role as servicer and its retained subordinated interests in the trusts. As a result, beginning January 1, 2010, the Company has included the one-to-four family residential mortgage loans that were included in the two non-recourse securitization transactions in its consolidated financial statements. The effect of that consolidation on January 1, 2010 was to increase loans receivable by $424 million, decrease the amortized cost of available-for-sale investment securities by $360 million (fair value of $355 million), and increase borrowings by $65 million. The transition adjustment at January 1, 2010 as a result of the Company’s adoption of the new accounting requirements was not significant. At March 31, 2010, the carrying value of the loans in the securitization trusts was $406 million. The combined outstanding principal amount of mortgage-backed securities issued by the qualified special purpose trusts was $414 million at March 31, 2010 and the principal amount of such securities held by the Company was $352 million. The remainder of the outstanding mortgage-backed securities were held by parties unrelated to M&amp;T. Because the transactions were non-recourse, the Company’s maximum exposure to loss as a result of its association with the trusts at March 31, 2010 is limited to realizing the carrying value of the loans less the $62 million carrying value of the mortgage-backed securities outstanding to third parties.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entities and asset securitizations, continued</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the first quarter of 2009, the Company securitized approximately $141 million of one-to-four family residential mortgage loans in guaranteed mortgage securitizations with Fannie Mae. The Company recognized no gain or loss on the transactions as it retained all of the resulting securities. Such securities were classified as investment securities available for sale. The Company expects no material credit-related losses on the retained securities as a result of the guarantees by Fannie Mae. The Company had no such securitizations in the first quarter of 2010.</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variable interest entities in which the Company holds a variable interest are described below.</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M&amp;T has a variable interest in a trust that holds AIB ADSs for the purpose of satisfying options to purchase such shares for certain employees. The trust purchased the AIB ADSs with the proceeds of a loan from an entity subsequently acquired by M&amp;T. Proceeds from option exercises and any dividends and other earnings on the trust assets are used to repay the loan plus interest. Option holders have no preferential right with respect to the trust assets and the trust assets are subject to the claims of M&amp;T’s creditors. The trust has been included in the Company’s consolidated financial statements. As a result, included in investment securities available for sale were 591,813 AIB ADSs with a carrying value of approximately $2 million at both March 31, 2010 and December 31, 2009. Outstanding options granted to employees who have continued service with M&amp;T totaled 189,450 at each of March 31, 2010 and December 31, 2009. All outstanding options were fully vested and exercisable at both March 31, 2010 and December 31, 2009. The options expire at various dates through October 2011. The AIB ADSs are included in available for sale investment securities and have a fair value of $2 million and an amortized cost of $13 million at March 31, 2010.</w:t>
      </w:r>
    </w:p>
    <w:p>
      <w:pPr>
        <w:spacing w:after="0" w:line="74" w:lineRule="exact"/>
        <w:rPr>
          <w:sz w:val="20"/>
          <w:szCs w:val="20"/>
          <w:color w:val="auto"/>
        </w:rPr>
      </w:pPr>
    </w:p>
    <w:p>
      <w:pPr>
        <w:ind w:right="120" w:firstLine="215"/>
        <w:spacing w:after="0" w:line="273" w:lineRule="auto"/>
        <w:rPr>
          <w:sz w:val="20"/>
          <w:szCs w:val="20"/>
          <w:color w:val="auto"/>
        </w:rPr>
      </w:pPr>
      <w:r>
        <w:rPr>
          <w:rFonts w:ascii="Arial" w:cs="Arial" w:eastAsia="Arial" w:hAnsi="Arial"/>
          <w:sz w:val="17"/>
          <w:szCs w:val="17"/>
          <w:color w:val="auto"/>
        </w:rPr>
        <w:t>As described in note 4,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2010 and December 31, 2009,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4.</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has invested as a limited partner in various real estate partnerships that collectively had total assets of approximately $1.1 billion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 billion at March 31, 2010 and December 31, 2009, respectively. Those partnerships generally construct or acquire properties for which the investing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 are eligible to receive certain federal income tax credits in accordance with government guidelines. Such investments may also provide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deductible losses to the partners. The partnership investments also assist the Company in achieving its community reinvestment initiatives. As a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 there is no recourse to the Company by creditors of the partnerships. However, the tax credits that result from the Company’s investments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partnerships are generally subject to recapture should a partnership fail to comply with the respective government regulations. The Company’s maximum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exposure to loss of its investments in such partnerships was $246 million, including $92 million of unfunded commitments, at March 31, 2010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$246 million, including $89 million of unfunded commitments, at December 31, 2009. The Company has not provided financial or other support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partnerships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entities and asset securitizations, continued</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quarters ended March 31, 2010 and 2009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as of March 31, 2010.</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b w:val="1"/>
          <w:bCs w:val="1"/>
          <w:color w:val="auto"/>
        </w:rPr>
      </w:pPr>
    </w:p>
    <w:p>
      <w:pPr>
        <w:ind w:left="660" w:right="640" w:hanging="436"/>
        <w:spacing w:after="0" w:line="342"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b w:val="1"/>
          <w:bCs w:val="1"/>
          <w:color w:val="auto"/>
        </w:rPr>
      </w:pPr>
    </w:p>
    <w:p>
      <w:pPr>
        <w:ind w:left="660" w:right="300" w:hanging="436"/>
        <w:spacing w:after="0" w:line="30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46" w:lineRule="exact"/>
        <w:rPr>
          <w:sz w:val="20"/>
          <w:szCs w:val="20"/>
          <w:color w:val="auto"/>
        </w:rPr>
      </w:pPr>
    </w:p>
    <w:p>
      <w:pPr>
        <w:ind w:right="80" w:firstLine="8"/>
        <w:spacing w:after="0" w:line="295"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trading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Prices for certain foreign exchange contracts are more observable and therefore have been classified as Level 1. Mutual funds held in connection with deferred compensation arrangements have also been classified as Level 1 valuations. Valuations of investments in municipal and other bonds can generally be obtained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through reference to quoted prices in less active markets for the same or similar securities or through model-based techniques in which all significant inputs are observable and, therefore, such valuations have been classified as Level 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3" w:lineRule="exact"/>
        <w:rPr>
          <w:sz w:val="20"/>
          <w:szCs w:val="20"/>
          <w:color w:val="auto"/>
        </w:rPr>
      </w:pPr>
    </w:p>
    <w:p>
      <w:pPr>
        <w:ind w:right="180" w:firstLine="225"/>
        <w:spacing w:after="0" w:line="272" w:lineRule="auto"/>
        <w:rPr>
          <w:sz w:val="20"/>
          <w:szCs w:val="20"/>
          <w:color w:val="auto"/>
        </w:rPr>
      </w:pPr>
      <w:r>
        <w:rPr>
          <w:rFonts w:ascii="Arial" w:cs="Arial" w:eastAsia="Arial" w:hAnsi="Arial"/>
          <w:sz w:val="17"/>
          <w:szCs w:val="17"/>
          <w:color w:val="auto"/>
        </w:rPr>
        <w:t>Due to continuing disruption in the credit markets, trading activity in privately issued mortgage-backed securities has been limited. The markets for such securities were generally characterized by a sharp reduction of non-agency mortgage-backed securities issuances, a significant reduction in trading volumes and extremely wide bid-ask spreads, all driven by the lack of market participants.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7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April 2009, the FASB issued new accounting rules that provided guidance for estimating fair value when the volume and level of trading activity for an asset or liability have significantly decreased. The Company has concluded that there has been a significant decline in the volume and level of activity in the market for privately issued mortgage-backed securities. Therefore, the Company supplemented its determination of fair value for many of its privately issued mortgage-backed securities by obtaining pricing indications from two independent sources at March 31, 2010.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145 of its privately issued residential mortgage-backed securities with an amortized cost basis of $1.8 billion at March 31, 2010.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and loss rates, including assumptions for further home price depreciation.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145 bonds, the Company computed values based on judgmentally applied weightings of the internal model valuations and the indications obtained from the average of the two independent pricing sources. Weightings applied to internal model valuations ranged from zero to 40% depending on bond structure and collateral type, with prices for bonds in non-senior tranches generally receiving lower weightings on the internal model results and senior bonds receiving a higher model weighting. Weighted-average reliance on internal model pricing for the bonds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modeled was 37% with a 63% average weighting placed on the values provided by the independent sources. The Company concluded its estimate of fair value for the $1.8 billion of privately issued residential mortgage-backed securities to approximate $1.5 billion, which implies a weighted-average market yield based on reasonably likely cash flows of 9.5%. Other valuations of privately issued mortgage-backed securities were determined by reference to independent pricing sources without adjustment.</w:t>
      </w:r>
    </w:p>
    <w:p>
      <w:pPr>
        <w:spacing w:after="0" w:line="79"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Included in CDOs are securities backed by trust preferred securities issued by financial institutions and other entities. Given the severe disruption in the credit markets and lack of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March 31, 2010. The modeling techniques included discounting estimated cash flows using bond-specific assumptions about defaults, deferrals and prepayments of the trust preferred securities underlying each bond. The estimation of cash flows included assumptions as to the future collateral defaults and the related loss severities. The resulting cash flows were then discounted by reference to market yields observed in the single-name trust preferred securities market. At March 31, 2010, the total amortized cost and fair value of securities backed by trust preferred securities issued by financial institutions and other entities was $102 million and $126 million, respectively. Privately issued mortgage-backed securities and securities backed by trust preferred securities issued by financial institutions and other entities constituted substantially all of the available-for-sale investment securities classified as Level 3 valuations as of March 31, 2010.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as such, have been classified as a Level 2 valuation.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Estimated commitment expirations are considered a significant unobservable input, which results in a Level 3 classification. The Company includes the expected net future cash flows related to the associated servicing of the loan in the fair value measurement of a derivative loan commitment. The estimated value ascribed to the expected net future servicing cash flows is also considered a significant unobservable input contributing to the Level 3 classification of commitments to originate real estate loans for sale.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present assets and liabilities at March 31, 2010 and December 31, 2009 measured at estimated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March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9"/>
              </w:rPr>
              <w:t>2010</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1(a)</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6"/>
              </w:rPr>
              <w:t>Level 2(a)</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403,476</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36,920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366,556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100,105</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100,105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71,720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71,720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3,688,910</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3,688,910</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1,664,341</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25,125</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125,755</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285,691</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285,236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135,619</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121,395</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6,097,266</w:t>
            </w:r>
          </w:p>
        </w:tc>
        <w:tc>
          <w:tcPr>
            <w:tcW w:w="6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121,395</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4,160,195</w:t>
            </w:r>
          </w:p>
        </w:tc>
        <w:tc>
          <w:tcPr>
            <w:tcW w:w="6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423,218</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423,218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assets (b)</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79,182</w:t>
            </w:r>
          </w:p>
        </w:tc>
        <w:tc>
          <w:tcPr>
            <w:tcW w:w="62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70,688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7,003,142</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158,315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5,020,657</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1,824,170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316,026</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313,399</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2,022</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318,048</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315,098</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rPr>
              <w:t>- 28 -</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Fair value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color w:val="auto"/>
              </w:rPr>
              <w:t>measurements at</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00" w:type="dxa"/>
            <w:vAlign w:val="bottom"/>
            <w:gridSpan w:val="4"/>
          </w:tcPr>
          <w:p>
            <w:pPr>
              <w:jc w:val="center"/>
              <w:ind w:right="640"/>
              <w:spacing w:after="0" w:line="149" w:lineRule="exact"/>
              <w:rPr>
                <w:sz w:val="20"/>
                <w:szCs w:val="20"/>
                <w:color w:val="auto"/>
              </w:rPr>
            </w:pPr>
            <w:r>
              <w:rPr>
                <w:rFonts w:ascii="Arial" w:cs="Arial" w:eastAsia="Arial" w:hAnsi="Arial"/>
                <w:sz w:val="14"/>
                <w:szCs w:val="14"/>
                <w:color w:val="auto"/>
                <w:w w:val="90"/>
              </w:rPr>
              <w:t>December 31,</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2</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3"/>
          </w:tcPr>
          <w:p>
            <w:pPr>
              <w:ind w:left="620"/>
              <w:spacing w:after="0" w:line="142" w:lineRule="exact"/>
              <w:rPr>
                <w:sz w:val="20"/>
                <w:szCs w:val="20"/>
                <w:color w:val="auto"/>
              </w:rPr>
            </w:pPr>
            <w:r>
              <w:rPr>
                <w:rFonts w:ascii="Arial" w:cs="Arial" w:eastAsia="Arial" w:hAnsi="Arial"/>
                <w:sz w:val="14"/>
                <w:szCs w:val="14"/>
                <w:color w:val="auto"/>
                <w:w w:val="90"/>
              </w:rPr>
              <w:t>(in thousands)</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386,984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40,836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346,148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104,686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104,686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62,923</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62,923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3,902,282</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3,902,282</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2,064,904</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25,166</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115,346</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268,201</w:t>
            </w:r>
          </w:p>
        </w:tc>
        <w:tc>
          <w:tcPr>
            <w:tcW w:w="60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267,781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160,870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145,817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6,704,378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145,817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4,352,725</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652,761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652,761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78,216</w:t>
            </w:r>
          </w:p>
        </w:tc>
        <w:tc>
          <w:tcPr>
            <w:tcW w:w="620" w:type="dxa"/>
            <w:vAlign w:val="bottom"/>
            <w:gridSpan w:val="2"/>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73,788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7,822,339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186,653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5,425,422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2,210,264</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302,198</w:t>
            </w:r>
          </w:p>
        </w:tc>
        <w:tc>
          <w:tcPr>
            <w:tcW w:w="60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296,621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6,039</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298,152</w:t>
            </w: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There were no significant transfers between Level 1 and Level 2 of the fair value hierarchy during the three-month period ended March 31, 2010.</w:t>
      </w:r>
    </w:p>
    <w:p>
      <w:pPr>
        <w:spacing w:after="0" w:line="88" w:lineRule="exact"/>
        <w:rPr>
          <w:rFonts w:ascii="Arial" w:cs="Arial" w:eastAsia="Arial" w:hAnsi="Arial"/>
          <w:sz w:val="17"/>
          <w:szCs w:val="17"/>
          <w:i w:val="1"/>
          <w:iCs w:val="1"/>
          <w:color w:val="auto"/>
        </w:rPr>
      </w:pPr>
    </w:p>
    <w:p>
      <w:pPr>
        <w:ind w:left="460" w:right="440" w:hanging="452"/>
        <w:spacing w:after="0" w:line="277"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9"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gains (losses)</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5"/>
          </w:tcPr>
          <w:p>
            <w:pPr>
              <w:ind w:left="520"/>
              <w:spacing w:after="0" w:line="149" w:lineRule="exact"/>
              <w:rPr>
                <w:sz w:val="20"/>
                <w:szCs w:val="20"/>
                <w:color w:val="auto"/>
              </w:rPr>
            </w:pPr>
            <w:r>
              <w:rPr>
                <w:rFonts w:ascii="Arial" w:cs="Arial" w:eastAsia="Arial" w:hAnsi="Arial"/>
                <w:sz w:val="14"/>
                <w:szCs w:val="14"/>
                <w:color w:val="auto"/>
              </w:rPr>
              <w:t>Total gains (losses)</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r>
      <w:tr>
        <w:trPr>
          <w:trHeight w:val="167"/>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color w:val="auto"/>
              </w:rPr>
              <w:t>realized/unrealized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earnings</w:t>
            </w:r>
          </w:p>
        </w:tc>
      </w:tr>
      <w:tr>
        <w:trPr>
          <w:trHeight w:val="123"/>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related to</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Included in</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assets still</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Balance-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Transfer in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r>
      <w:tr>
        <w:trPr>
          <w:trHeight w:val="149"/>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January 1,</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Included</w:t>
            </w: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comprehensive</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and/or out of</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March 31,</w:t>
            </w: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March 31,</w:t>
            </w:r>
          </w:p>
        </w:tc>
      </w:tr>
      <w:tr>
        <w:trPr>
          <w:trHeight w:val="167"/>
        </w:trPr>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in earnings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Settlements</w:t>
            </w:r>
          </w:p>
        </w:tc>
        <w:tc>
          <w:tcPr>
            <w:tcW w:w="4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Level 3(c)</w:t>
            </w:r>
          </w:p>
        </w:tc>
        <w:tc>
          <w:tcPr>
            <w:tcW w:w="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280" w:type="dxa"/>
            <w:vAlign w:val="bottom"/>
          </w:tcPr>
          <w:p>
            <w:pPr>
              <w:spacing w:after="0"/>
              <w:rPr>
                <w:sz w:val="14"/>
                <w:szCs w:val="14"/>
                <w:color w:val="auto"/>
              </w:rPr>
            </w:pPr>
          </w:p>
        </w:tc>
      </w:tr>
      <w:tr>
        <w:trPr>
          <w:trHeight w:val="142"/>
        </w:trPr>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Investment securities available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w w:val="96"/>
              </w:rPr>
              <w:t>mortgage- backed securities</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$ 2,064,904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(26,447)(a)</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74,454</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(93,322)</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(355,248)(d)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1,664,341</w:t>
            </w: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(26,447)(a)</w:t>
            </w: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mortgage- backed securities</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25,166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2,073</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(2,114)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25,125</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9"/>
              </w:rPr>
              <w:t>Collateralized debt obligations</w:t>
            </w: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115,346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(355)(a)</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10,895</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(131)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125,755</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(355)(a)</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2,205,836</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(26,802)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87,457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(95,567)</w:t>
            </w:r>
          </w:p>
        </w:tc>
        <w:tc>
          <w:tcPr>
            <w:tcW w:w="4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(355,248)</w:t>
            </w:r>
          </w:p>
        </w:tc>
        <w:tc>
          <w:tcPr>
            <w:tcW w:w="6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1,815,676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(26,802)</w:t>
            </w:r>
          </w:p>
        </w:tc>
        <w:tc>
          <w:tcPr>
            <w:tcW w:w="280" w:type="dxa"/>
            <w:vAlign w:val="bottom"/>
          </w:tcPr>
          <w:p>
            <w:pPr>
              <w:spacing w:after="0"/>
              <w:rPr>
                <w:sz w:val="19"/>
                <w:szCs w:val="19"/>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assets and other</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18,022(b)</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(9,771)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8,171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7,630(b)</w:t>
            </w:r>
          </w:p>
        </w:tc>
      </w:tr>
      <w:tr>
        <w:trPr>
          <w:trHeight w:val="405"/>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- 30 -</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Changes in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gains (losses)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60" w:type="dxa"/>
            <w:vAlign w:val="bottom"/>
            <w:gridSpan w:val="5"/>
          </w:tcPr>
          <w:p>
            <w:pPr>
              <w:jc w:val="right"/>
              <w:ind w:right="720"/>
              <w:spacing w:after="0" w:line="149" w:lineRule="exact"/>
              <w:rPr>
                <w:sz w:val="20"/>
                <w:szCs w:val="20"/>
                <w:color w:val="auto"/>
              </w:rPr>
            </w:pPr>
            <w:r>
              <w:rPr>
                <w:rFonts w:ascii="Arial" w:cs="Arial" w:eastAsia="Arial" w:hAnsi="Arial"/>
                <w:sz w:val="14"/>
                <w:szCs w:val="14"/>
                <w:color w:val="auto"/>
              </w:rPr>
              <w:t>Total gains (losses)</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included in</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color w:val="auto"/>
              </w:rPr>
              <w:t>realized/unrealized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earnings</w:t>
            </w:r>
          </w:p>
        </w:tc>
        <w:tc>
          <w:tcPr>
            <w:tcW w:w="0" w:type="dxa"/>
            <w:vAlign w:val="bottom"/>
          </w:tcPr>
          <w:p>
            <w:pPr>
              <w:spacing w:after="0"/>
              <w:rPr>
                <w:sz w:val="1"/>
                <w:szCs w:val="1"/>
                <w:color w:val="auto"/>
              </w:rPr>
            </w:pPr>
          </w:p>
        </w:tc>
      </w:tr>
      <w:tr>
        <w:trPr>
          <w:trHeight w:val="123"/>
        </w:trPr>
        <w:tc>
          <w:tcPr>
            <w:tcW w:w="2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related to</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Included in</w:t>
            </w:r>
          </w:p>
        </w:tc>
        <w:tc>
          <w:tcPr>
            <w:tcW w:w="3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Purchases,</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Transfer in</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assets still</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Balance-</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other</w:t>
            </w:r>
          </w:p>
        </w:tc>
        <w:tc>
          <w:tcPr>
            <w:tcW w:w="3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1"/>
              </w:rPr>
              <w:t>sales,</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and/or</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Balance-</w:t>
            </w:r>
          </w:p>
        </w:tc>
        <w:tc>
          <w:tcPr>
            <w:tcW w:w="2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held at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January 1,</w:t>
            </w: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Included</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comprehensive</w:t>
            </w:r>
          </w:p>
        </w:tc>
        <w:tc>
          <w:tcPr>
            <w:tcW w:w="3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issuances &amp;</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out of</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March 31,</w:t>
            </w:r>
          </w:p>
        </w:tc>
        <w:tc>
          <w:tcPr>
            <w:tcW w:w="2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color w:val="auto"/>
                <w:w w:val="89"/>
              </w:rPr>
              <w:t>2009</w:t>
            </w:r>
          </w:p>
        </w:tc>
        <w:tc>
          <w:tcPr>
            <w:tcW w:w="4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w w:val="90"/>
              </w:rPr>
              <w:t>in earnings</w:t>
            </w:r>
          </w:p>
        </w:tc>
        <w:tc>
          <w:tcPr>
            <w:tcW w:w="1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w:t>
            </w:r>
          </w:p>
        </w:tc>
        <w:tc>
          <w:tcPr>
            <w:tcW w:w="300" w:type="dxa"/>
            <w:vAlign w:val="bottom"/>
            <w:vMerge w:val="restart"/>
          </w:tcPr>
          <w:p>
            <w:pPr>
              <w:ind w:left="140"/>
              <w:spacing w:after="0"/>
              <w:rPr>
                <w:sz w:val="20"/>
                <w:szCs w:val="20"/>
                <w:color w:val="auto"/>
              </w:rPr>
            </w:pPr>
            <w:r>
              <w:rPr>
                <w:rFonts w:ascii="Arial" w:cs="Arial" w:eastAsia="Arial" w:hAnsi="Arial"/>
                <w:sz w:val="14"/>
                <w:szCs w:val="14"/>
                <w:color w:val="auto"/>
                <w:w w:val="89"/>
              </w:rPr>
              <w:t>(in</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settlements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Level 3(c)</w:t>
            </w: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240" w:type="dxa"/>
            <w:vAlign w:val="bottom"/>
          </w:tcPr>
          <w:p>
            <w:pPr>
              <w:spacing w:after="0"/>
              <w:rPr>
                <w:sz w:val="14"/>
                <w:szCs w:val="14"/>
                <w:color w:val="auto"/>
              </w:rPr>
            </w:pPr>
          </w:p>
        </w:tc>
        <w:tc>
          <w:tcPr>
            <w:tcW w:w="1000" w:type="dxa"/>
            <w:vAlign w:val="bottom"/>
            <w:gridSpan w:val="2"/>
          </w:tcPr>
          <w:p>
            <w:pPr>
              <w:jc w:val="center"/>
              <w:ind w:left="162"/>
              <w:spacing w:after="0"/>
              <w:rPr>
                <w:sz w:val="20"/>
                <w:szCs w:val="20"/>
                <w:color w:val="auto"/>
              </w:rPr>
            </w:pPr>
            <w:r>
              <w:rPr>
                <w:rFonts w:ascii="Arial" w:cs="Arial" w:eastAsia="Arial" w:hAnsi="Arial"/>
                <w:sz w:val="14"/>
                <w:szCs w:val="14"/>
                <w:color w:val="auto"/>
                <w:w w:val="89"/>
              </w:rPr>
              <w:t>2009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thousands)</w:t>
            </w:r>
          </w:p>
        </w:tc>
        <w:tc>
          <w:tcPr>
            <w:tcW w:w="5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securities available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 sale: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U.S. Treasury and federal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agencies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5,532</w:t>
            </w:r>
          </w:p>
        </w:tc>
        <w:tc>
          <w:tcPr>
            <w:tcW w:w="48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(5,532)</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12,143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Government issued 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20"/>
              <w:spacing w:after="0"/>
              <w:rPr>
                <w:sz w:val="20"/>
                <w:szCs w:val="20"/>
                <w:color w:val="auto"/>
              </w:rPr>
            </w:pPr>
            <w:r>
              <w:rPr>
                <w:rFonts w:ascii="Arial" w:cs="Arial" w:eastAsia="Arial" w:hAnsi="Arial"/>
                <w:sz w:val="18"/>
                <w:szCs w:val="18"/>
                <w:color w:val="auto"/>
              </w:rPr>
              <w:t>guaranteed mortgage-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84,544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(84,544)</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Privately issued residential</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mortgage- backed securities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2,326,554</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(32,199)(a)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177,505</w:t>
            </w:r>
          </w:p>
        </w:tc>
        <w:tc>
          <w:tcPr>
            <w:tcW w:w="2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(122,457)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2,349,403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(32,199)(a)</w:t>
            </w:r>
          </w:p>
        </w:tc>
        <w:tc>
          <w:tcPr>
            <w:tcW w:w="0" w:type="dxa"/>
            <w:vAlign w:val="bottom"/>
          </w:tcPr>
          <w:p>
            <w:pPr>
              <w:spacing w:after="0"/>
              <w:rPr>
                <w:sz w:val="1"/>
                <w:szCs w:val="1"/>
                <w:color w:val="auto"/>
              </w:rPr>
            </w:pP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Privately issued commercial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20"/>
              <w:spacing w:after="0"/>
              <w:rPr>
                <w:sz w:val="20"/>
                <w:szCs w:val="20"/>
                <w:color w:val="auto"/>
              </w:rPr>
            </w:pPr>
            <w:r>
              <w:rPr>
                <w:rFonts w:ascii="Arial" w:cs="Arial" w:eastAsia="Arial" w:hAnsi="Arial"/>
                <w:sz w:val="18"/>
                <w:szCs w:val="18"/>
                <w:color w:val="auto"/>
                <w:w w:val="99"/>
              </w:rPr>
              <w:t>mortgage- backed securities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41,046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(3,262)</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(5,569)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32,215</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548(a)</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548(a)</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2,302</w:t>
            </w:r>
          </w:p>
        </w:tc>
        <w:tc>
          <w:tcPr>
            <w:tcW w:w="4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41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2,343</w:t>
            </w: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2,462,512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174,169</w:t>
            </w:r>
          </w:p>
        </w:tc>
        <w:tc>
          <w:tcPr>
            <w:tcW w:w="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(128,533)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(77,933)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2,398,564</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(31,651)</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6"/>
              </w:rPr>
              <w:t>Other assets and other liabilities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8,266</w:t>
            </w:r>
          </w:p>
        </w:tc>
        <w:tc>
          <w:tcPr>
            <w:tcW w:w="4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27,258(b)</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(13,487)</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22,037</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24,043(b)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Reported as an other-than-temporary impairment loss in the consolidated statement of income or as gain (loss) on bank investment securities.</w:t>
      </w:r>
    </w:p>
    <w:p>
      <w:pPr>
        <w:spacing w:after="0" w:line="88" w:lineRule="exact"/>
        <w:rPr>
          <w:rFonts w:ascii="Arial" w:cs="Arial" w:eastAsia="Arial" w:hAnsi="Arial"/>
          <w:sz w:val="17"/>
          <w:szCs w:val="17"/>
          <w:i w:val="1"/>
          <w:iCs w:val="1"/>
          <w:color w:val="auto"/>
        </w:rPr>
      </w:pPr>
    </w:p>
    <w:p>
      <w:pPr>
        <w:ind w:left="460" w:hanging="452"/>
        <w:spacing w:after="0"/>
        <w:tabs>
          <w:tab w:leader="none" w:pos="4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99" w:lineRule="exact"/>
        <w:rPr>
          <w:rFonts w:ascii="Arial" w:cs="Arial" w:eastAsia="Arial" w:hAnsi="Arial"/>
          <w:sz w:val="16"/>
          <w:szCs w:val="16"/>
          <w:i w:val="1"/>
          <w:iCs w:val="1"/>
          <w:color w:val="auto"/>
        </w:rPr>
      </w:pPr>
    </w:p>
    <w:p>
      <w:pPr>
        <w:ind w:left="460" w:right="220" w:hanging="452"/>
        <w:spacing w:after="0" w:line="277"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21" w:lineRule="exact"/>
        <w:rPr>
          <w:rFonts w:ascii="Arial" w:cs="Arial" w:eastAsia="Arial" w:hAnsi="Arial"/>
          <w:sz w:val="18"/>
          <w:szCs w:val="18"/>
          <w:i w:val="1"/>
          <w:iCs w:val="1"/>
          <w:color w:val="auto"/>
        </w:rPr>
      </w:pPr>
    </w:p>
    <w:p>
      <w:pPr>
        <w:ind w:left="460" w:right="240" w:hanging="452"/>
        <w:spacing w:after="0" w:line="264"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As a result of the Company’s adoption of new accounting rules governing the consolidation of variable interest entities, effective January 1, 2010 the Company derecognized $355 million of available-for-sale investment securities previously classified as Level 3 measurements. Further information regarding the Company’s adoption of the new accounting requirements is included in note 10.</w:t>
      </w:r>
    </w:p>
    <w:p>
      <w:pPr>
        <w:spacing w:after="0" w:line="14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$793 million at March 31, 2010, ($471 million and $322 million of which were classified as Level 2 and Level 3, respectively) and $450 million at March 31, 2009 ($229 million and $221 million of which were classified as Level 2 and Level 3, respectively). Changes in fair value recognized for partial charge-offs of loans and loan impairment reserves on loans held by the Company on March 31, 2010 and 2009 were decreases of $58 million and $89 million for the three-month periods ended March 31, 2010 and 2009,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servicing rights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At March 31, 2010, no stratum of capitalized servicing rights had a carrying value equal to its fair value. Changes in the fair value-based valuation allowance for capitalized servicing rights recognized for the three months ended March 31, 2010 were insignificant. At March 31, 2009, $44 million of capitalized servicing rights had a carrying value equal to their fair value. Changes in fair value of capitalized servicing rights recognized for the three months ended March 31, 2009 were an increase of $5 million.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during the three months ended March 31, 2010 and 2009 that were still held by the Company as of that date were $17 million and $21 million, respectively. Changes in fair value recognized for those foreclosed assets held by the Company at each of March 31, 2010 and 2009 were $10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carrying amounts and the calculated estimates of fair value for financial instrument assets (liabilities) are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420"/>
              <w:spacing w:after="0"/>
              <w:rPr>
                <w:sz w:val="20"/>
                <w:szCs w:val="20"/>
                <w:color w:val="auto"/>
              </w:rPr>
            </w:pPr>
            <w:r>
              <w:rPr>
                <w:rFonts w:ascii="Arial" w:cs="Arial" w:eastAsia="Arial" w:hAnsi="Arial"/>
                <w:sz w:val="14"/>
                <w:szCs w:val="14"/>
                <w:color w:val="auto"/>
              </w:rPr>
              <w:t>March 31, 2010</w:t>
            </w:r>
          </w:p>
        </w:tc>
        <w:tc>
          <w:tcPr>
            <w:tcW w:w="12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4"/>
                <w:szCs w:val="14"/>
                <w:color w:val="auto"/>
              </w:rPr>
              <w:t>Calculated</w:t>
            </w: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4"/>
                <w:szCs w:val="14"/>
                <w:color w:val="auto"/>
              </w:rPr>
              <w:t>Calculated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Estimate</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Estimate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1,043,669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1,043,669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1,246,342</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121,305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121,305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403,476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403,476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386,984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8,104,646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7,968,513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7,780,609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Loans and leases: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loans and leases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13,220,181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12,849,919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13,479,447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13,090,206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Commercial real estate loans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20,724,118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20,057,326</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20,949,931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20,426,273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5,664,159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5,318,752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5,463,463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Consumer loans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11,835,583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11,423,810</w:t>
            </w: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12,043,845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11,575,525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credit losses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(891,265)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(878,022)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Loans and leases, net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50,552,776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49,649,807</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51,058,664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50,150,767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233,111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214,692</w:t>
            </w:r>
          </w:p>
        </w:tc>
        <w:tc>
          <w:tcPr>
            <w:tcW w:w="0" w:type="dxa"/>
            <w:vAlign w:val="bottom"/>
          </w:tcPr>
          <w:p>
            <w:pPr>
              <w:spacing w:after="0"/>
              <w:rPr>
                <w:sz w:val="1"/>
                <w:szCs w:val="1"/>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(13,622,819)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(13,622,819)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(13,794,636)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(13,794,636)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Savings deposits and NOW accounts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(26,180,045)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(26,180,045)</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(25,073,269)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(25,073,269)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(6,945,716)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(7,000,748)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(7,531,495)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Deposits at foreign office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(789,825)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(789,825)</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(1,050,438)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(1,870,763)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(1,870,763)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(2,442,582)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Long-term borrowings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(10,065,894)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(9,731,690)</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(10,240,016)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(9,822,153)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(113,983)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(113,983)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(94,838)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Trading account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(316,026)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(316,026)</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(302,198)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(302,198)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Commitments to originate real estate loans for sale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8,171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8,171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credit-related commitments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(54,962)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(54,962)</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(55,954)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3"/>
              </w:rPr>
              <w:t>Interest rate swap agreements used for interest rate risk management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67,092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54,486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firstLine="222"/>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 interest-bearing deposits at banks, short-term borrowings, accrued interest receivable and accrued interest payable</w:t>
      </w:r>
    </w:p>
    <w:p>
      <w:pPr>
        <w:spacing w:after="0" w:line="14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general, discount rates used to calculate values for loan products were based on the Company’s pricing at the respective period-end and included appropriate adjustments for expected credit losses.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6"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estimated fair value of interest rate swap agreements used for interest rate risk management represents the amount the Company would have expected to receive or pay to terminate such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12,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73"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color w:val="auto"/>
              </w:rPr>
              <w:t>March 31,</w:t>
            </w:r>
          </w:p>
        </w:tc>
        <w:tc>
          <w:tcPr>
            <w:tcW w:w="5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color w:val="auto"/>
              </w:rPr>
              <w:t>2010</w:t>
            </w:r>
          </w:p>
        </w:tc>
        <w:tc>
          <w:tcPr>
            <w:tcW w:w="1500" w:type="dxa"/>
            <w:vAlign w:val="bottom"/>
            <w:gridSpan w:val="2"/>
          </w:tcPr>
          <w:p>
            <w:pPr>
              <w:jc w:val="right"/>
              <w:ind w:right="24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560" w:type="dxa"/>
            <w:vAlign w:val="bottom"/>
          </w:tcPr>
          <w:p>
            <w:pPr>
              <w:ind w:left="60"/>
              <w:spacing w:after="0" w:line="143" w:lineRule="exact"/>
              <w:rPr>
                <w:sz w:val="20"/>
                <w:szCs w:val="20"/>
                <w:color w:val="auto"/>
              </w:rPr>
            </w:pPr>
            <w:r>
              <w:rPr>
                <w:rFonts w:ascii="Arial" w:cs="Arial" w:eastAsia="Arial" w:hAnsi="Arial"/>
                <w:sz w:val="13"/>
                <w:szCs w:val="13"/>
                <w:color w:val="auto"/>
                <w:w w:val="74"/>
              </w:rPr>
              <w:t>thousands)</w:t>
            </w: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Home equity lines of credit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w w:val="90"/>
              </w:rPr>
              <w:t>$6,468,527</w:t>
            </w:r>
          </w:p>
        </w:tc>
        <w:tc>
          <w:tcPr>
            <w:tcW w:w="1500" w:type="dxa"/>
            <w:vAlign w:val="bottom"/>
            <w:gridSpan w:val="2"/>
          </w:tcPr>
          <w:p>
            <w:pPr>
              <w:jc w:val="right"/>
              <w:ind w:right="28"/>
              <w:spacing w:after="0"/>
              <w:rPr>
                <w:sz w:val="20"/>
                <w:szCs w:val="20"/>
                <w:color w:val="auto"/>
              </w:rPr>
            </w:pPr>
            <w:r>
              <w:rPr>
                <w:rFonts w:ascii="Arial" w:cs="Arial" w:eastAsia="Arial" w:hAnsi="Arial"/>
                <w:sz w:val="18"/>
                <w:szCs w:val="18"/>
                <w:color w:val="auto"/>
              </w:rPr>
              <w:t>6,482,987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 loans to be sold</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60,858</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180,498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commercial real estate and construction</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1,377,866</w:t>
            </w:r>
          </w:p>
        </w:tc>
        <w:tc>
          <w:tcPr>
            <w:tcW w:w="1500" w:type="dxa"/>
            <w:vAlign w:val="bottom"/>
            <w:gridSpan w:val="2"/>
          </w:tcPr>
          <w:p>
            <w:pPr>
              <w:jc w:val="right"/>
              <w:ind w:right="28"/>
              <w:spacing w:after="0"/>
              <w:rPr>
                <w:sz w:val="20"/>
                <w:szCs w:val="20"/>
                <w:color w:val="auto"/>
              </w:rPr>
            </w:pPr>
            <w:r>
              <w:rPr>
                <w:rFonts w:ascii="Arial" w:cs="Arial" w:eastAsia="Arial" w:hAnsi="Arial"/>
                <w:sz w:val="18"/>
                <w:szCs w:val="18"/>
                <w:color w:val="auto"/>
              </w:rPr>
              <w:t>1,360,805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loans to be sold</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639,728</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631,090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residential real estate</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133,493</w:t>
            </w:r>
          </w:p>
        </w:tc>
        <w:tc>
          <w:tcPr>
            <w:tcW w:w="1500" w:type="dxa"/>
            <w:vAlign w:val="bottom"/>
            <w:gridSpan w:val="2"/>
          </w:tcPr>
          <w:p>
            <w:pPr>
              <w:jc w:val="right"/>
              <w:ind w:right="28"/>
              <w:spacing w:after="0"/>
              <w:rPr>
                <w:sz w:val="20"/>
                <w:szCs w:val="20"/>
                <w:color w:val="auto"/>
              </w:rPr>
            </w:pPr>
            <w:r>
              <w:rPr>
                <w:rFonts w:ascii="Arial" w:cs="Arial" w:eastAsia="Arial" w:hAnsi="Arial"/>
                <w:sz w:val="18"/>
                <w:szCs w:val="18"/>
                <w:color w:val="auto"/>
              </w:rPr>
              <w:t>127,788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other</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7,162,824</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7,155,188</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3,799,656</w:t>
            </w:r>
          </w:p>
        </w:tc>
        <w:tc>
          <w:tcPr>
            <w:tcW w:w="1500" w:type="dxa"/>
            <w:vAlign w:val="bottom"/>
            <w:gridSpan w:val="2"/>
          </w:tcPr>
          <w:p>
            <w:pPr>
              <w:jc w:val="right"/>
              <w:ind w:right="28"/>
              <w:spacing w:after="0"/>
              <w:rPr>
                <w:sz w:val="20"/>
                <w:szCs w:val="20"/>
                <w:color w:val="auto"/>
              </w:rPr>
            </w:pPr>
            <w:r>
              <w:rPr>
                <w:rFonts w:ascii="Arial" w:cs="Arial" w:eastAsia="Arial" w:hAnsi="Arial"/>
                <w:sz w:val="18"/>
                <w:szCs w:val="18"/>
                <w:color w:val="auto"/>
              </w:rPr>
              <w:t>3,828,586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68,919</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66,377</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Financial guarantees and indemnification contracts</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1,727,648</w:t>
            </w:r>
          </w:p>
        </w:tc>
        <w:tc>
          <w:tcPr>
            <w:tcW w:w="1500" w:type="dxa"/>
            <w:vAlign w:val="bottom"/>
            <w:gridSpan w:val="2"/>
          </w:tcPr>
          <w:p>
            <w:pPr>
              <w:jc w:val="right"/>
              <w:ind w:right="28"/>
              <w:spacing w:after="0"/>
              <w:rPr>
                <w:sz w:val="20"/>
                <w:szCs w:val="20"/>
                <w:color w:val="auto"/>
              </w:rPr>
            </w:pPr>
            <w:r>
              <w:rPr>
                <w:rFonts w:ascii="Arial" w:cs="Arial" w:eastAsia="Arial" w:hAnsi="Arial"/>
                <w:sz w:val="18"/>
                <w:szCs w:val="18"/>
                <w:color w:val="auto"/>
              </w:rPr>
              <w:t>1,633,549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915,949</w:t>
            </w:r>
          </w:p>
        </w:tc>
        <w:tc>
          <w:tcPr>
            <w:tcW w:w="1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1,239,001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credit is essentially the same as that involved with extending loans to customers and is subject to normal credit policies. Collateral may be obtained based on management’s assessment of the customer’s creditworthiness.</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$1.4 billion and $1.3 billion at March 31, 2010 and December 31, 2009, respectively.</w:t>
      </w:r>
    </w:p>
    <w:p>
      <w:pPr>
        <w:spacing w:after="0" w:line="85"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recorded in the consolidated balance sheet at estimated fair market value.</w:t>
      </w:r>
    </w:p>
    <w:p>
      <w:pPr>
        <w:spacing w:after="0" w:line="73"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17"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$94 million at March 31, 2010. Assets of subsidiaries providing reinsurance that are available to satisfy claims totaled approximately $74 million at March 31, 2010. The amounts noted above are not necessarily indicative of losses which may ultimately be incurred. Such losses are expected to be substantially less because most loans are repaid by borrowers in accordance with the original loan terms. Management believes any reinsurance losses that may be payable by the Company will not be material to the Company’s consolidated financial position.</w:t>
      </w:r>
    </w:p>
    <w:p>
      <w:pPr>
        <w:spacing w:after="0" w:line="7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 is contractually obligated to repurchase previously sold residential mortgage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may be associated with previously sold loans. At March 31, 2010, management believes that any remaining liability arising out of the Company’s obligation to loan purchasers is not material to the Company’s consolidated financial position.</w:t>
      </w:r>
    </w:p>
    <w:p>
      <w:pPr>
        <w:spacing w:after="0" w:line="62"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2009.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2009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jc w:val="center"/>
              <w:ind w:right="680"/>
              <w:spacing w:after="0" w:line="123" w:lineRule="exact"/>
              <w:rPr>
                <w:sz w:val="20"/>
                <w:szCs w:val="20"/>
                <w:color w:val="auto"/>
              </w:rPr>
            </w:pPr>
            <w:r>
              <w:rPr>
                <w:rFonts w:ascii="Arial" w:cs="Arial" w:eastAsia="Arial" w:hAnsi="Arial"/>
                <w:sz w:val="14"/>
                <w:szCs w:val="14"/>
                <w:color w:val="auto"/>
                <w:w w:val="97"/>
              </w:rPr>
              <w:t>Inter-</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3"/>
          </w:tcPr>
          <w:p>
            <w:pPr>
              <w:jc w:val="center"/>
              <w:ind w:right="660"/>
              <w:spacing w:after="0" w:line="123" w:lineRule="exact"/>
              <w:rPr>
                <w:sz w:val="20"/>
                <w:szCs w:val="20"/>
                <w:color w:val="auto"/>
              </w:rPr>
            </w:pPr>
            <w:r>
              <w:rPr>
                <w:rFonts w:ascii="Arial" w:cs="Arial" w:eastAsia="Arial" w:hAnsi="Arial"/>
                <w:sz w:val="14"/>
                <w:szCs w:val="14"/>
                <w:color w:val="auto"/>
                <w:w w:val="97"/>
              </w:rPr>
              <w:t>Inter-</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0"/>
                <w:szCs w:val="10"/>
                <w:color w:val="auto"/>
              </w:rPr>
            </w:pPr>
          </w:p>
        </w:tc>
      </w:tr>
      <w:tr>
        <w:trPr>
          <w:trHeight w:val="149"/>
        </w:trPr>
        <w:tc>
          <w:tcPr>
            <w:tcW w:w="3720" w:type="dxa"/>
            <w:vAlign w:val="bottom"/>
          </w:tcPr>
          <w:p>
            <w:pPr>
              <w:spacing w:after="0"/>
              <w:rPr>
                <w:sz w:val="12"/>
                <w:szCs w:val="12"/>
                <w:color w:val="auto"/>
              </w:rPr>
            </w:pPr>
          </w:p>
        </w:tc>
        <w:tc>
          <w:tcPr>
            <w:tcW w:w="13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Total</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segment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408"/>
              <w:spacing w:after="0" w:line="149"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9"/>
              </w:rPr>
              <w:t>segment</w:t>
            </w:r>
          </w:p>
        </w:tc>
        <w:tc>
          <w:tcPr>
            <w:tcW w:w="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37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revenues(a)</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revenues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88"/>
              </w:rPr>
              <w:t>revenues(a)</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revenues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$ 101,796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93,635</w:t>
            </w:r>
          </w:p>
        </w:tc>
        <w:tc>
          <w:tcPr>
            <w:tcW w:w="4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30,112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Commercial Banking</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192,406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76,868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8"/>
              <w:spacing w:after="0"/>
              <w:rPr>
                <w:sz w:val="20"/>
                <w:szCs w:val="20"/>
                <w:color w:val="auto"/>
              </w:rPr>
            </w:pPr>
            <w:r>
              <w:rPr>
                <w:rFonts w:ascii="Arial" w:cs="Arial" w:eastAsia="Arial" w:hAnsi="Arial"/>
                <w:sz w:val="18"/>
                <w:szCs w:val="18"/>
                <w:color w:val="auto"/>
                <w:w w:val="89"/>
              </w:rPr>
              <w:t>165,127</w:t>
            </w:r>
          </w:p>
        </w:tc>
        <w:tc>
          <w:tcPr>
            <w:tcW w:w="40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57,154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110,413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88,964</w:t>
            </w:r>
          </w:p>
        </w:tc>
        <w:tc>
          <w:tcPr>
            <w:tcW w:w="17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42,983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(12,233)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(2,747)</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(16,162)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11,298</w:t>
            </w:r>
          </w:p>
        </w:tc>
        <w:tc>
          <w:tcPr>
            <w:tcW w:w="260" w:type="dxa"/>
            <w:vAlign w:val="bottom"/>
          </w:tcPr>
          <w:p>
            <w:pPr>
              <w:spacing w:after="0"/>
              <w:rPr>
                <w:sz w:val="18"/>
                <w:szCs w:val="18"/>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8"/>
                <w:szCs w:val="18"/>
                <w:color w:val="auto"/>
              </w:rPr>
              <w:t>(3,084)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(5,089)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63,117</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8,197</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80,011</w:t>
            </w:r>
          </w:p>
        </w:tc>
        <w:tc>
          <w:tcPr>
            <w:tcW w:w="26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11,869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Retail Banking</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307,475</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2,687</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59,037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88"/>
              <w:spacing w:after="0"/>
              <w:rPr>
                <w:sz w:val="20"/>
                <w:szCs w:val="20"/>
                <w:color w:val="auto"/>
              </w:rPr>
            </w:pPr>
            <w:r>
              <w:rPr>
                <w:rFonts w:ascii="Arial" w:cs="Arial" w:eastAsia="Arial" w:hAnsi="Arial"/>
                <w:sz w:val="18"/>
                <w:szCs w:val="18"/>
                <w:color w:val="auto"/>
                <w:w w:val="89"/>
              </w:rPr>
              <w:t>284,652</w:t>
            </w:r>
          </w:p>
        </w:tc>
        <w:tc>
          <w:tcPr>
            <w:tcW w:w="1740" w:type="dxa"/>
            <w:vAlign w:val="bottom"/>
            <w:gridSpan w:val="4"/>
          </w:tcPr>
          <w:p>
            <w:pPr>
              <w:jc w:val="right"/>
              <w:ind w:right="660"/>
              <w:spacing w:after="0"/>
              <w:rPr>
                <w:sz w:val="20"/>
                <w:szCs w:val="20"/>
                <w:color w:val="auto"/>
              </w:rPr>
            </w:pPr>
            <w:r>
              <w:rPr>
                <w:rFonts w:ascii="Arial" w:cs="Arial" w:eastAsia="Arial" w:hAnsi="Arial"/>
                <w:sz w:val="18"/>
                <w:szCs w:val="18"/>
                <w:color w:val="auto"/>
              </w:rPr>
              <w:t>2,655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52,363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51,066</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(8,155)</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2"/>
              </w:rPr>
              <w:t>(43,539)</w:t>
            </w:r>
          </w:p>
        </w:tc>
        <w:tc>
          <w:tcPr>
            <w:tcW w:w="17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(11,446)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(118,802)</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$ 814,040</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150,955</w:t>
            </w:r>
          </w:p>
        </w:tc>
        <w:tc>
          <w:tcPr>
            <w:tcW w:w="6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680,148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64,221</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color w:val="auto"/>
              </w:rPr>
              <w:t>Average total assets</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3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tcPr>
          <w:p>
            <w:pPr>
              <w:jc w:val="right"/>
              <w:ind w:right="1100"/>
              <w:spacing w:after="0" w:line="123" w:lineRule="exact"/>
              <w:rPr>
                <w:sz w:val="20"/>
                <w:szCs w:val="20"/>
                <w:color w:val="auto"/>
              </w:rPr>
            </w:pPr>
            <w:r>
              <w:rPr>
                <w:rFonts w:ascii="Arial" w:cs="Arial" w:eastAsia="Arial" w:hAnsi="Arial"/>
                <w:sz w:val="14"/>
                <w:szCs w:val="14"/>
                <w:color w:val="auto"/>
              </w:rPr>
              <w:t>Three months ended</w:t>
            </w:r>
          </w:p>
        </w:tc>
        <w:tc>
          <w:tcPr>
            <w:tcW w:w="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00" w:type="dxa"/>
            <w:vAlign w:val="bottom"/>
          </w:tcPr>
          <w:p>
            <w:pPr>
              <w:spacing w:after="0"/>
              <w:rPr>
                <w:sz w:val="10"/>
                <w:szCs w:val="10"/>
                <w:color w:val="auto"/>
              </w:rPr>
            </w:pPr>
          </w:p>
        </w:tc>
      </w:tr>
      <w:tr>
        <w:trPr>
          <w:trHeight w:val="167"/>
        </w:trPr>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5"/>
          </w:tcPr>
          <w:p>
            <w:pPr>
              <w:jc w:val="right"/>
              <w:ind w:right="1400"/>
              <w:spacing w:after="0"/>
              <w:rPr>
                <w:sz w:val="20"/>
                <w:szCs w:val="20"/>
                <w:color w:val="auto"/>
              </w:rPr>
            </w:pPr>
            <w:r>
              <w:rPr>
                <w:rFonts w:ascii="Arial" w:cs="Arial" w:eastAsia="Arial" w:hAnsi="Arial"/>
                <w:sz w:val="14"/>
                <w:szCs w:val="14"/>
                <w:color w:val="auto"/>
                <w:w w:val="99"/>
              </w:rPr>
              <w:t>March 31</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December 31</w:t>
            </w:r>
          </w:p>
        </w:tc>
      </w:tr>
      <w:tr>
        <w:trPr>
          <w:trHeight w:val="142"/>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(in millions)</w:t>
            </w:r>
          </w:p>
        </w:tc>
        <w:tc>
          <w:tcPr>
            <w:tcW w:w="680" w:type="dxa"/>
            <w:vAlign w:val="bottom"/>
            <w:gridSpan w:val="2"/>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4,563</w:t>
            </w:r>
          </w:p>
        </w:tc>
        <w:tc>
          <w:tcPr>
            <w:tcW w:w="6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Commercial Banking</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w w:val="87"/>
              </w:rPr>
              <w:t>15,292</w:t>
            </w:r>
          </w:p>
        </w:tc>
        <w:tc>
          <w:tcPr>
            <w:tcW w:w="6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15,399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3"/>
              </w:rPr>
              <w:t>11,770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12,842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w w:val="87"/>
              </w:rPr>
              <w:t>13,407</w:t>
            </w:r>
          </w:p>
        </w:tc>
        <w:tc>
          <w:tcPr>
            <w:tcW w:w="6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13,763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2,737</w:t>
            </w:r>
          </w:p>
        </w:tc>
        <w:tc>
          <w:tcPr>
            <w:tcW w:w="6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Retail Banking</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12,272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w w:val="83"/>
              </w:rPr>
              <w:t>11,169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12,024</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5,828</w:t>
            </w:r>
          </w:p>
        </w:tc>
        <w:tc>
          <w:tcPr>
            <w:tcW w:w="6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6,023</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68,883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64,766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67,472</w:t>
            </w:r>
          </w:p>
        </w:tc>
        <w:tc>
          <w:tcPr>
            <w:tcW w:w="10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264" w:lineRule="auto"/>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w:t>
      </w:r>
    </w:p>
    <w:p>
      <w:pPr>
        <w:spacing w:after="0" w:line="14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(e.g. loans) and are paid a funding credit for any funds provided (e.g. deposits). The taxable-equivalent adjustment aggregated $5,923,000 and</w:t>
      </w:r>
    </w:p>
    <w:p>
      <w:pPr>
        <w:spacing w:after="0" w:line="35" w:lineRule="exact"/>
        <w:rPr>
          <w:sz w:val="20"/>
          <w:szCs w:val="20"/>
          <w:color w:val="auto"/>
        </w:rPr>
      </w:pPr>
    </w:p>
    <w:p>
      <w:pPr>
        <w:jc w:val="both"/>
        <w:ind w:left="460" w:right="200"/>
        <w:spacing w:after="0" w:line="255" w:lineRule="auto"/>
        <w:rPr>
          <w:sz w:val="20"/>
          <w:szCs w:val="20"/>
          <w:color w:val="auto"/>
        </w:rPr>
      </w:pPr>
      <w:r>
        <w:rPr>
          <w:rFonts w:ascii="Arial" w:cs="Arial" w:eastAsia="Arial" w:hAnsi="Arial"/>
          <w:sz w:val="18"/>
          <w:szCs w:val="18"/>
          <w:i w:val="1"/>
          <w:iCs w:val="1"/>
          <w:color w:val="auto"/>
        </w:rPr>
        <w:t>$4,933,000 for the three-month periods ended March 31, 2010 and 2009,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Relationship with Bayview Lending Group LLC and Bayview Financial Holdings, L.P.</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2007, M&amp;T invested $300 million to acquire a 20% minority interest in Bayview Lending Group LLC (“BLG”), a privately-held commercial mortgage lender. M&amp;T recognizes income from BLG using the equity method of accounting. The carrying value of that investment was $240 million at March 31, 2010.</w:t>
      </w:r>
    </w:p>
    <w:p>
      <w:pPr>
        <w:spacing w:after="0" w:line="73" w:lineRule="exact"/>
        <w:rPr>
          <w:sz w:val="20"/>
          <w:szCs w:val="20"/>
          <w:color w:val="auto"/>
        </w:rPr>
      </w:pPr>
    </w:p>
    <w:p>
      <w:pPr>
        <w:ind w:right="100" w:firstLine="225"/>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$5.8 billion and $5.5 billion at March 31, 2010 and December 31, 2009, respectively. Amounts recorded as capitalized servicing assets for such loans totaled $36 million at March 31, 2010 and $40 million at December 31, 2009. In addition, capitalized servicing rights at March 31, 2010 and December 31, 2009 also included $15 million and $17 million, respectively, for servicing rights that were obtained from Bayview Financial related to residential mortgage loans with outstanding principal balances of $4.0 billion at March 31, 2010 and $4.1 billion at December 31, 2009. Revenues from servicing residential and small-balance commercial mortgage loans obtained from BLG and Bayview Financial were $12 million and $13 million during the quarters ended March 31, 2010 and 2009, respectively. M&amp;T Bank provided $10 million and $34 million of credit facilities to Bayview Financial at March 31, 2010 and December 31, 2009, respectively, of which $10 million and $24 million was outstanding at March 31, 2010 and December 31, 2009, respectively. In addition, at each of March 31, 2010 and December 31, 2009, the Company held $25 million of collateralized mortgage obligations in its available-for-sale investment securities portfolio that were securitized by Bayview Financial. Finally, the Company held $342 million and $352 million of similar investment securities in its held-to-maturity portfolio at March 31, 2010 and December 31, 2009,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of M&amp;T and AIB</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AIB received 26,700,000 shares of M&amp;T common stock on April 1, 2003 as a result of M&amp;T’s acquisition of a subsidiary of AIB on that date. Those shares of common stock owned by AIB represented 22.5% of the issued and outstanding shares of M&amp;T common stock on March 31, 2010. While AIB maintains a significant ownership in M&amp;T, the Agreement and Plan of Reorganization between M&amp;T and AIB (“Reorganization Agreement”) includes several provisions related to the corporate governance of M&amp;T that provide AIB with representation on the M&amp;T and M&amp;T Bank boards of directors and key board committees and certain protections of its rights as a substantial M&amp;T shareholder. In addition, AIB has rights that facilitate its ability to maintain its proportionate ownership position in M&amp;T.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of M&amp;T and AIB, continued</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With respect to AIB’s right to have representation on the M&amp;T and M&amp;T Bank boards of directors and key board committees, for as long as AIB holds at least 15% of M&amp;T’s outstanding common stock, AIB is entitled to designate four individuals, reasonably acceptable to M&amp;T, on both the M&amp;T and M&amp;T Bank boards of directors. In addition, one of the AIB designees to the M&amp;T board of directors will serve on each of the Executive; Nomination, Compensation and Governance; and Audit and Risk committees. Also, as long as AIB holds at least 15% of M&amp;T’s outstanding common stock, neither the M&amp;T nor the M&amp;T Bank board of directors may consist of more than 28 directors without the consent of the M&amp;T directors designated by AIB. AIB will continue to enjoy these rights if its holdings of M&amp;T common stock drop below 15%, but not below 12%, so long as AIB restores its ownership percentage to 15% within one year. In the event that AIB holds at least 10%, but less than 15%, of M&amp;T’s outstanding common stock, AIB will be entitled to designate at least two individuals on both the M&amp;T and M&amp;T Bank boards of directors and, in the event that AIB holds at least 5%, but less than 10%, of M&amp;T’s outstanding common stock, AIB will be entitled to designate one individual on both the M&amp;T and M&amp;T Bank boards of directors. M&amp;T also has the right to appoint one representative to the AIB board while AIB remains a significant shareholder.</w:t>
      </w:r>
    </w:p>
    <w:p>
      <w:pPr>
        <w:spacing w:after="0" w:line="70"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There are several other corporate governance provisions that serve to protect AIB’s rights as a substantial M&amp;T shareholder and are embodied in M&amp;T’s certificate of incorporation and bylaws. These protections include an effective consent right in connection with certain actions by M&amp;T, such as amending M&amp;T’s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M&amp;T. AIB has the right to limit, with the agreement of at least one non-AIB designee on the M&amp;T board of directors, other actions by M&amp;T, such as reducing M&amp;T’s cash dividend policy such that the ratio of cash dividends to net income is less than 15%, acquisitions and dispositions of significant amounts of assets, and the appointment or election of the chairman of the board of directors or the chief executive officer of M&amp;T. The protective provisions described above will cease to be applicable when AIB no longer owns at least 15% of M&amp;T’s outstanding common stock, calculated as described in the Reorganization Agreement.</w:t>
      </w:r>
    </w:p>
    <w:p>
      <w:pPr>
        <w:spacing w:after="0" w:line="5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an effort to raise its capital position to meet new Irish government-mandated capital requirements, AIB announced in March 2010 that it plans to sell its ownership interest in M&amp;T by the end of 2010.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M&amp;T Bank Corporation (“M&amp;T”) recorded net income in the first quarter of 2010 of $151 million or $1.15 of diluted earnings per common share, compared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$64 million or $.49 of diluted earnings per common share in the first quarter of 2009. During the fourth quarter of 2009, net income totaled $137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$1.04 of diluted earnings per common share. Basic earnings per common share were $1.16 in the initial 2010 quarter, compared with $.49 and $1.05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and fourth quarters of 2009, respectively. The after-tax impact of acquisition and integration-related expenses (included herein as merger-related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associated with M&amp;T’s May 23, 2009 acquisition of Provident Bankshares Corporation (“Provident”) was $1 million ($2 million pre-tax), or $.01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basic and diluted earnings per common share in the initial quarter of 2009. Merger-related expenses in the fourth quarter of 2009 aggregated $4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 million pre-tax) or $.03 of basic and diluted earnings per common share. Such expenses related to the acquisition of Provident and to the August 28,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between the Federal Deposit Insurance Corporation (“FDIC”) and M&amp;T Bank, the principal banking subsidiary of M&amp;T, for M&amp;T Bank to assume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of the deposits and acquire certain assets of Bradford Bank (“Bradford”). There were no merger-related expenses in 2010’s initial quarter.</w:t>
      </w:r>
    </w:p>
    <w:p>
      <w:pPr>
        <w:spacing w:after="0" w:line="103"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annualized rate of return on average total assets for M&amp;T and its consolidated subsidiaries (“the Company”) in the first quarter of 2010 was .89%, compared with .40% in the year-earlier quarter and .79% in the fourth quarter of 2009. The annualized rate of return on average common stockholders’ equity was 7.86% in the first three months of 2010, compared with 3.61% and 7.09% in the first and fourth quarters of 2009, respectively.</w:t>
      </w:r>
    </w:p>
    <w:p>
      <w:pPr>
        <w:spacing w:after="0" w:line="57"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condition of the residential real estate marketplace and the U.S. economy has had a significant impact on the financial services industry as a whole, and specifically on the financial results of the Company. A pronounced downturn in the residential real estate market that began in early 2007 has resulted in significantly lower residential real estate values and higher delinquencies and charge-offs of loans, including loans to builders and developers of residential real estate. In addition, the U.S. economy was in recession during 2008 and 2009, and high unemployment continues to hinder a recovery. As a result, the Company experienced higher than historical levels of delinquencies and charge-offs related to its commercial loan and commercial real estate loan portfolios during 2009 and early 2010 as well. Investment securities backed by residential and commercial real estate have reflected substantial unrealized losses during the real estate downturn due to a lack of liquidity in the financial markets and anticipated credit losses. Many financial institutions, including the Company, have taken charges for those unrealized losses that were deemed to be other than temporary.</w:t>
      </w:r>
    </w:p>
    <w:p>
      <w:pPr>
        <w:spacing w:after="0" w:line="58"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Reflected in M&amp;T’s first quarter 2010 results were $16 million of after-tax other-than-temporary impairment charges ($27 million before taxes) on certain available-for-sale investment securities, reducing diluted earnings per common share by $.14. Specifically, such charges related to certain privately issued collateralized mortgage obligations (“CMOs”) backed by residential real estate loans. However, because those investment securities were previously reflected at fair values on the consolidated balance sheet, the impairment charges did not reduce stockholders’ equity.</w:t>
      </w:r>
    </w:p>
    <w:p>
      <w:pPr>
        <w:spacing w:after="0" w:line="63" w:lineRule="exact"/>
        <w:rPr>
          <w:sz w:val="20"/>
          <w:szCs w:val="20"/>
          <w:color w:val="auto"/>
        </w:rPr>
      </w:pPr>
    </w:p>
    <w:p>
      <w:pPr>
        <w:jc w:val="both"/>
        <w:ind w:right="420" w:firstLine="222"/>
        <w:spacing w:after="0" w:line="264" w:lineRule="auto"/>
        <w:rPr>
          <w:sz w:val="20"/>
          <w:szCs w:val="20"/>
          <w:color w:val="auto"/>
        </w:rPr>
      </w:pPr>
      <w:r>
        <w:rPr>
          <w:rFonts w:ascii="Arial" w:cs="Arial" w:eastAsia="Arial" w:hAnsi="Arial"/>
          <w:sz w:val="18"/>
          <w:szCs w:val="18"/>
          <w:color w:val="auto"/>
        </w:rPr>
        <w:t>The Financial Accounting Standards Board (“FASB”) amended generally accepted accounting principles (“GAAP”) in June 2009 relating to: (1) the consolidation of variable interest entities to eliminate the quantitative approach previously required for determining the primary beneficiary of a variable interest entity; and (2) accounting for transfers of financial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assets to eliminate the exceptions for qualifying special 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 on or after the effective date. Additionally, beginning January 1, 2010, the concept of a qualifying special-purpose entity is no longer relevant for accounting purposes. Therefore, formerly qualifying special-purpose entities must now be evaluated for consolidation in accordance with applicable consolidation guidance, including the new accounting guidance relating to the consolidation of variable interest entities.</w:t>
      </w:r>
    </w:p>
    <w:p>
      <w:pPr>
        <w:spacing w:after="0" w:line="70" w:lineRule="exact"/>
        <w:rPr>
          <w:sz w:val="20"/>
          <w:szCs w:val="20"/>
          <w:color w:val="auto"/>
        </w:rPr>
      </w:pPr>
    </w:p>
    <w:p>
      <w:pPr>
        <w:jc w:val="both"/>
        <w:ind w:right="100" w:firstLine="225"/>
        <w:spacing w:after="0" w:line="288" w:lineRule="auto"/>
        <w:rPr>
          <w:sz w:val="20"/>
          <w:szCs w:val="20"/>
          <w:color w:val="auto"/>
        </w:rPr>
      </w:pPr>
      <w:r>
        <w:rPr>
          <w:rFonts w:ascii="Arial" w:cs="Arial" w:eastAsia="Arial" w:hAnsi="Arial"/>
          <w:sz w:val="16"/>
          <w:szCs w:val="16"/>
          <w:color w:val="auto"/>
        </w:rPr>
        <w:t>In accordance with the new accounting requirements, effective January 1, 2010 the Company includes in its consolidated financial statements one-to-four family residential mortgage loans that were included in two separate non-recourse securitization transactions using qualified special trusts. The effect of that consolidation was to increase residential real estate loans by $424 million, decrease the amortized cost of available-for-sale investment securities by</w:t>
      </w:r>
    </w:p>
    <w:p>
      <w:pPr>
        <w:ind w:right="700"/>
        <w:spacing w:after="0" w:line="261" w:lineRule="auto"/>
        <w:rPr>
          <w:sz w:val="20"/>
          <w:szCs w:val="20"/>
          <w:color w:val="auto"/>
        </w:rPr>
      </w:pPr>
      <w:r>
        <w:rPr>
          <w:rFonts w:ascii="Arial" w:cs="Arial" w:eastAsia="Arial" w:hAnsi="Arial"/>
          <w:sz w:val="18"/>
          <w:szCs w:val="18"/>
          <w:color w:val="auto"/>
        </w:rPr>
        <w:t>$360 million (fair value of $355 million as of January 1, 2010), and increase borrowings by $65 million. Information concerning these securitization transactions is included in note 10 of Notes to Financial Statements.</w:t>
      </w:r>
    </w:p>
    <w:p>
      <w:pPr>
        <w:spacing w:after="0" w:line="76"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Company’s financial results for the first quarter of 2009 were significantly affected by the recessionary state of the U.S. economy and the deterioration of residential real estate values throughout much of the country. Specifically, the provision for credit losses rose to $158 million, its highest level ever, and net loan charge-offs totaled $100 million in the first quarter of 2009. The excess of that quarter’s provision above net charge-offs was deemed necessary due largely to a commercial loan transferred to nonaccrual status during the initial 2009 quarter for which the full collectibility was in question. During the second quarter of 2009, $33 million of that loan was charged off. After-tax other-than-temporary impairment charges of $20 million ($32 million before taxes), or $.18 of diluted earnings per common share, were recorded during the initial quarter of 2009 on privately issued CMOs. Those securities, which are collateralized by residential real estate loans, are held in the Company’s available-for-sale investment securities portfolio.</w:t>
      </w:r>
    </w:p>
    <w:p>
      <w:pPr>
        <w:spacing w:after="0" w:line="7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also recorded after-tax other-than-temporary impairment charges of $21 million ($34 million before taxes), or $.18 of diluted earnings per common share, in the final quarter of 2009 related to certain privately issued CMOs and collateralized debt obligations (“CDOs”). The Company continues to hold those bonds in its available-for-sale investment securities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 a result of business combinations and other acquisitions, the Company had intangible assets consisting of goodwill and core deposit and other intangible assets totaling $3.7 billion at each of March 31, 2010 and December 31, 2009, compared with $3.4 billion at March 31, 2009. Included in such intangible assets was goodwill of $3.5 billion at March 31, 2010 and December 31, 2009 and $3.2 billion at March 31, 2009. Amortization of core deposit and other intangible assets, after tax effect, was $10 million ($.08 per diluted common share) during the initial quarter of 2010, $9 million ($.09 per diluted common share) during the year-earlier quarter and $10 million ($.09 per diluted common share) in the fourth quarter of 2009.</w:t>
      </w:r>
    </w:p>
    <w:p>
      <w:pPr>
        <w:spacing w:after="0" w:line="64"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M&amp;T consistently provides supplemental reporting of its results on a “net operating” or “tangible” basis, from which M&amp;T excludes the after-tax effect of amortization of core deposit and other intangible assets (and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Net operating income totaled $161 million in the first quarter of 2010, compared with $75 million in the year-earlier quarter. Diluted net operating earnings per common share for the recent quarter were $1.23, compared with $.59 in the initial 2009 quarter. Net operating income and diluted net operating earnings per common share were $151 million and $1.16, respectively, in the fourth quarter of 2009.</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Net operating income in the first quarter of 2010 represented an annualized rate of return on average tangible assets of 1.00%, compared with .50%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.92% in the first and fourth quarters of 2009, respectively. Net operating income expressed as an annualized return on average tangible common equity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17.34% in the recently completed quarter, compared with 9.36% in the year-earlier quarter and 16.73% in the final quarter of 2009.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results with non-GAAP results are provided in table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Taxable-equivalent net interest income aggregated $562 million in the first quarter of 2010, up 24% from $453 million in the corresponding 2009 quarter but down slightly from $565 million in the fourth quarter of 2009. The improvement in the recent quarter’s total as compared with the first quarter of 2009 reflects a 59 basis point (hundredths of one percent) widening of the Company’s net interest margin, or taxable-equivalent net interest income expressed as an annualized percentage of average earning assets, and higher average earning assets, which rose $2.8 billion, or 5%, to $60.3 billion from $57.5 billion in the first quarter of 2009. The slight decline in net interest income from the fourth quarter of 2009 reflects the impact of fewer days in the recent quarter, offset, in part, by a 7 basis point widening of the net interest margin. The net interest margin was 3.78% in the initial 2010 quarter, compared with 3.19% in the year-earlier period and 3.71% in the fourth quarter of 2009.</w:t>
      </w:r>
    </w:p>
    <w:p>
      <w:pPr>
        <w:spacing w:after="0" w:line="70" w:lineRule="exact"/>
        <w:rPr>
          <w:sz w:val="20"/>
          <w:szCs w:val="20"/>
          <w:color w:val="auto"/>
        </w:rPr>
      </w:pPr>
    </w:p>
    <w:p>
      <w:pPr>
        <w:ind w:right="60" w:firstLine="215"/>
        <w:spacing w:after="0" w:line="286" w:lineRule="auto"/>
        <w:rPr>
          <w:sz w:val="20"/>
          <w:szCs w:val="20"/>
          <w:color w:val="auto"/>
        </w:rPr>
      </w:pPr>
      <w:r>
        <w:rPr>
          <w:rFonts w:ascii="Arial" w:cs="Arial" w:eastAsia="Arial" w:hAnsi="Arial"/>
          <w:sz w:val="16"/>
          <w:szCs w:val="16"/>
          <w:color w:val="auto"/>
        </w:rPr>
        <w:t>Average loans and leases rose $3.1 billion, or 6%, to $51.9 billion in the first quarter of 2010 from $48.8 billion in 2009’s initial quarter. Included in average loans and leases in the recent quarter were loans obtained in the Provident and Bradford acquisition transactions. Loans associated with Provident totaled $4.0 billion on the May 23, 2009 acquisition date and loans associated with Bradford totaled $302 million on the August 28, 2009 closing date of that transaction. In total, the acquired loans consisted of approximately $700 million of commercial loans, $1.8 billion of commercial real estate loans,</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$400 million of residential real estate loans and $1.4 billion of consumer loans. Including the impact of the acquired loan balances, commercial loans and leases averaged $13.4 billion in the first 2010 quarter, down 4% from $14.0 billion in the year-earlier quarter. That decline was the result of generally lower demand for commercial loans. Average commercial real estate loans rose $2.1 billion or 11% to $20.9 billion in the recent quarter from $18.8 billion in the first quarter</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of 2009. The Company’s residential real estate loan portfolio averaged $5.7 billion in 2010’s initial quarter, up $708 million or 14% from $5.0 billion in the corresponding quarter of 2009. Included in that portfolio were loans held for sale, which averaged $404 million in the recently completed quarter, compared with $548 million in the first quarter of 2009. Also reflected in average residential real estate loans in the first quarter of 2010 were $416 million of loans related to the implementation of the new accounting requirements previously discussed. Excluding such loans and loans held for sale, average residential real estate loans increased $436 million from the first quarter of 2009 to the first quarter of 2010. Average consumer loans and leases totaled $11.9 billion in the recent quarter, up $966 million or 9% from $11.0 billion in the year-earlier period. That growth was due to loans obtained from Provident and Bradford (largely home equity loans and lines of credit) and higher outstanding balances of legacy home equity lines of credit, partially offset by declines in average outstanding automobile loan balances.</w:t>
      </w:r>
    </w:p>
    <w:p>
      <w:pPr>
        <w:spacing w:after="0" w:line="84" w:lineRule="exact"/>
        <w:rPr>
          <w:sz w:val="20"/>
          <w:szCs w:val="20"/>
          <w:color w:val="auto"/>
        </w:rPr>
      </w:pPr>
    </w:p>
    <w:p>
      <w:pPr>
        <w:ind w:right="200" w:firstLine="215"/>
        <w:spacing w:after="0" w:line="293" w:lineRule="auto"/>
        <w:rPr>
          <w:sz w:val="20"/>
          <w:szCs w:val="20"/>
          <w:color w:val="auto"/>
        </w:rPr>
      </w:pPr>
      <w:r>
        <w:rPr>
          <w:rFonts w:ascii="Arial" w:cs="Arial" w:eastAsia="Arial" w:hAnsi="Arial"/>
          <w:sz w:val="16"/>
          <w:szCs w:val="16"/>
          <w:color w:val="auto"/>
        </w:rPr>
        <w:t>After excluding the loans recorded as a result of the new accounting requirements effective January 1, 2010, average loan balances in the recent quarter declined $556 million, or 1%, from the fourth quarter of 2009. Relatively modest changes were experienced in each of the major loan categories during the recent quarter as compared with the final quarter of 2009. Although the Company has experienced sluggish borrower demand for loans, certain of the loan portfolios have been allowed to decline where the Company has decided it does not want to pursue growth. Examples of those portfolios include residential real estate construction loans, Alt-A residential mortgage loans, indirect automobile loans outside of the Company’s footprint and out-of-footprint home equity loans. The accompanying table summarizes quarterly changes in the major components of the loan and lease portfolio.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3"/>
          </w:tcPr>
          <w:p>
            <w:pPr>
              <w:ind w:left="580"/>
              <w:spacing w:after="0"/>
              <w:rPr>
                <w:sz w:val="20"/>
                <w:szCs w:val="20"/>
                <w:color w:val="auto"/>
              </w:rPr>
            </w:pPr>
            <w:r>
              <w:rPr>
                <w:rFonts w:ascii="Arial" w:cs="Arial" w:eastAsia="Arial" w:hAnsi="Arial"/>
                <w:sz w:val="14"/>
                <w:szCs w:val="14"/>
                <w:color w:val="auto"/>
                <w:w w:val="89"/>
              </w:rPr>
              <w:t>Percent increase</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3"/>
          </w:tcPr>
          <w:p>
            <w:pPr>
              <w:ind w:left="600"/>
              <w:spacing w:after="0" w:line="149" w:lineRule="exact"/>
              <w:rPr>
                <w:sz w:val="20"/>
                <w:szCs w:val="20"/>
                <w:color w:val="auto"/>
              </w:rPr>
            </w:pPr>
            <w:r>
              <w:rPr>
                <w:rFonts w:ascii="Arial" w:cs="Arial" w:eastAsia="Arial" w:hAnsi="Arial"/>
                <w:sz w:val="14"/>
                <w:szCs w:val="14"/>
                <w:color w:val="auto"/>
                <w:w w:val="93"/>
              </w:rPr>
              <w:t>(decrease) from</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1st Qtr.</w:t>
            </w:r>
          </w:p>
        </w:tc>
        <w:tc>
          <w:tcPr>
            <w:tcW w:w="15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1"/>
              </w:rPr>
              <w:t>1st Qtr.</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4th Qtr.</w:t>
            </w:r>
          </w:p>
        </w:tc>
        <w:tc>
          <w:tcPr>
            <w:tcW w:w="0" w:type="dxa"/>
            <w:vAlign w:val="bottom"/>
          </w:tcPr>
          <w:p>
            <w:pPr>
              <w:spacing w:after="0"/>
              <w:rPr>
                <w:sz w:val="1"/>
                <w:szCs w:val="1"/>
                <w:color w:val="auto"/>
              </w:rPr>
            </w:pPr>
          </w:p>
        </w:tc>
      </w:tr>
      <w:tr>
        <w:trPr>
          <w:trHeight w:val="167"/>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2009</w:t>
            </w: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13,408</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20,867</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5,742</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Automobile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2,898</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Home equity lines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5,851</w:t>
            </w: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equity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consumer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6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51,948</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investment securities portfolio averaged $8.2 billion during the initial quarter of 2010, down from $8.5 billion in the first quarter of 2009 but little changed from 2009’s final quarter. The decline in such securities from the first quarter of 2009 largely reflects maturities and paydowns of mortgage-backed securities, maturities of federal agency notes and the impact of adopting the new accounting rules on January 1, 2010 as already noted, partially offset by investment securities obtained in the acquisition of Provident and recent-quarter purchases of $961 million of mortgage-backed securities issued by the Federal National Mortgage Association (“Fannie Mae”) and the Federal Home Loan Mortgage Corporation (“Freddie Mac”). As compared with the fourth quarter of 2009, the recent quarter purchases were largely offset by maturities and paydowns of mortgage-backed securities and the impact of the change in accounting requirements. The investment securities portfolio is largely comprised of residential mortgage-backed securities and CMOs, debt securities issued by municipalities, debt and preferred equity securities issued by government-sponsored agencies and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changes in interest rates and spreads, actual or anticipated prepayments, credit risk associated with a particular security, or as a result of restructuring its investment securities portfolio following completion of a business combination.</w:t>
      </w:r>
    </w:p>
    <w:p>
      <w:pPr>
        <w:spacing w:after="0" w:line="62"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As previously discussed, an other-than-temporary impairment charge of $27 million (pre-tax) was recognized in the first quarter of 2010 related to certain privately issued CMOs held in the Company’s available-for-sale investment securities portfolio. Other-than-temporary impairment charges of $32 million (pre-tax) and $34 million (pre-tax) were recognized during the initial quarter of 2009 and the fourth quarter of 2009, respectively. Those charges were also largely related to the Company’s available-for-sale portfolio of privately issued residential CMOs. Poor economic conditions, high unemployment and depressed real estate values are significant factors contributing to the recognition of the other-than-temporary impairment charges. Based on management’s assessment of future cash flows associated with individual investment securities, as of March 31, 2010 the Company concluded that the remaining declines associated with the rest of the investment securities portfolio were temporary in nature. A further discussion of fair values of investment securities is included herein under the heading “Capital”. Additional information about the investment securities portfolio is included in notes 3 and 11 of Notes to Financial Statements.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Other earning assets include deposits at banks, trading account assets, federal funds sold and agreements to resell securities. Those other earning assets in the aggregate averaged $211 million in the recently completed quarter, compared with $195 million and $167 million in the first and fourth quarters of 2009, respectively.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8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As a result of the changes described herein, average earning assets aggregated $60.3 billion in the first quarter of 2010, compared with $57.5 billion in the similar 2009 quarter. Average earning assets aggregated $60.5 billion in the fourth quarter of 2009.</w:t>
      </w:r>
    </w:p>
    <w:p>
      <w:pPr>
        <w:spacing w:after="0" w:line="62"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most significant source of funding for the Company is core deposits, which are comprised of noninterest-bearing deposits, interest-bearing transaction accounts, savings deposits and domestic time deposits under $100,000. The Company’s branch network is its principal source of core deposits, which generally carry lower interest rates than wholesale funds of comparable maturities. Certificates of deposit under $100,000 generated on a nationwide basis by M&amp;T Bank, National Association (“M&amp;T Bank, N.A.”), a wholly owned bank subsidiary of M&amp;T, are also included in core deposits. Core deposits averaged $42.9 billion in the first quarter of 2010, up 24% from $34.7 billion in the corresponding 2009 quarter and 1% higher than $42.3 billion in the fourth quarter of 2009. The 2009 acquisition transactions added $3.8 billion of core deposits on the respective acquisition dates. Excluding deposits obtained in those transactions, the growth in core deposits since the first quarter of 2009 was due, in part, to the lack of attractiveness to the Company’s customers of alternative investments resulting from lower interest rates and the recessionary environment in the U.S. The continuing low interest rate environment has resulted in a shift in customer savings trends, as average time deposits have continued to decline, while average noninterest-bearing deposits and savings deposits have increased. The following table provides an analysis of quarterly changes in the components of average core deposits.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20" w:type="dxa"/>
            <w:vAlign w:val="bottom"/>
            <w:gridSpan w:val="3"/>
          </w:tcPr>
          <w:p>
            <w:pPr>
              <w:ind w:left="560"/>
              <w:spacing w:after="0"/>
              <w:rPr>
                <w:sz w:val="20"/>
                <w:szCs w:val="20"/>
                <w:color w:val="auto"/>
              </w:rPr>
            </w:pPr>
            <w:r>
              <w:rPr>
                <w:rFonts w:ascii="Arial" w:cs="Arial" w:eastAsia="Arial" w:hAnsi="Arial"/>
                <w:sz w:val="14"/>
                <w:szCs w:val="14"/>
                <w:color w:val="auto"/>
                <w:w w:val="89"/>
              </w:rPr>
              <w:t>Percent increase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20" w:type="dxa"/>
            <w:vAlign w:val="bottom"/>
            <w:gridSpan w:val="3"/>
          </w:tcPr>
          <w:p>
            <w:pPr>
              <w:ind w:left="580"/>
              <w:spacing w:after="0" w:line="149" w:lineRule="exact"/>
              <w:rPr>
                <w:sz w:val="20"/>
                <w:szCs w:val="20"/>
                <w:color w:val="auto"/>
              </w:rPr>
            </w:pPr>
            <w:r>
              <w:rPr>
                <w:rFonts w:ascii="Arial" w:cs="Arial" w:eastAsia="Arial" w:hAnsi="Arial"/>
                <w:sz w:val="14"/>
                <w:szCs w:val="14"/>
                <w:color w:val="auto"/>
                <w:w w:val="93"/>
              </w:rPr>
              <w:t>(decrease) from</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1"/>
              </w:rPr>
              <w:t>1st Qtr.</w:t>
            </w:r>
          </w:p>
        </w:tc>
        <w:tc>
          <w:tcPr>
            <w:tcW w:w="1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1st Qtr.</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9"/>
              </w:rPr>
              <w:t>4th Qtr.</w:t>
            </w:r>
          </w:p>
        </w:tc>
      </w:tr>
      <w:tr>
        <w:trPr>
          <w:trHeight w:val="167"/>
        </w:trPr>
        <w:tc>
          <w:tcPr>
            <w:tcW w:w="7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2009</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579</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24,396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6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13,294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7"/>
        </w:trPr>
        <w:tc>
          <w:tcPr>
            <w:tcW w:w="7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42,931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7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In addition to core deposits, domestic time deposits of $100,000 or more, deposits originated through the Company’s offshore branch office, and brokered deposits provide sources of funding for the Company. Domestic time deposits over $100,000, excluding brokered certificates of deposit, averaged $1.8 billion during the first quarter of 2010, compared with $3.0 billion and $2.2 billion in the first and fourth quarters of 2009, respectively. Offshore branch deposits, primarily comprised of accounts with balances of $100,000 or more, averaged $1.2 billion, $2.5 billion and $1.3 billion for the quarters ended March 31, 2010, March 31, 2009 and December 31, 2009, respectively. Average brokered time deposits totaled $785 million during the recently completed quarter, compared with $435 million and $1.0 billion in the first and fourth quarters of 2009, respectively. Reflected in average brokered time deposits in the first quarter of 2010 and in the fourth quarter of 2009 were approximately $740 million and $889 million, respectively, of deposits obtained in the Provident transaction.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$25 million of brokered time deposits. The Company also had brokered NOW and brokered money-market deposit accounts which in the aggregate averaged $678 million during the first quarter of 2010, compared with $894 million in the year-earlier quarter and $586 million in the fourth quarter of 2009. Offshore branch deposits and brokered deposits have been used by the Company as alternatives to short-term borrowings. Additional amounts of offshore branch deposits or brokered deposits may be added in the future depending on market conditions, including demand by customers and other investors for those deposits, and the cost of funds available from alternative sources at the time.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also uses borrowings from banks, securities dealers, various Federal Home Loan Banks (“FHLBs”), the Federal Reserve and others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sources of funding. Short-term borrowings averaged $2.4 billion in the initial 2010 quarter, compared with $3.5 billion in the year-earlier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 billion in the fourth quarter of 2009. Included in short-term borrowings were unsecured federal funds borrowings, which generally mature on the next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day, that averaged $2.1 billion in the recent quarter, compared with $1.8 billion and $2.0 billion in the first and fourth quarters of 2009,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Overnight federal funds borrowings represented the largest component of short-term borrowings and are obtained from a wide variety of banks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institutions. Average short-term borrowings included borrowings from the FHLB of New York and the FHLB of Atlanta which totaled $100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recent quarter, compared with $1.0 billion and $186 million in the first and fourth quarters of 2009, respectively. Also included in short-term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were secured borrowings with the Federal Reserve through their Term Auction Facility (“TAF”). Borrowings under the TAF averaged</w:t>
      </w:r>
    </w:p>
    <w:p>
      <w:pPr>
        <w:spacing w:after="0" w:line="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$467 million during the three-month period ended March 31, 2009, while there were no such outstanding borrowings during the quarters ended March 31, 2010 and December 31, 2009.</w:t>
      </w:r>
    </w:p>
    <w:p>
      <w:pPr>
        <w:spacing w:after="0" w:line="76"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Long-term borrowings averaged $10.2 billion in the first quarter of 2010, compared with $11.6 billion in the corresponding 2009 quarter and $10.3 billion in the final quarter of 2009. Included in average long-term borrowings were amounts borrowed from the FHLBs of $5.1 billion in the initial quarter of 2010,</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and $6.7 billion and $5.3 billion in the first and fourth quarters of 2009, respectively, and subordinated capital notes of $1.9 billion in each of the quarters ended March 31, 2010, March 31, 2009 and December 31, 2009. Junior subordinated debentures associated with trust preferred securities that were included in average long-term borrowings were $1.2 billion in each of the first quarter of 2010 and the fourth quarter of 2009, compared with $1.1 billion in the first quarter of 2009. Information regarding trust preferred securities and the related junior subordinated debentures is provided in note 4 of Notes to Financial Statements. Also included in long-term borrowings were agreements to repurchase securities, which averaged $1.6 billion during each of the first quarters of 2010 and 2009 and the fourth quarter of 2009. The agreements have various repurchase dates through 2017, however, the contractual maturities of the underlying securities extend beyond such repurchase dates.</w:t>
      </w:r>
    </w:p>
    <w:p>
      <w:pPr>
        <w:spacing w:after="0" w:line="7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Changes in the composition of the Company’s earning assets and interest-bearing liabilities, as described herein, as well as changes in interest rates and spreads, can impact net interest income. Net interest spread, or the difference between the taxable-equivalent yield on earning assets and the rate paid on interest-bearing liabilities, was 3.55% in the first quarter of 2010 and 2.91% in the year-earlier quarter. The yield on earning assets during the recent quarter was 4.59%, down 6 basis points from 4.65% in the first quarter of 2009, while the rate paid on interest-bearing liabilities decreased 70 basis points to 1.04% from 1.74%. In the fourth quarter of 2009, the net interest spread was 3.45%, the yield on earning assets was 4.58% and the rate paid on interest-bearing liabilities was 1.13%. The significant improvement in the net interest spread in the two most recent quarters as compared with the first quarter of 2009 was due largely to declines in the rates paid on deposits and long-term borrowings. Those lower rates reflect the impact of the stagnant economy and the Federal Reserve’s monetary policies on both short-term and long-term interest rates. In addition, the Federal Open Market Committee noted in January 2010 that low rates of resource utilization, subdued inflation trends, and stable inflation expectations were likely to warrant exceptionally low levels of the federal funds rate for an extended period of time.</w:t>
      </w:r>
    </w:p>
    <w:p>
      <w:pPr>
        <w:spacing w:after="0" w:line="70" w:lineRule="exact"/>
        <w:rPr>
          <w:sz w:val="20"/>
          <w:szCs w:val="20"/>
          <w:color w:val="auto"/>
        </w:rPr>
      </w:pPr>
    </w:p>
    <w:p>
      <w:pPr>
        <w:ind w:right="80" w:firstLine="225"/>
        <w:spacing w:after="0" w:line="288" w:lineRule="auto"/>
        <w:rPr>
          <w:sz w:val="20"/>
          <w:szCs w:val="20"/>
          <w:color w:val="auto"/>
        </w:rPr>
      </w:pPr>
      <w:r>
        <w:rPr>
          <w:rFonts w:ascii="Arial" w:cs="Arial" w:eastAsia="Arial" w:hAnsi="Arial"/>
          <w:sz w:val="16"/>
          <w:szCs w:val="16"/>
          <w:color w:val="auto"/>
        </w:rPr>
        <w:t>Net interest-free funds consist largely of noninterest-bearing demand deposits and stockholders’ equity, partially offset by bank owned life insurance and non-earning assets, including goodwill, core deposit and other intangible assets. Net interest-free funds averaged $13.7 billion in the first quarter of 2010, compared with $9.5 billion and $13.5 billion in the first and fourth quarters of 2009, respectively. The rise in net interest free funds in the two most recent quarters as compared with the first quarter of 2009 was largely the result of higher average balances of noninterest-bearing deposits. Such deposits averaged $13.3 billion in the recent quarter, compared with $8.6 billion and $12.9 billion in the first and fourth quarters of 2009, respectively. In connection with the Provident and Bradford transactions, the Company added noninterest-bearing deposits totaling $946 million at the respective acquisition dates. Goodwill and core deposit and other intangible assets averaged $3.7 billion during each of the quarters ended March 31, 2010 and December 31, 2009, compared with $3.4 billion during the quarter ended March 31, 2009. The cash surrender value of bank owned life insurance averaged $1.5 billion in the two most recent quarters and $1.2 billion in the initial 2009 quarter. Increases in the cash surrender value of bank owned life insurance and benefits received are not included in interest income, but rather are recorded in “other revenues from operations.”</w:t>
      </w:r>
    </w:p>
    <w:p>
      <w:pPr>
        <w:spacing w:after="0" w:line="61"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The contribution of net interest-free funds to net interest margin was .23% in the recent quarter, compared with .28% in the first quarter of 2009 and .26% in 2009’s final quarter. The decrease in the contribution to net interest margin ascribed to net interest-free funds in the recent quarter as compared with the first and fourth quarters of 2009 resulted largely from the impact of lower interest rates on interest-bearing liabilities used to value such contribution.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3.78% in the first quarter of 2010, compared with 3.19% in the year-earlier quarter and 3.71% in the fourth quarter of 2009. Future changes in market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or spreads, as well as changes in the composition of the Company’s portfolios of earning assets and interest-bearing liabilities that result in reductions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spreads, could adversely impact the Company’s net interest income and net interest margin.</w:t>
      </w:r>
    </w:p>
    <w:p>
      <w:pPr>
        <w:spacing w:after="0" w:line="103"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approximately $1.1 billion at each of March 31, 2010, March 31, 2009 and December 31, 2009. Under the terms of those swap agreements, the Company received payments based on the outstanding notional amount at fixed rates and made payments at variable rates. Those swap agreements were designated as fair value hedges of certain fixed rate time deposits and long-term borrowings. There were no interest rate swap agreements designated as cash flow hedges at those respective dates.</w:t>
      </w:r>
    </w:p>
    <w:p>
      <w:pPr>
        <w:spacing w:after="0" w:line="71"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March 31, 2010 and 2009 and the quarter ended December 31, 2009 were not material to the Company’s results of operations. The estimated aggregate fair value of interest rate swap agreements designated as fair value hedges represented gains of approximately $67 million at March 31, 2010, $125 million at March 31, 2009 and $54 million at December 31, 2009.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March 31, 2010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$47 million of collateral with the Company.</w:t>
      </w:r>
    </w:p>
    <w:p>
      <w:pPr>
        <w:spacing w:after="0" w:line="6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6.30% and 2.07%, respectively, at March 31, 2010. The average notional amounts of interest rate swap agreements entered into for interest rate risk management purposes, the related effect on net interest income and margin, and the weighted-average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color w:val="auto"/>
                <w:w w:val="99"/>
              </w:rPr>
              <w:t>Three months ended March 31</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96"/>
              </w:rPr>
              <w:t>2009</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Amount</w:t>
            </w:r>
          </w:p>
        </w:tc>
        <w:tc>
          <w:tcPr>
            <w:tcW w:w="680" w:type="dxa"/>
            <w:vAlign w:val="bottom"/>
          </w:tcPr>
          <w:p>
            <w:pPr>
              <w:ind w:left="140"/>
              <w:spacing w:after="0" w:line="142" w:lineRule="exact"/>
              <w:rPr>
                <w:sz w:val="20"/>
                <w:szCs w:val="20"/>
                <w:color w:val="auto"/>
              </w:rPr>
            </w:pPr>
            <w:r>
              <w:rPr>
                <w:rFonts w:ascii="Arial" w:cs="Arial" w:eastAsia="Arial" w:hAnsi="Arial"/>
                <w:sz w:val="14"/>
                <w:szCs w:val="14"/>
                <w:color w:val="auto"/>
              </w:rPr>
              <w:t>Rate(a)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Amount</w:t>
            </w:r>
          </w:p>
        </w:tc>
        <w:tc>
          <w:tcPr>
            <w:tcW w:w="580" w:type="dxa"/>
            <w:vAlign w:val="bottom"/>
          </w:tcPr>
          <w:p>
            <w:pPr>
              <w:spacing w:after="0"/>
              <w:rPr>
                <w:sz w:val="12"/>
                <w:szCs w:val="12"/>
                <w:color w:val="auto"/>
              </w:rPr>
            </w:pPr>
          </w:p>
        </w:tc>
        <w:tc>
          <w:tcPr>
            <w:tcW w:w="680" w:type="dxa"/>
            <w:vAlign w:val="bottom"/>
          </w:tcPr>
          <w:p>
            <w:pPr>
              <w:ind w:left="120"/>
              <w:spacing w:after="0" w:line="142" w:lineRule="exact"/>
              <w:rPr>
                <w:sz w:val="20"/>
                <w:szCs w:val="20"/>
                <w:color w:val="auto"/>
              </w:rPr>
            </w:pPr>
            <w:r>
              <w:rPr>
                <w:rFonts w:ascii="Arial" w:cs="Arial" w:eastAsia="Arial" w:hAnsi="Arial"/>
                <w:sz w:val="14"/>
                <w:szCs w:val="14"/>
                <w:color w:val="auto"/>
              </w:rPr>
              <w:t>Rate(a)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w:t>
            </w:r>
          </w:p>
        </w:tc>
        <w:tc>
          <w:tcPr>
            <w:tcW w:w="2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(11,252)</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(7,415)</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Net interest income/margin</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11,252</w:t>
            </w:r>
          </w:p>
        </w:tc>
        <w:tc>
          <w:tcPr>
            <w:tcW w:w="6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8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1,062,241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1,107,241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r>
        <w:rPr>
          <w:rFonts w:ascii="Arial" w:cs="Arial" w:eastAsia="Arial" w:hAnsi="Arial"/>
          <w:sz w:val="18"/>
          <w:szCs w:val="18"/>
          <w:color w:val="auto"/>
        </w:rPr>
        <w:t>.</w:t>
      </w:r>
    </w:p>
    <w:p>
      <w:pPr>
        <w:spacing w:after="0" w:line="76" w:lineRule="exact"/>
        <w:rPr>
          <w:rFonts w:ascii="Arial" w:cs="Arial" w:eastAsia="Arial" w:hAnsi="Arial"/>
          <w:sz w:val="18"/>
          <w:szCs w:val="18"/>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17"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a wide group of banks and other financial institutions. Short-term federal funds borrowings were $1.7 billion at March 31, 2010, $1.4 billion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2009 and $2.1 billion at December 31, 2009. In general, those borrowings were unsecured and matured on the next business day. As previously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noted, offshore branch deposits and brokered certificates of deposit have been used by the Company as an alternative to short-term borrowings. Offshore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branch deposits also generally mature on the next business day and totaled $790 million, $2.2 billion and $1.1 billion at March 31, 2010, March 31, 2009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2009, respectively. Outstanding brokered time deposits at March 31, 2010, March 31, 2009 and December 31, 2009 were $732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$262 million and $868 million, respectively. Such deposits at March 31, 2010 and December 31, 2009 included $692 million and $813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brokered time deposits obtained in the acquisition of Provident. At March 31, 2010, the weighted-average remaining term to maturity of brokered 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deposits was 22 months. Certain of these brokered time deposits have provisions that allow for early redemption. The Company also had brokered NOW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brokered money-market deposit accounts which aggregated $942 million, $941 million and $618 million at March 31, 2010, March 31, 2009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respectively.</w:t>
      </w:r>
    </w:p>
    <w:p>
      <w:pPr>
        <w:spacing w:after="0" w:line="10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$20 million at March 31, 2010, $31 million at March 31, 2009 and $19 million at December 31, 2009. The total amount of VRDBs outstanding backed by M&amp;T Bank letters of credit was $1.9 billion at each of March 31, 2010 and December 31, 2009, compared with $2.0 billion at March 31, 2009. M&amp;T Bank also serves as remarketing agent for most of those bonds.</w:t>
      </w:r>
    </w:p>
    <w:p>
      <w:pPr>
        <w:spacing w:after="0" w:line="7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the normal course of business, the Company enters into contractual obligations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12 of Notes to Financial Statements.</w:t>
      </w:r>
    </w:p>
    <w:p>
      <w:pPr>
        <w:spacing w:after="0" w:line="50"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the test, at March 31, 2010 approximately $1.2 billion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March 31, 2010 or at December 31, 2009.</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70"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2" w:lineRule="exact"/>
        <w:rPr>
          <w:sz w:val="20"/>
          <w:szCs w:val="20"/>
          <w:color w:val="auto"/>
        </w:rPr>
      </w:pPr>
    </w:p>
    <w:p>
      <w:pPr>
        <w:jc w:val="both"/>
        <w:ind w:right="280" w:firstLine="222"/>
        <w:spacing w:after="0" w:line="342" w:lineRule="auto"/>
        <w:rPr>
          <w:sz w:val="20"/>
          <w:szCs w:val="20"/>
          <w:color w:val="auto"/>
        </w:rPr>
      </w:pPr>
      <w:r>
        <w:rPr>
          <w:rFonts w:ascii="Arial" w:cs="Arial" w:eastAsia="Arial" w:hAnsi="Arial"/>
          <w:sz w:val="16"/>
          <w:szCs w:val="16"/>
          <w:color w:val="auto"/>
        </w:rPr>
        <w:t>The accompanying table as of March 31, 2010 and December 31, 2009 displays the estimated impact on net interest income from non-trading financial instruments in the base scenario described above resulting from parallel changes in interest rates across repricing categories during the first modeling year.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580" w:type="dxa"/>
            <w:vAlign w:val="bottom"/>
            <w:gridSpan w:val="3"/>
          </w:tcPr>
          <w:p>
            <w:pPr>
              <w:jc w:val="right"/>
              <w:ind w:right="334"/>
              <w:spacing w:after="0"/>
              <w:rPr>
                <w:sz w:val="20"/>
                <w:szCs w:val="20"/>
                <w:color w:val="auto"/>
              </w:rPr>
            </w:pPr>
            <w:r>
              <w:rPr>
                <w:rFonts w:ascii="Arial" w:cs="Arial" w:eastAsia="Arial" w:hAnsi="Arial"/>
                <w:sz w:val="14"/>
                <w:szCs w:val="14"/>
                <w:color w:val="auto"/>
              </w:rPr>
              <w:t>Calculated increase (decrease)</w:t>
            </w: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580" w:type="dxa"/>
            <w:vAlign w:val="bottom"/>
            <w:gridSpan w:val="3"/>
          </w:tcPr>
          <w:p>
            <w:pPr>
              <w:jc w:val="right"/>
              <w:ind w:right="294"/>
              <w:spacing w:after="0" w:line="149" w:lineRule="exact"/>
              <w:rPr>
                <w:sz w:val="20"/>
                <w:szCs w:val="20"/>
                <w:color w:val="auto"/>
              </w:rPr>
            </w:pPr>
            <w:r>
              <w:rPr>
                <w:rFonts w:ascii="Arial" w:cs="Arial" w:eastAsia="Arial" w:hAnsi="Arial"/>
                <w:sz w:val="14"/>
                <w:szCs w:val="14"/>
                <w:color w:val="auto"/>
              </w:rPr>
              <w:t>in projected net interest income</w:t>
            </w:r>
          </w:p>
        </w:tc>
      </w:tr>
      <w:tr>
        <w:trPr>
          <w:trHeight w:val="167"/>
        </w:trPr>
        <w:tc>
          <w:tcPr>
            <w:tcW w:w="1920" w:type="dxa"/>
            <w:vAlign w:val="bottom"/>
            <w:gridSpan w:val="3"/>
          </w:tcPr>
          <w:p>
            <w:pPr>
              <w:spacing w:after="0"/>
              <w:rPr>
                <w:sz w:val="20"/>
                <w:szCs w:val="20"/>
                <w:color w:val="auto"/>
              </w:rPr>
            </w:pPr>
            <w:r>
              <w:rPr>
                <w:rFonts w:ascii="Arial" w:cs="Arial" w:eastAsia="Arial" w:hAnsi="Arial"/>
                <w:sz w:val="14"/>
                <w:szCs w:val="14"/>
                <w:color w:val="auto"/>
              </w:rPr>
              <w:t>Changes in interest rates</w:t>
            </w:r>
          </w:p>
        </w:tc>
        <w:tc>
          <w:tcPr>
            <w:tcW w:w="8360" w:type="dxa"/>
            <w:vAlign w:val="bottom"/>
            <w:gridSpan w:val="3"/>
          </w:tcPr>
          <w:p>
            <w:pPr>
              <w:ind w:left="6920"/>
              <w:spacing w:after="0"/>
              <w:rPr>
                <w:sz w:val="20"/>
                <w:szCs w:val="20"/>
                <w:color w:val="auto"/>
              </w:rPr>
            </w:pPr>
            <w:r>
              <w:rPr>
                <w:rFonts w:ascii="Arial" w:cs="Arial" w:eastAsia="Arial" w:hAnsi="Arial"/>
                <w:sz w:val="14"/>
                <w:szCs w:val="14"/>
                <w:color w:val="auto"/>
              </w:rPr>
              <w:t>March 31, 2010</w:t>
            </w:r>
          </w:p>
        </w:tc>
        <w:tc>
          <w:tcPr>
            <w:tcW w:w="1140" w:type="dxa"/>
            <w:vAlign w:val="bottom"/>
          </w:tcPr>
          <w:p>
            <w:pPr>
              <w:jc w:val="right"/>
              <w:spacing w:after="0"/>
              <w:rPr>
                <w:sz w:val="20"/>
                <w:szCs w:val="20"/>
                <w:color w:val="auto"/>
              </w:rPr>
            </w:pPr>
            <w:r>
              <w:rPr>
                <w:rFonts w:ascii="Arial" w:cs="Arial" w:eastAsia="Arial" w:hAnsi="Arial"/>
                <w:sz w:val="14"/>
                <w:szCs w:val="14"/>
                <w:color w:val="auto"/>
                <w:w w:val="91"/>
              </w:rPr>
              <w:t>December 31, 2009</w:t>
            </w:r>
          </w:p>
        </w:tc>
      </w:tr>
      <w:tr>
        <w:trPr>
          <w:trHeight w:val="210"/>
        </w:trPr>
        <w:tc>
          <w:tcPr>
            <w:tcW w:w="20" w:type="dxa"/>
            <w:vAlign w:val="bottom"/>
          </w:tcPr>
          <w:p>
            <w:pPr>
              <w:spacing w:after="0"/>
              <w:rPr>
                <w:sz w:val="18"/>
                <w:szCs w:val="18"/>
                <w:color w:val="auto"/>
              </w:rPr>
            </w:pPr>
          </w:p>
        </w:tc>
        <w:tc>
          <w:tcPr>
            <w:tcW w:w="1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69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  38,268</w:t>
            </w:r>
          </w:p>
        </w:tc>
        <w:tc>
          <w:tcPr>
            <w:tcW w:w="5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33,974</w:t>
            </w:r>
          </w:p>
        </w:tc>
      </w:tr>
      <w:tr>
        <w:trPr>
          <w:trHeight w:val="216"/>
        </w:trPr>
        <w:tc>
          <w:tcPr>
            <w:tcW w:w="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7820" w:type="dxa"/>
            <w:vAlign w:val="bottom"/>
            <w:gridSpan w:val="2"/>
          </w:tcPr>
          <w:p>
            <w:pPr>
              <w:jc w:val="right"/>
              <w:ind w:right="42"/>
              <w:spacing w:after="0"/>
              <w:rPr>
                <w:sz w:val="20"/>
                <w:szCs w:val="20"/>
                <w:color w:val="auto"/>
              </w:rPr>
            </w:pPr>
            <w:r>
              <w:rPr>
                <w:rFonts w:ascii="Arial" w:cs="Arial" w:eastAsia="Arial" w:hAnsi="Arial"/>
                <w:sz w:val="18"/>
                <w:szCs w:val="18"/>
                <w:color w:val="auto"/>
              </w:rPr>
              <w:t>21,234</w:t>
            </w:r>
          </w:p>
        </w:tc>
        <w:tc>
          <w:tcPr>
            <w:tcW w:w="54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19,989</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4"/>
              </w:rPr>
              <w:t>-100</w:t>
            </w:r>
          </w:p>
        </w:tc>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basis points</w:t>
            </w:r>
          </w:p>
        </w:tc>
        <w:tc>
          <w:tcPr>
            <w:tcW w:w="7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(24,053)</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(37,775)</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4"/>
              </w:rPr>
              <w:t>-200</w:t>
            </w:r>
          </w:p>
        </w:tc>
        <w:tc>
          <w:tcPr>
            <w:tcW w:w="1540" w:type="dxa"/>
            <w:vAlign w:val="bottom"/>
          </w:tcPr>
          <w:p>
            <w:pPr>
              <w:ind w:left="40"/>
              <w:spacing w:after="0"/>
              <w:rPr>
                <w:sz w:val="20"/>
                <w:szCs w:val="20"/>
                <w:color w:val="auto"/>
              </w:rPr>
            </w:pPr>
            <w:r>
              <w:rPr>
                <w:rFonts w:ascii="Arial" w:cs="Arial" w:eastAsia="Arial" w:hAnsi="Arial"/>
                <w:sz w:val="18"/>
                <w:szCs w:val="18"/>
                <w:color w:val="auto"/>
              </w:rPr>
              <w:t>basis points</w:t>
            </w:r>
          </w:p>
        </w:tc>
        <w:tc>
          <w:tcPr>
            <w:tcW w:w="7820" w:type="dxa"/>
            <w:vAlign w:val="bottom"/>
            <w:gridSpan w:val="2"/>
          </w:tcPr>
          <w:p>
            <w:pPr>
              <w:jc w:val="right"/>
              <w:spacing w:after="0"/>
              <w:rPr>
                <w:sz w:val="20"/>
                <w:szCs w:val="20"/>
                <w:color w:val="auto"/>
              </w:rPr>
            </w:pPr>
            <w:r>
              <w:rPr>
                <w:rFonts w:ascii="Arial" w:cs="Arial" w:eastAsia="Arial" w:hAnsi="Arial"/>
                <w:sz w:val="18"/>
                <w:szCs w:val="18"/>
                <w:color w:val="auto"/>
              </w:rPr>
              <w:t>(46,677)</w:t>
            </w:r>
          </w:p>
        </w:tc>
        <w:tc>
          <w:tcPr>
            <w:tcW w:w="5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(61,729)</w:t>
            </w:r>
          </w:p>
        </w:tc>
      </w:tr>
    </w:tbl>
    <w:p>
      <w:pPr>
        <w:spacing w:after="0" w:line="79" w:lineRule="exact"/>
        <w:rPr>
          <w:sz w:val="20"/>
          <w:szCs w:val="20"/>
          <w:color w:val="auto"/>
        </w:rPr>
      </w:pPr>
    </w:p>
    <w:p>
      <w:pPr>
        <w:ind w:right="280" w:firstLine="222"/>
        <w:spacing w:after="0" w:line="302"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5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11 of Notes to Financial Statements.</w:t>
      </w:r>
    </w:p>
    <w:p>
      <w:pPr>
        <w:spacing w:after="0" w:line="73"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74" w:lineRule="exact"/>
        <w:rPr>
          <w:sz w:val="20"/>
          <w:szCs w:val="20"/>
          <w:color w:val="auto"/>
        </w:rPr>
      </w:pPr>
    </w:p>
    <w:p>
      <w:pPr>
        <w:ind w:right="140" w:firstLine="222"/>
        <w:spacing w:after="0" w:line="284" w:lineRule="auto"/>
        <w:rPr>
          <w:sz w:val="20"/>
          <w:szCs w:val="20"/>
          <w:color w:val="auto"/>
        </w:rPr>
      </w:pPr>
      <w:r>
        <w:rPr>
          <w:rFonts w:ascii="Arial" w:cs="Arial" w:eastAsia="Arial" w:hAnsi="Arial"/>
          <w:sz w:val="16"/>
          <w:szCs w:val="16"/>
          <w:color w:val="auto"/>
        </w:rPr>
        <w:t>The notional amounts of interest rate contracts entered into for trading purposes aggregated $12.8 billion at March 31, 2010, compared with $15.0 billion at March 31, 2009 and $13.9 billion at December 31, 2009. The notional amounts of foreign currency and other option and futures contracts entered into for trading purposes totaled $701 million at March 31, 2010, compared with $511 million and $608 million at March 31, 2009 and December 31, 2009,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$403 million and $316 million, respectively, at March 31, 2010, $592 million and $495 million, respectively, at March 31, 2009, and $387 million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$302 million, respectively, at December 31, 2009. Included in trading account assets were assets related to deferred compensation plans totaling $34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$29 million at March 31, 2010 and 2009, respectively, and $36 million at December 31, 2009. Changes in the fair value of such assets are recorded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“trading account and foreign exchange gains” in the consolidated statement of income. Included in “other liabilities” in the consolidated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2010 and March 31, 2009 were $36 million and $34 million, respectively, of liabilities related to deferred compensation plans,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 million at December 31, 2009. Changes in the balances of such liabilities due to the valuation of allocated investment options to which the liabilities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indexed are recorded in “other costs of operations” in the consolidated statement of income.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225"/>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9 of Notes to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first quarter of 2010 was $105 million, compared with $158 million in the year-earlier quarter and $145 million in the fourth quarter of 2009. The levels of the provision over the last eight quarters have been higher than historical levels, reflecting a pronounced downturn in the U.S. economy, which entered recession in late-2007, and significant deterioration in the residential real estate market that began in early-2007 and continued through the recently completed quarter. Declining real estate valuations and higher levels of delinquencies and charge-offs have significantly affected the quality of the Company’s residential real estate loan portfolio. Specifically, the Company’s Alt-A residential real estate loan portfolio and its residential real estate builder and developer loan portfolio experienced the majority of the credit problems related to the turmoil in the residential real estate market place. As a result of higher unemployment levels and the recessionary economy, the Company also experienced increased levels of consumer and commercial loan charge-offs over the past two years.</w:t>
      </w:r>
    </w:p>
    <w:p>
      <w:pPr>
        <w:spacing w:after="0" w:line="5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Loans acquired in connection with the Provident and Bradford transactions were recorded at fair value with no carry over of any previously recorded allowance for credit losses. Determining the fair value of the acquired loans required estimating cash flows expected to be collected on the loans and discounting those cash flows at current interest rates.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reflects estimated future credit losses and other contractually required payments that the Company does not expect to collect. Subsequent decreases to the expected cash flows will require the Company to evaluate the need for an additional allowance for credit losses and could lead to charge-offs of acquired loan balances. Subsequent increases in expected cash flows will result in additional interest income to be recognized over the then-remaining lives of the loans.</w:t>
      </w:r>
    </w:p>
    <w:p>
      <w:pPr>
        <w:spacing w:after="0" w:line="84"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Net loan charge-offs were $95 million in the first quarter of 2010, compared with $100 million and $135 million during the three-month periods ended March 31, 2009 and December 31, 2009, respectively. Net charge-offs as an annualized percentage of average loans and leases were .74% in the first quarter of 2010, compared with .83% and 1.03% in the first and fourth quarters of 2009, respectively. A summary of net charge-offs by loan type follows: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color w:val="auto"/>
              </w:rPr>
              <w:t>First Quarter</w:t>
            </w:r>
          </w:p>
        </w:tc>
        <w:tc>
          <w:tcPr>
            <w:tcW w:w="1400" w:type="dxa"/>
            <w:vAlign w:val="bottom"/>
            <w:gridSpan w:val="3"/>
          </w:tcPr>
          <w:p>
            <w:pPr>
              <w:ind w:left="340"/>
              <w:spacing w:after="0"/>
              <w:rPr>
                <w:sz w:val="20"/>
                <w:szCs w:val="20"/>
                <w:color w:val="auto"/>
              </w:rPr>
            </w:pPr>
            <w:r>
              <w:rPr>
                <w:rFonts w:ascii="Arial" w:cs="Arial" w:eastAsia="Arial" w:hAnsi="Arial"/>
                <w:sz w:val="14"/>
                <w:szCs w:val="14"/>
                <w:color w:val="auto"/>
              </w:rPr>
              <w:t>First Quarter</w:t>
            </w:r>
          </w:p>
        </w:tc>
        <w:tc>
          <w:tcPr>
            <w:tcW w:w="1280" w:type="dxa"/>
            <w:vAlign w:val="bottom"/>
            <w:gridSpan w:val="3"/>
          </w:tcPr>
          <w:p>
            <w:pPr>
              <w:ind w:left="320"/>
              <w:spacing w:after="0"/>
              <w:rPr>
                <w:sz w:val="20"/>
                <w:szCs w:val="20"/>
                <w:color w:val="auto"/>
              </w:rPr>
            </w:pPr>
            <w:r>
              <w:rPr>
                <w:rFonts w:ascii="Arial" w:cs="Arial" w:eastAsia="Arial" w:hAnsi="Arial"/>
                <w:sz w:val="14"/>
                <w:szCs w:val="14"/>
                <w:color w:val="auto"/>
              </w:rPr>
              <w:t>Fourth Quarter</w:t>
            </w:r>
          </w:p>
        </w:tc>
      </w:tr>
      <w:tr>
        <w:trPr>
          <w:trHeight w:val="167"/>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17,994</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22,301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30,991</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30,226</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22,399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50,605</w:t>
            </w:r>
          </w:p>
        </w:tc>
      </w:tr>
      <w:tr>
        <w:trPr>
          <w:trHeight w:val="216"/>
        </w:trPr>
        <w:tc>
          <w:tcPr>
            <w:tcW w:w="76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15,280</w:t>
            </w:r>
          </w:p>
        </w:tc>
        <w:tc>
          <w:tcPr>
            <w:tcW w:w="320" w:type="dxa"/>
            <w:vAlign w:val="bottom"/>
          </w:tcPr>
          <w:p>
            <w:pPr>
              <w:spacing w:after="0"/>
              <w:rPr>
                <w:sz w:val="18"/>
                <w:szCs w:val="18"/>
                <w:color w:val="auto"/>
              </w:rPr>
            </w:pPr>
          </w:p>
        </w:tc>
        <w:tc>
          <w:tcPr>
            <w:tcW w:w="1400" w:type="dxa"/>
            <w:vAlign w:val="bottom"/>
            <w:gridSpan w:val="3"/>
          </w:tcPr>
          <w:p>
            <w:pPr>
              <w:ind w:left="560"/>
              <w:spacing w:after="0"/>
              <w:rPr>
                <w:sz w:val="20"/>
                <w:szCs w:val="20"/>
                <w:color w:val="auto"/>
              </w:rPr>
            </w:pPr>
            <w:r>
              <w:rPr>
                <w:rFonts w:ascii="Arial" w:cs="Arial" w:eastAsia="Arial" w:hAnsi="Arial"/>
                <w:sz w:val="18"/>
                <w:szCs w:val="18"/>
                <w:color w:val="auto"/>
              </w:rPr>
              <w:t>19,702</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21,136</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31,009</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35,531</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32,120</w:t>
            </w:r>
          </w:p>
        </w:tc>
      </w:tr>
      <w:tr>
        <w:trPr>
          <w:trHeight w:val="223"/>
        </w:trPr>
        <w:tc>
          <w:tcPr>
            <w:tcW w:w="7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94,509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7"/>
              </w:rPr>
              <w:t>99,933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134,852</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net charge-offs of commercial real estate loans were charge-offs of loans to residential homebuilders and developers of $22 million in each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quarters ended March 31, 2010 and March 31, 2009 and $40 million for the quarter ended December 31, 2009. Reflected in net charge-offs of residential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 estate loans were net charge-offs of Alt-A first mortgage loans of $8 million in the initial 2010 quarter, compared with $13 million and $14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and fourth quarters of 2009, respectively. Included in net charge-offs of consumer loans and leases were net charge-offs during the quarters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2010, March 31, 2009 and December 31, 2009, respectively, of: indirect automobile loans of $10 million, $17 million and $13 million; recreational</w:t>
      </w:r>
    </w:p>
    <w:p>
      <w:pPr>
        <w:spacing w:after="0" w:line="32" w:lineRule="exact"/>
        <w:rPr>
          <w:sz w:val="20"/>
          <w:szCs w:val="20"/>
          <w:color w:val="auto"/>
        </w:rPr>
      </w:pPr>
    </w:p>
    <w:p>
      <w:pPr>
        <w:ind w:right="660"/>
        <w:spacing w:after="0" w:line="255" w:lineRule="auto"/>
        <w:rPr>
          <w:sz w:val="20"/>
          <w:szCs w:val="20"/>
          <w:color w:val="auto"/>
        </w:rPr>
      </w:pPr>
      <w:r>
        <w:rPr>
          <w:rFonts w:ascii="Arial" w:cs="Arial" w:eastAsia="Arial" w:hAnsi="Arial"/>
          <w:sz w:val="18"/>
          <w:szCs w:val="18"/>
          <w:color w:val="auto"/>
        </w:rPr>
        <w:t>vehicle loans of $7 million in each period; and home equity loans and lines of credit, including Alt-A second lien loans, of $9 million, $9 million and $10 million. Including both first and second lien mortgages, net charge-offs of Alt-A loans totaled $9 million and $16 million for the quarters ended March 31, 2010 and 2009, respectively, compared with $15 million in the final quarter of 2009.</w:t>
      </w:r>
    </w:p>
    <w:p>
      <w:pPr>
        <w:spacing w:after="0" w:line="82"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Nonaccrual loans totaled $1.34 billion or 2.60% of total loans and leases outstanding at March 31, 2010, compared with $1.00 billion or 2.05% a year earlier and $1.33 billion or 2.56% at December 31, 2009. Major factors contributing to the rise in nonaccrual loans from March 31, 2009 were a $245 million rise in commercial real estate loans, including a $47 million increase in loans to residential builders and developers, and an $89 million increase in commercial loans and leases. The continuing turbulence in the residential real estate market place has resulted in deteriorated real estate values and increased delinquencies, both for loans to consumers and loans to builders and developers of residential real estate. The depressed state of the U.S. economy has resulted in generally higher levels of nonaccrual loans. The slight increase in nonaccrual loans from December 31, 2009 to March 31, 2010 reflects a rise of $35 million in loans acquired in the Provident and Bradford transactions and a $26 million decline in loans from the Company’s legacy portfolio.</w:t>
      </w:r>
    </w:p>
    <w:p>
      <w:pPr>
        <w:spacing w:after="0" w:line="59" w:lineRule="exact"/>
        <w:rPr>
          <w:sz w:val="20"/>
          <w:szCs w:val="20"/>
          <w:color w:val="auto"/>
        </w:rPr>
      </w:pPr>
    </w:p>
    <w:p>
      <w:pPr>
        <w:ind w:right="60" w:firstLine="215"/>
        <w:spacing w:after="0" w:line="270" w:lineRule="auto"/>
        <w:rPr>
          <w:sz w:val="20"/>
          <w:szCs w:val="20"/>
          <w:color w:val="auto"/>
        </w:rPr>
      </w:pPr>
      <w:r>
        <w:rPr>
          <w:rFonts w:ascii="Arial" w:cs="Arial" w:eastAsia="Arial" w:hAnsi="Arial"/>
          <w:sz w:val="17"/>
          <w:szCs w:val="17"/>
          <w:color w:val="auto"/>
        </w:rPr>
        <w:t>Accruing loans past due 90 days or more were $203 million or .40% of total loans and leases at March 31, 2010, compared with $143 million or .29% at March 31, 2009 and $208 million or .40% at December 31, 2009. Those loans included $195 million, $127 million and $193 million at March 31, 2010, March 31, 2009 and December 31, 2009, respectively, of loans guaranteed by government-related entities.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$179 million and $122 million as of March 31, 2010 and 2009, respectively, and $176 million at December 31, 2009. Loans past due 90 days or more and accruing interest that were guaranteed by government-related entities also included foreign commercial and industrial loans supported by the Export-Import Bank of the United States that totaled $11 million at March 31, 2010, $3 million at March 31, 2009 and $13 million at December 31,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Loans obtained in the 2009 acquisition transactions that were impaired at the date of acquisition were recorded at estimated fair value and are generally delinquent in payments, but, in accordance with GAAP the Company continues to accrue interest income on such loans based on the estimated expected cash flows associated with the loans. The carrying amount of such loans was $74 million at March 31, 2010, or approximately .1% of total loans.</w:t>
      </w:r>
    </w:p>
    <w:p>
      <w:pPr>
        <w:spacing w:after="0" w:line="39"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In an effort to assist borrowers, the Company has modified the terms of select loans secured by residential real estate, largely from the Company’s portfolio of Alt-A loans. Included in loans outstanding at March 31, 2010 were $296 million of modified loans, of which $109 million were classified as nonaccrual. The remaining modified loans have demonstrated payment capability consistent with the modified terms and, accordingly, were classified as renegotiated loans and were accruing interest at March 31, 2010. Loan modifications included such actions as the extension of loan maturity dates (generally from thirty to forty years) and the lowering of interest rates and monthly payments. The objective of the modifications was to increase loan repayments by customers and thereby reduce net charge-offs. In accordance with GAAP, the modified loans are included in impaired loans for purposes of determining the allowance for credit losses. Modified residential real estate loans totaled $216 million at March 31, 2009, of which $106 million were in nonaccrual status, and $292 million as of December 31, 2009, of which $108 million were in nonaccrual status.</w:t>
      </w:r>
    </w:p>
    <w:p>
      <w:pPr>
        <w:spacing w:after="0" w:line="7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Commercial loans and leases classified as nonaccrual totaled $325 million at March 31, 2010, $236 million at March 31, 2009 and $322 million at December 31, 2009. The rise in such loans at the two most recent quarter-ends as compared with March 31, 2009 reflects the impact of general economic conditions on borrowers’ abilities to repay loans. Additions to nonaccrual loans since March 31, 2009 include a relationship to a single borrower that operates retirement communities ($41 million), a $37 million loan to a consumer finance and credit insurance company and a $19 million loan to a business in the health care sector.</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Nonaccruing commercial real estate loans totaled $641 million at March 31, 2010, $396 million at March 31, 2009 and $638 million at December 31, 2009. The rise in such loans at March 31, 2010 as compared with the end of the initial quarter of 2009 reflects the additions of a loan collateralized by real estate in New York City ($104 million) and $47 million of loans to residential homebuilders and developers. Information about the location of nonaccrual and charged-off loans to residential real estate builders and developers as of and for the three-month period ended March 31, 2010 is presented in the accompanying table.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tcPr>
          <w:p>
            <w:pPr>
              <w:ind w:left="240"/>
              <w:spacing w:after="0"/>
              <w:rPr>
                <w:sz w:val="20"/>
                <w:szCs w:val="20"/>
                <w:color w:val="auto"/>
              </w:rPr>
            </w:pPr>
            <w:r>
              <w:rPr>
                <w:rFonts w:ascii="Arial" w:cs="Arial" w:eastAsia="Arial" w:hAnsi="Arial"/>
                <w:sz w:val="14"/>
                <w:szCs w:val="14"/>
                <w:color w:val="auto"/>
              </w:rPr>
              <w:t>March 31, 2010</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center"/>
              <w:ind w:right="300"/>
              <w:spacing w:after="0"/>
              <w:rPr>
                <w:sz w:val="20"/>
                <w:szCs w:val="20"/>
                <w:color w:val="auto"/>
              </w:rPr>
            </w:pPr>
            <w:r>
              <w:rPr>
                <w:rFonts w:ascii="Arial" w:cs="Arial" w:eastAsia="Arial" w:hAnsi="Arial"/>
                <w:sz w:val="14"/>
                <w:szCs w:val="14"/>
                <w:color w:val="auto"/>
                <w:w w:val="92"/>
              </w:rPr>
              <w:t>March 31,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3"/>
          </w:tcPr>
          <w:p>
            <w:pPr>
              <w:jc w:val="center"/>
              <w:ind w:right="59"/>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Percent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Outstanding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1"/>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89"/>
              </w:rPr>
              <w:t>balances</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w w:val="86"/>
              </w:rPr>
              <w:t>Balances</w:t>
            </w:r>
          </w:p>
        </w:tc>
        <w:tc>
          <w:tcPr>
            <w:tcW w:w="140" w:type="dxa"/>
            <w:vAlign w:val="bottom"/>
          </w:tcPr>
          <w:p>
            <w:pPr>
              <w:spacing w:after="0"/>
              <w:rPr>
                <w:sz w:val="14"/>
                <w:szCs w:val="14"/>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color w:val="auto"/>
                <w:w w:val="76"/>
              </w:rPr>
              <w:t>( 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in thousands )</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370,706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34,547</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10,179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Pennsylvania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249,917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23,959</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9,178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788,197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203,980</w:t>
            </w: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237,432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55,031</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23.18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1,195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1,646,252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317,517</w:t>
            </w: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22,114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Residential real estate loans classified as nonaccrual were $282 million at March 31, 2010, compared with $298 million at March 31, 2009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$281 million at December 31, 2009. Declining real estate values and higher levels of delinquencies have contributed to the higher levels of residential real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estate loans classified as nonaccrual and to the level of charge-offs. Included in residential real estate loans classified as nonaccrual were Alt-A loans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 million, $138 million and $112 million at March 31, 2010, March 31, 2009 and December 31, 2009, respectively. Residential real estate loans past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 days or more and accruing interest totaled $181 million at March 31, 2010, compared with $122 million a year earlier and $178 million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A substantial portion of such amounts related to guaranteed loans repurchased from government-related entities. Information about the location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nonaccrual and charged-off residential real estate loans as of and for the quarter ended March 31, 2010 is presented in the accompanying table.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ind w:left="240"/>
              <w:spacing w:after="0"/>
              <w:rPr>
                <w:sz w:val="20"/>
                <w:szCs w:val="20"/>
                <w:color w:val="auto"/>
              </w:rPr>
            </w:pPr>
            <w:r>
              <w:rPr>
                <w:rFonts w:ascii="Arial" w:cs="Arial" w:eastAsia="Arial" w:hAnsi="Arial"/>
                <w:sz w:val="14"/>
                <w:szCs w:val="14"/>
                <w:color w:val="auto"/>
              </w:rPr>
              <w:t>March 31, 2010</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center"/>
              <w:ind w:right="340"/>
              <w:spacing w:after="0"/>
              <w:rPr>
                <w:sz w:val="20"/>
                <w:szCs w:val="20"/>
                <w:color w:val="auto"/>
              </w:rPr>
            </w:pPr>
            <w:r>
              <w:rPr>
                <w:rFonts w:ascii="Arial" w:cs="Arial" w:eastAsia="Arial" w:hAnsi="Arial"/>
                <w:sz w:val="14"/>
                <w:szCs w:val="14"/>
                <w:color w:val="auto"/>
                <w:w w:val="92"/>
              </w:rPr>
              <w:t>March 31, 2010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4"/>
          </w:tcPr>
          <w:p>
            <w:pPr>
              <w:ind w:left="600"/>
              <w:spacing w:after="0" w:line="142" w:lineRule="exact"/>
              <w:rPr>
                <w:sz w:val="20"/>
                <w:szCs w:val="20"/>
                <w:color w:val="auto"/>
              </w:rPr>
            </w:pPr>
            <w:r>
              <w:rPr>
                <w:rFonts w:ascii="Arial" w:cs="Arial" w:eastAsia="Arial" w:hAnsi="Arial"/>
                <w:sz w:val="14"/>
                <w:szCs w:val="14"/>
                <w:color w:val="auto"/>
              </w:rPr>
              <w:t>Nonaccrual</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3"/>
          </w:tcPr>
          <w:p>
            <w:pPr>
              <w:jc w:val="center"/>
              <w:ind w:right="92"/>
              <w:spacing w:after="0" w:line="142" w:lineRule="exact"/>
              <w:rPr>
                <w:sz w:val="20"/>
                <w:szCs w:val="20"/>
                <w:color w:val="auto"/>
              </w:rPr>
            </w:pPr>
            <w:r>
              <w:rPr>
                <w:rFonts w:ascii="Arial" w:cs="Arial" w:eastAsia="Arial" w:hAnsi="Arial"/>
                <w:sz w:val="14"/>
                <w:szCs w:val="14"/>
                <w:color w:val="auto"/>
                <w:w w:val="93"/>
              </w:rPr>
              <w:t>Net charge-offs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Percent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Outstanding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outstanding</w:t>
            </w: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balances</w:t>
            </w:r>
          </w:p>
        </w:tc>
        <w:tc>
          <w:tcPr>
            <w:tcW w:w="2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6"/>
              </w:rPr>
              <w:t>Balances</w:t>
            </w:r>
          </w:p>
        </w:tc>
        <w:tc>
          <w:tcPr>
            <w:tcW w:w="160" w:type="dxa"/>
            <w:vAlign w:val="bottom"/>
          </w:tcPr>
          <w:p>
            <w:pPr>
              <w:spacing w:after="0"/>
              <w:rPr>
                <w:sz w:val="14"/>
                <w:szCs w:val="14"/>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color w:val="auto"/>
                <w:w w:val="73"/>
              </w:rPr>
              <w:t>(dollars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balances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Balances</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balances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2,054,216</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42,333</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2.06%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2,586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683,764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13,692</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1,067,305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43,327</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1,799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1,065,319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1,962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4,870,604</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154,796</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3.18%</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6,769</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12,999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933</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7.18%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2,358</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65.32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45,434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67,587</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13,423</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19.86%</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695</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104,409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17,162</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16.44%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788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29,100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132,323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16,143</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12.20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1,077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460,137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5,912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725,969</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113,539</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15.64%</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7,816</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3,282</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4.17%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5,263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28,449</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7.18%</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42,610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0.25%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242,076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178,692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1,698</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0.95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465,961</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4,114</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0.88%</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712,681</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1,951</w:t>
            </w:r>
          </w:p>
        </w:tc>
        <w:tc>
          <w:tcPr>
            <w:tcW w:w="160" w:type="dxa"/>
            <w:vAlign w:val="bottom"/>
          </w:tcPr>
          <w:p>
            <w:pPr>
              <w:spacing w:after="0"/>
              <w:rPr>
                <w:sz w:val="18"/>
                <w:szCs w:val="18"/>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0.27%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484,353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498,298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169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1,707,468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3,106</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109,678</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Pr>
          <w:p>
            <w:pPr>
              <w:spacing w:after="0"/>
              <w:rPr>
                <w:sz w:val="18"/>
                <w:szCs w:val="18"/>
                <w:color w:val="auto"/>
              </w:rPr>
            </w:pP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1.38%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259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116,688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189,066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2,268</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538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425,812</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4,988</w:t>
            </w:r>
          </w:p>
        </w:tc>
        <w:tc>
          <w:tcPr>
            <w:tcW w:w="1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1,430</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1,850,569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12,096</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color w:val="auto"/>
              </w:rPr>
              <w:t>0.65%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2,569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624,116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1,582,966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6,535</w:t>
            </w:r>
          </w:p>
        </w:tc>
        <w:tc>
          <w:tcPr>
            <w:tcW w:w="16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2,450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79,417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4,137,068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22,890</w:t>
            </w:r>
          </w:p>
        </w:tc>
        <w:tc>
          <w:tcPr>
            <w:tcW w:w="1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0.55%</w:t>
            </w:r>
          </w:p>
        </w:tc>
        <w:tc>
          <w:tcPr>
            <w:tcW w:w="2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5,897</w:t>
            </w:r>
          </w:p>
        </w:tc>
        <w:tc>
          <w:tcPr>
            <w:tcW w:w="66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Nonaccrual consumer loans and leases aggregated $92 million at March 31, 2010, compared with $74 million at March 31, 2009 and $91 million at December 31, 2009. As a percentage of consumer loan balances outstanding, nonaccrual consumer loans and leases were .78% at March 31, 2010, compared with .68%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.75% at March 31, 2009 and December 31, 2009, respectively. Included in nonaccrual consumer loans and leases at March 31, 2010, March 31, 2009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2009 were indirect automobile loans of $35 million, $26 million and $39 million, respectively; recreational vehicle loans of $16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million and $15 million, respectively; and outstanding balances of home equity lines of credit of $26 million, $22 million and $23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Consumer loans delinquent 30-90 days at March 31, 2010 totaled $108 million, compared with $96 million and $141 million at March 31, 2009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respectively. Consumer loans past due 90 days or more and accruing interest totaled $3 million, $2 million and $4 million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March 31, 2009 and December 31, 2009, respectively. Information about the location of nonaccrual and charged-off home equity loans and lines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as of and for the quarter-ended March 31, 2010 is presented in the accompanying table.</w:t>
      </w:r>
    </w:p>
    <w:p>
      <w:pPr>
        <w:spacing w:after="0" w:line="103" w:lineRule="exact"/>
        <w:rPr>
          <w:sz w:val="20"/>
          <w:szCs w:val="20"/>
          <w:color w:val="auto"/>
        </w:rPr>
      </w:pPr>
    </w:p>
    <w:p>
      <w:pPr>
        <w:ind w:right="500" w:firstLine="225"/>
        <w:spacing w:after="0" w:line="308" w:lineRule="auto"/>
        <w:rPr>
          <w:sz w:val="20"/>
          <w:szCs w:val="20"/>
          <w:color w:val="auto"/>
        </w:rPr>
      </w:pPr>
      <w:r>
        <w:rPr>
          <w:rFonts w:ascii="Arial" w:cs="Arial" w:eastAsia="Arial" w:hAnsi="Arial"/>
          <w:sz w:val="17"/>
          <w:szCs w:val="17"/>
          <w:color w:val="auto"/>
        </w:rPr>
        <w:t>Real estate and other foreclosed assets were $95 million at each of March 31, 2010 and December 31, 2009, and $100 million at March 31, 2009. At March 31, 2010, the Company’s holding of residential real estate-related properties comprised 84% of foreclosed assets.</w:t>
      </w:r>
    </w:p>
    <w:p>
      <w:pPr>
        <w:spacing w:after="0" w:line="38"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62"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2010</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3"/>
          </w:tcPr>
          <w:p>
            <w:pPr>
              <w:ind w:left="760"/>
              <w:spacing w:after="0"/>
              <w:rPr>
                <w:sz w:val="20"/>
                <w:szCs w:val="20"/>
                <w:color w:val="auto"/>
              </w:rPr>
            </w:pPr>
            <w:r>
              <w:rPr>
                <w:rFonts w:ascii="Arial" w:cs="Arial" w:eastAsia="Arial" w:hAnsi="Arial"/>
                <w:sz w:val="14"/>
                <w:szCs w:val="14"/>
                <w:color w:val="auto"/>
                <w:w w:val="91"/>
              </w:rPr>
              <w:t>2009 Quarters</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First Quarter</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Third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1,339,992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1,331,702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1,228,341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1,111,423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95,362</w:t>
            </w:r>
          </w:p>
        </w:tc>
        <w:tc>
          <w:tcPr>
            <w:tcW w:w="64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94,604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84,676</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90,461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100,270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1,435,354</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1,426,306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1,313,017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1,201,884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1,104,257</w:t>
            </w:r>
          </w:p>
        </w:tc>
        <w:tc>
          <w:tcPr>
            <w:tcW w:w="0" w:type="dxa"/>
            <w:vAlign w:val="bottom"/>
          </w:tcPr>
          <w:p>
            <w:pPr>
              <w:spacing w:after="0"/>
              <w:rPr>
                <w:sz w:val="1"/>
                <w:szCs w:val="1"/>
                <w:color w:val="auto"/>
              </w:rPr>
            </w:pPr>
          </w:p>
        </w:tc>
      </w:tr>
      <w:tr>
        <w:trPr>
          <w:trHeight w:val="20"/>
        </w:trPr>
        <w:tc>
          <w:tcPr>
            <w:tcW w:w="4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203,443</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208,080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182,750</w:t>
            </w:r>
          </w:p>
        </w:tc>
        <w:tc>
          <w:tcPr>
            <w:tcW w:w="10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155,125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142,842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Renegotiated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220,885</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212,548</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190,917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170,950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130,932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w w:val="95"/>
              </w:rPr>
              <w:t>Government guaranteed loans included in totals above: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37,048</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38,579</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38,590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38,075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Accruing loans past due 90 days or more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194,523</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193,495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172,701</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143,886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127,237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 loans(b):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Outstanding customer balance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148,686</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172,772</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209,138</w:t>
            </w: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170,400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Carrying amount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73,890</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88,170</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108,058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97,730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Nonaccrual loans to total loans and leases, net of</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2.60%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2.56%</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2.35%</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2.11%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net loans and leases and</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and other foreclosed assets</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 total loans</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and leases, net of unearned discount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0"/>
        </w:trPr>
        <w:tc>
          <w:tcPr>
            <w:tcW w:w="4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Predominately residential mortgage loans.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Accruing loans that were impaired at acquisition date and recorded at fair value.</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in the Company’s portfolio of loans to residential real estate builders and developers; (ii) the repayment performance associated with the Company’s portfolio of Alt-A and other residential mortgage loans; (iii) the concentration of commercial real estate loans in the Company’s loan portfolio, particularly the large concentration of loans secured by properties in New York State, in general, and in the New York City metropolitan area, in particular; (iv)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(v) the size of the Company’s portfolio of loans to individual consumers, which historically have experienced higher net charge-offs as a percentage of loans outstanding than other loan types and for which repayment performance can be significantly affected by unemployment levels. The level of the allowance is adjusted based on the results of management’s analysis.</w:t>
      </w:r>
    </w:p>
    <w:p>
      <w:pPr>
        <w:spacing w:after="0" w:line="64"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Management cautiously and conservatively evaluated the allowance for credit losses as of March 31, 2010 in light of (i) lower residential real estate values and higher levels of delinquencies of residential real estate loans; (ii) the recession-like weak economic conditions in many of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exist about the economic recovery in both national and international markets; the level and volatility of energy prices; a weakened housing market; the troubled state of financial and credit markets; Federal Reserve positioning of monetary policy; high levels of unemployment, which has caused consumer spending to slow; the underlying impact on businesses’ operations and abilities to repay loans as consumer spending slowed;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as compared with other areas of the country, the impact of those conditions was not as pronounced on borrowers in the traditionally slower growth or stagnant regions of upstate New York and central Pennsylvania. Approximately one-half of the Company’s loans are to customers in New York State and Pennsylvania. Home prices in upstate New York and central Pennsylvania were largely unchanged in 2009, in contrast to declines in values in other regions of the country. Therefore, despite the conditions, as previously described, the most severe credit issues experienced by the Company have been centered around residential real estate, including loans to builders and developers of residential real estate, in areas other than New York State and Pennsylvania. In response, the Company has conducted detailed reviews of all loans to residential real estate builders and developers that exceeded $2.5 million. Those credit reviews often resulted in commencement of intensified collection efforts, including instances of foreclosure. During 2009, the Company experienced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increases in nonaccrual commercial loans, largely the result of a small number of large relationships, and in nonaccrual commercial real estate loans, largely due to builders and developers of residential real estate loans and one large loan in New York City. The Company utilizes an extensive loan grading system which is applied to all commercial and commercial real estate loans. On a quarterly basis, the Company’s loan review department reviews all commercial and commercial real estate loans greater than $350,000 that are classified as Special Mention or worse. Meetings are held with loan officers and their managers, workout specialists and Senior Management to discuss each of the relationships.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Special Mention, the process of obtaining updated collateral valuation information is usually initiated, unless it is not considered warranted given factors such as the relative size of the loan, the characteristics of the collateral or the age of the last valuation. In those latter cases, when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with special emphasis on the portfolio of Alt-A mortgage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w:t>
      </w:r>
    </w:p>
    <w:p>
      <w:pPr>
        <w:spacing w:after="0" w:line="276"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Factors that influence the Company’s credit loss experience include overall economic conditions affecting businesses and consumers generally, but also residential and commercial real estate valuations, in particular, given the size of the real estate loan portfolios. Reflecting the factors and conditions as described herein, the Company has experienced increases in nonaccrual loans and net charge-offs of real estate-related loans, particularly in the Company’s portfolios of residential real estate loans, including first and second lien Alt-A mortgage loans, and loans to builders and developers of residential real estate. The Company has also experienced increases in nonaccrual commercial real estate loans.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Management believes that the allowance for credit losses at March 31, 2010 was adequate to absorb credit losses inherent in the portfolio as of that date. The allowance for credit losses was $891 million, or 1.73% of total loans and leases at March 31, 2010, compared with $846 million or 1.73% at the end of the first quarter of 2009 and $878 million or 1.69% at December 31, 2009. The ratio of the allowance to total loans at March 31, 2010 and December 31, 2009 reflects the impact of $3.9 billion of loans obtained in the acquisition of Provident and in the Bradford transaction that have been recorded at estimated fair value based on estimated future cash flows expected to be received on those loans. Those cash flows reflect the impact of expected defaults on customer repayment performance. As a result, and as required by GAAP, there was no carry over of the allowance for credit losses previously recorded by Provident and Bradford. Accordingly, although general in nature the allowance for credit losses is predominantly intended to provide for losses inherent in the Company’s legacy loans (that is, total loans excluding loans acquired during 2009 in the Provident and Bradford transactions). The allowance for credit losses as a percentage of such legacy loans was 1.86% at March 31, 2010, compared with 1.83% at December 31, 2009 and 1.73% at March 31, 2009.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67% at March 31, 2010, compared with 84% a year earlier and 66% at December 31, 2009.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assessing the adequacy of the allowance. The level of the allowance reflects management’s evaluation of the loan and lease portfolio as of each respective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income totaled $258 million in the first quarter of 2010, compared with $232 million in the similar 2009 quarter and $266 million in the fourth quarter of 2009. Reflected in those amounts were net losses on investment securities (including other-than-temporary impairment losses), which totaled $26 million in the recent quarter, $32 million in the first quarter of 2009, and $34 million in the final 2009 quarter. Included in those securities losses were other-than-temporary impairment charges of $27 million in the recent quarter, $32 million in the year earlier quarter and $34 million in the final quarter of 2009. Those other-than-temporary impairment charges were predominantly related to the Company’s holdings of privately issued CMOs and reflect the impact of lower real estate values and higher delinquencies on residential real estate loans underlying those impaired securities. Excluding gains and losses from bank investment securities (including other-than-temporary impairment losses), other income aggregated $284 million, $264 million and $300 million in the three-month periods ended March 31, 2010, March 31, 2009 and December 31, 2009, respectively. Contributing to the improvement of such income in the recent quarter as compared with the year-earlier period were service charges on acquisition-related deposit accounts and increases in credit-related fees and insurance-related income. Partially offsetting those improvements were lower residential mortgage banking revenues and trust income. Decreases in residential mortgage banking revenues and service charges on deposit accounts contributed to the recent quarter’s decline as compared with the fourth quarter of 2009, offset, in part, by lower losses from M&amp;T’s pro-rata share of the operating results of Bayview Lending Group LLC (“BLG”).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Mortgage banking revenues totaled $41 million in the recently completed quarter, down from $56 million in the year-earlier quarter and $50 million in the fourth quarter of 2009.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$29 million in the first quarter of 2010, compared with $48 million in the 2009 initial quarter and $37 million in the final quarter of 2009. The decline in residential mortgage banking revenues in the recent quarter as compared with the first and fourth quarters of 2009 was largely attributable to lower origination activity, due predominantly to higher mortgage loan interest rates.</w:t>
      </w:r>
    </w:p>
    <w:p>
      <w:pPr>
        <w:spacing w:after="0" w:line="64" w:lineRule="exact"/>
        <w:rPr>
          <w:sz w:val="20"/>
          <w:szCs w:val="20"/>
          <w:color w:val="auto"/>
        </w:rPr>
      </w:pPr>
    </w:p>
    <w:p>
      <w:pPr>
        <w:ind w:right="160" w:firstLine="225"/>
        <w:spacing w:after="0" w:line="286" w:lineRule="auto"/>
        <w:rPr>
          <w:sz w:val="20"/>
          <w:szCs w:val="20"/>
          <w:color w:val="auto"/>
        </w:rPr>
      </w:pPr>
      <w:r>
        <w:rPr>
          <w:rFonts w:ascii="Arial" w:cs="Arial" w:eastAsia="Arial" w:hAnsi="Arial"/>
          <w:sz w:val="16"/>
          <w:szCs w:val="16"/>
          <w:color w:val="auto"/>
        </w:rPr>
        <w:t>New commitments to originate residential mortgage loans to be sold were approximately $1.0 billion in the recent quarter, down from $2.2 billion in the first quarter of 2009 and $1.2 billion in 2009’s fourth quarter. Similarly, closed residential mortgage loans originated for sale to other investors were approximately $1.0 billion in the recent quarter, compared with $1.7 billion and $1.2 billion during the three-month periods ended March 31, 2009 and December 31, 2009, respectively. Residential mortgage loans sold to investors totaled $1.1 billion in the recently completed quarter, compared with</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$1.3 billion and $1.2 billion in the first and fourth quarters of 2009, respectively. Realized gains from sales of residential mortgage loans and loan servicing rights and recognized net unrealized gains and losses attributable to residential mortgage loans held for sale, commitments to originate loans for sale and commitments to sell loans totaled to a gain of $8 million in the first quarter of 2010, compared with gains of $27 million in the first quarter of 2009 and $16 million in the fourth quarter of 2009.</w:t>
      </w:r>
    </w:p>
    <w:p>
      <w:pPr>
        <w:spacing w:after="0" w:line="8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Since early 2007 when the Company recognized a $6 million charge related to declines in market values of previously sold residential real estate loans that the Company could have been required to repurchase, the Company has regularly reduced residential mortgage banking revenues by an estimate for losses related to its obligations to loan purchasers. The amount of those charges varies based on the volume of loans sold, the level of reimbursement requests received from loan purchasers and estimates of losses that may be associated with previously sold loans. That variability has not had a material impact on the Company’s results of operations and management believes that any liability arising out of the Company’s obligation to loan purchasers as of March 31, 2010 is not material to the Company’s consolidated financial position. Nevertheless, in recent quarters the Company has received increased requests from loan purchasers for reimbursement. The Company has considered those requests in assessing the estimated impact on the Company’s consolidated financial statements.</w:t>
      </w:r>
    </w:p>
    <w:p>
      <w:pPr>
        <w:spacing w:after="0" w:line="70"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color w:val="auto"/>
        </w:rPr>
        <w:t>Revenues from servicing residential mortgage loans for others were $20 million during each of the quarters ended March 31, 2010 and March 31, 2009, compared with $21 million in the fourth quarter of 2009. Included in servicing revenues were amounts related to purchased servicing rights associated with small balance commercial mortgage loans which totaled $7 million in each of the first quarters of 2010 and 2009, and in the final 2009 quarter.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Residential mortgage loans serviced for others totaled $21.7 billion at March 31, 2010, $21.4 billion at December 31, 2009 and $21.0 billion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2009, including the small balance commercial mortgage loans noted above of approximately $5.8 billion at March 31, 2010, $5.5 billion at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2009 and $5.9 billion at March 31, 2009. Capitalized residential mortgage servicing assets, net of a valuation allowance for impairment, were $133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2010, compared with $139 million at March 31, 2009 and $141 million at December 31, 2009. The valuation allowance for possible impairment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residential mortgage servicing assets totaled $50 thousand at December 31, 2009 and $17 million at March 31, 2009. There was no such allowance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2010. Included in capitalized residential mortgage servicing assets were $36 million at March 31, 2010, $53 million at March 31, 2009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 million at December 31, 2009 of purchased servicing rights associated with the small balance commercial mortgage loans noted above. Servicing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small balance commercial mortgage loans were purchased from BLG or its affiliates. In addition, at March 31, 2010, capitalized servicing rights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$15 million for servicing rights for $4.0 billion of residential real estate loans that were purchased from affiliates of BLG. Additional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about the Company’s relationship with BLG and its affiliates is provided in note 14 of Notes to Financial Statements.</w:t>
      </w:r>
    </w:p>
    <w:p>
      <w:pPr>
        <w:spacing w:after="0" w:line="103"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Loans held for sale that are secured by residential real estate aggregated $353 million and $763 million at March 31, 2010 and 2009, respectively, and $530 million at December 31, 2009. Commitments to sell loans and commitments to originate loans for sale at pre-determined rates were $785 million and $640 million, respectively, at March 31, 2010, compared with $1.5 billion each at March 31, 2009, and $936 million and $631 million, respectively, at December 31, 2009. Net unrealized gains on residential mortgage loans held for sale, commitments to sell loans, and commitments to originate loans for sale were $14 million and $21 million at March 31, 2010 and March 31, 2009, respectively, and were $15 million at December 31, 2009. Changes in such net unrealized gains and losses are recorded in mortgage banking revenues and resulted in a net decrease in revenue of $1 million in the first quarter of 2010, compared with net increases in revenue of $15 million in the first quarter of 2009 and $2 million in 2009’s final quarter.</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Commercial mortgage banking revenues totaled $12 million in the recent quarter, $8 million in the first quarter of 2009 and $13 million in the fourth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quarter of 2009. Included in such amounts were revenues from loan origination and sales activities of $8 million and $5 million in the quarters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2010 and 2009, respectively, and $9 million in the final 2009 quarter. Commercial mortgage loan servicing revenues were $4 million in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quarters ended March 31, 2010 and December 31, 2009, and $3 million in the initial quarter of 2009. Capitalized commercial mortgage servicing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totaled $37 million at March 31, 2010, compared with $27 million and $33 million at March 31 and December 31, 2009, respectively. Commercial mortgage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serviced for other investors totaled $7.5 billion, $6.7 billion and $7.1 billion at March 31, 2010, March 31, 2009 and December 31, 2009,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included $1.4 billion, $1.2 billion and $1.3 billion, respectively, of loan balances for which investors had recourse to the Company if such balances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ultimately uncollectible. Commitments to sell commercial mortgage loans and commitments to originate commercial mortgage loans for sale were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$131 million and $61 million, respectively, at March 31, 2010, $179 million and $138 million, respectively, at March 31, 2009 and $303 million and</w:t>
      </w:r>
    </w:p>
    <w:p>
      <w:pPr>
        <w:spacing w:after="0" w:line="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$180 million, respectively, at December 31, 2009. Commercial mortgage loans held for sale at March 31, 2010 and 2009 were $70 million and $40 million, respectively, and were $123 million at December 31, 2009.</w:t>
      </w:r>
    </w:p>
    <w:p>
      <w:pPr>
        <w:spacing w:after="0" w:line="76"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color w:val="auto"/>
        </w:rPr>
        <w:t>Service charges on deposit accounts aggregated $120 million in the first quarter of 2010, compared with $101 million in the year-earlier quarter and $127 million in the final 2009 quarter. The rise in such fees in the recent quarter as compared with the year-earlier quarter was due predominantly to the impact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acquisition of Provident. Contributing to the lower recent quarter revenues as compared with 2009’s fourth quarter were traditional first quarter seasonal declines in customer transaction volumes. The Federal Reserve and other bank regulators have adopted regulations requiring expanded disclosure of overdraft and other fees assessed to consumers and have issued guidance that will allow consumers to elect to not be subject to fees for certain deposit account transactions beginning July 1, 2010. The Company intends to comply with these regulations but, at the present time, cannot predict the extent to which customers will elect to not avail themselves of the respective deposit account services. Trust income aggregated $31 million in the initial 2010 quarter, compared with $35 million and $30 million in the first and fourth quarters of 2009, respectively. The declines in trust income in the two most recent quarters as compared with last year’s initial quarter are largely attributable to the impact of lower balances in proprietary mutual funds and fee waivers by the Company in order to continue to pay customers a yield on their investments in proprietary money-market mutual funds. Those waived fees totaled approximately $5 million during each of the three-month periods ended March 31, 2010 and December 31, 2009, and $600 thousand during the three-month period ended March 31, 2009. Brokerage services income, which includes revenues from the sale of mutual funds and annuities and securities brokerage fees, totaled $13 million and $15 million in the first quarters of 2010 and 2009, respectively, and $14 million in the fourth quarter of 2009. Trading account and foreign exchange activity resulted in gains of $5 million during the quarter ended March 31, 2010, $1 million in the first quarter of 2009 and $7 million in 2009’s fourth quarter. Contributing to the higher level of revenues in the two most recent quarters as compared with the initial quarter of 2009 were net increases in the market values of trading account assets held in connection with deferred compensation plans.</w:t>
      </w:r>
    </w:p>
    <w:p>
      <w:pPr>
        <w:spacing w:after="0" w:line="64"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Including other-than-temporary impairment losses, during the first quarter of 2010 the Company recognized losses on investment securities of $26 million, compared with losses of $32 million in the year-earlier quarter and $34 million in the fourth quarter of 2009. Other-than-temporary impairment charges of $27 million, $32 million and $34 million were recorded in the quarters ended March 31, 2010, March 31, 2009 and December 31, 2009, respectively. Each reporting period, the Company reviews its investment securities for other-than-temporary impairment. For equity securities, such as the Company’s investment in the preferred stock of Fannie Mae and Freddie Mac,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7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M&amp;T’s share of the operating results of BLG in the recent quarter was a loss of $6 million, compared with losses of $4 million in the first quarter of 2009 and $11 million in the final 2009 quarter. The operating losses of</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BLG in the respective quarters resulted from the disruptions in the commercial mortgage-backed securities market and reflected losses from loan sales activities, lower values ascribed to loans held for sale, higher provisions for losses associated with securitized loans and other loans held by BLG, and costs associated with severance and certain lease terminations incurred by BLG as it downsized its operations. Despite the credit and liquidity disruptions that began in 2007, BLG had been successfully securitizing and selling significant volumes of small-balance commercial real estate loans until the first quarter of 2008. In response to the illiquidity in the marketplace since that time, BLG reduced its originations activities, scaled back its workforce and made use of its contingent liquidity sources. In addition to BLG’s mortgage origination and sales capabilities, BLG also is entitled to cash flows from mortgage assets that it owns or that are owned by its affiliates and from asset management and other services provided by its affiliates. Accordingly, the Company believes that BLG is capable of realizing positive cash flows that could be available for distribution to its owners, including M&amp;T, despite a lack of positive GAAP-earnings. Nevertheless, if BLG is not able to realize sufficient cash flows for the benefit of M&amp;T, the Company may be required to recognize an other-than-temporary impairment charge in a future period for some portion of the $240 million book value of its investment in BLG. Information about the Company’s relationship with BLG and its affiliates is included in note 14 of Notes to Financial Statements.</w:t>
      </w:r>
    </w:p>
    <w:p>
      <w:pPr>
        <w:spacing w:after="0" w:line="75"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Other revenues from operations totaled $79 million in the first quarter of 2010, compared with $59 million in the similar 2009 period and $82 million in the fourth quarter of 2009. Included in other revenues from operations were the following significant components. Letter of credit and other credit-related fees totaled $29 million in the recent quarter, $21 million in the first quarter of 2009 and $26 million in 2009’s final quarter. The higher fees in the two most recent quarters as compared with the initial quarter of 2009 were largely attributable to increased loan syndication fees. Tax-exempt income from bank owned life insurance, which includes increases in the cash surrender value of life insurance policies and benefits received, totaled $12 million during the first quarter of 2010, compared with $10 million and $13 million in the first and fourth quarters of 2009, respectively. Revenues from merchant discount and credit card fees were $11 million in each of the quarters ended March 31, 2010 and December 31, 2009 and $10 million in the quarter ended March 31, 2009. Insurance-related sales commissions and other revenues totaled $11 million, $6 million and $12 million in the first quarters of 2010 and 2009 and the fourth quarter of 2009, respectively. No other revenue source contributed more than $5 million to “other revenues from operations” in any of the quarterly periods discussed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Other expense totaled $489 million in the first quarter of 2010, 12% higher than $438 million in the corresponding quarter of 2009 and 2% above $478 million in the final 2009 quarter. Included in the amounts noted above are expenses considered by management to be “nonoperating” in nature consisting of amortization of core deposit and other intangible assets of $16 million and $15 million in the first quarters of 2010 and 2009, respectively, and $17 million in the fourth quarter of 2009, and merger-related expenses of $2 million and $6 million in the three-month periods ended March 31, 2009 and December 31, 2009, respectively. There were no merger-related expenses in the first quarter of 2010. Exclusive of these nonoperating expenses, noninterest operating expenses totaled $473 million in the first three months of 2010, compared with $421 million and $455 million in the first and fourth quarters of 2009, respectively. The higher level of such expenses in the recent quarter as compared with the year-earlier quarter was due largely to the operations obtained in the 2009 acquisitions and higher FDIC assessments. The rise in expenses from the fourth quarter of 2009 was largely the result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seasonally higher incentive compensation and related payroll tax and benefits costs. Table 2 provides a reconciliation of other expense to noninterest operating expense.</w:t>
      </w:r>
    </w:p>
    <w:p>
      <w:pPr>
        <w:spacing w:after="0" w:line="62" w:lineRule="exact"/>
        <w:rPr>
          <w:sz w:val="20"/>
          <w:szCs w:val="20"/>
          <w:color w:val="auto"/>
        </w:rPr>
      </w:pPr>
    </w:p>
    <w:p>
      <w:pPr>
        <w:ind w:right="20" w:firstLine="225"/>
        <w:spacing w:after="0" w:line="283" w:lineRule="auto"/>
        <w:rPr>
          <w:sz w:val="20"/>
          <w:szCs w:val="20"/>
          <w:color w:val="auto"/>
        </w:rPr>
      </w:pPr>
      <w:r>
        <w:rPr>
          <w:rFonts w:ascii="Arial" w:cs="Arial" w:eastAsia="Arial" w:hAnsi="Arial"/>
          <w:sz w:val="16"/>
          <w:szCs w:val="16"/>
          <w:color w:val="auto"/>
        </w:rPr>
        <w:t>Salaries and employee benefits expense aggregated $264 million in the recently completed quarter, compared with $249 million in the first quarter of 2009 and $247 million in 2009’s fourth quarter. The rise in such expense in the first quarter of 2010 as compared with the year-earlier quarter reflects the impact of the operations obtained in the 2009 acquisition transactions. Contributing to the increase in salaries and employee benefits expense in the recent quarter as compared with the fourth quarter of 2009 were higher stock-based compensation and payroll-related taxes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2010 and 2009 included $7 million and $9 million, respectively, that would have been recognized over the normal four-year vesting period if not for the accelerated expense recognition provisions of GAAP. That acceleration had no effect on the value of stock-based compensation awarded to employees. Salaries and benefits expense included stock-based compensation of</w:t>
      </w:r>
    </w:p>
    <w:p>
      <w:pPr>
        <w:spacing w:after="0" w:line="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$20 million, $22 million and $11 million in the quarters ended March 31, 2010, March 31, 2009 and December 31, 2009, respectively. The number of full-time equivalent employees was 13,226 at March 31, 2010, compared with 12,944 and 13,639 at March 31, 2009 and December 31, 2009, respectively.</w:t>
      </w:r>
    </w:p>
    <w:p>
      <w:pPr>
        <w:spacing w:after="0" w:line="31"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$209 million in each of the quarters ended March 31, 2010 and December 31, 2009 and $171 million in the initial quarter of 2009. The rise in such expenses in the recent quarter as compared with the year-earlier quarter was due largely to higher FDIC assessments and costs associated with the acquired operations of Provident.</w:t>
      </w:r>
    </w:p>
    <w:p>
      <w:pPr>
        <w:spacing w:after="0" w:line="39" w:lineRule="exact"/>
        <w:rPr>
          <w:sz w:val="20"/>
          <w:szCs w:val="20"/>
          <w:color w:val="auto"/>
        </w:rPr>
      </w:pPr>
    </w:p>
    <w:p>
      <w:pPr>
        <w:ind w:right="200" w:firstLine="222"/>
        <w:spacing w:after="0" w:line="293"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from bank investment securities and gains on merger-related transactions), measures the relationship of noninterest operating expenses to revenues. The Company’s efficiency ratio was 55.9% in the first quarter of 2010, compared with 58.7% in the year-earlier period and 52.7% in the fourth quarter of 2009. Noninterest operating expenses used in calculating the efficiency ratio do not include the amortization of core deposit and other intangible assets, as noted earlier. If charges for amortization of core deposit and other intangible assets were included, the efficiency ratio for the three-month periods ended March 31, 2010, March 31, 2009 and December 31, 2009 would have been 57.8%, 60.8% and 54.6%,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for the quarter ended March 31, 2010 was $69 million, compared with $20 million and $64 million in the first and fourth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quarters of 2009, respectively. The effective tax rates were 31.3%, 23.4% and 32.0% for the quarters ended March 31, 2010, March 31, 2009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respectively. The effective tax rate is affected by the level of income earned that is exempt from tax relative to the overall level of pre-tax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the level of income allocated to the various state and local jurisdictions where the Company operates, because tax rates differ among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jurisdictions, and the impact of any large but infrequently occurring items.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Stockholders’ equity was $7.9 billion at March 31, 2010, representing 11.57% of total assets, compared with $6.9 billion or 10.64% at March 31, 2009 and $7.8 billion or 11.26% at December 31, 2009. Included in stockholders’ equity at those dates was $600 million of Fixed Rate Cumulative Perpetual Preferred Stock, Series A, and warrants to purchase M&amp;T common stock issued on December 23, 2008 as part of the U.S. Treasury Capital Purchase Program (“CPP”). The financial statement value of that preferred stock was $574 million at March 31, 2010 and $573 million at December 31, 2009. Provident also participated in the CPP on November 14, 2008. As a result, Provident’s $151.5 million of preferred stock related thereto was converted to M&amp;T Fixed Rate Cumulative Perpetual Preferred Stock, Series C, with warrants to purchase M&amp;T common stock. The holder of the Series A and Series C preferred stock is entitled to cumulative cash dividends of 5% per annum for five years after the date of initial issuance and 9% per annum thereafter, payable quarterly in arrears. That preferred stock is redeemable at the option of M&amp;T, subject to regulatory approval. M&amp;T also obtained another series of preferred stock as part of the Provident acquisition that was converted to $26.5 million of M&amp;T Series B Mandatory Convertible Non-Cumulative Preferred Stock, liquidation preference of $1,000 per share. The 26,500 shares of the Series B Preferred Stock will automatically convert into 433,148 shares of M&amp;T common stock on April 1, 2011. The Series B Preferred Stock pays dividends at a rate of 10% per annum on the liquidation preference of $1,000 per share, payable quarterly in arrears. The estimated fair value ascribed to the Series C Preferred Stock associated with the acquisition of Provident was $129 million on the May 23, 2009 acquisition date. The financial statement value of the Series C Preferred Stock was $132 million and $131 million at March 31, 2010 and December 31, 2009, respectively. The estimated acquisition date fair value of the Series B Preferred Stock was approximately equal to that stock’s $26.5 million redemption value.</w:t>
      </w:r>
    </w:p>
    <w:p>
      <w:pPr>
        <w:spacing w:after="0" w:line="64"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Common stockholders’ equity was $7.2 billion, or $60.40 per share, at March 31, 2010, compared with $6.3 billion, or $56.95 per share, at March 31, 2009 and $7.0 billion, or $59.31 per share, at December 31, 2009. Tangible equity per common share, which excludes goodwill and core deposit and other intangible assets and applicable deferred tax balances, was $29.59 at March 31, 2010, $26.90 at March 31, 2009 and $28.27 at December 31, 2009. The Company’s ratio of tangible common equity to tangible assets was 5.43% at March 31, 2010, compared with 4.86% a year earlier and 5.13% at December 31, 2009. Reconciliations of total common stockholders’ equity and tangible common equity and total assets and tangible assets as of each of those respective dates are presented in table 2.</w:t>
      </w:r>
    </w:p>
    <w:p>
      <w:pPr>
        <w:spacing w:after="0" w:line="85" w:lineRule="exact"/>
        <w:rPr>
          <w:sz w:val="20"/>
          <w:szCs w:val="20"/>
          <w:color w:val="auto"/>
        </w:rPr>
      </w:pPr>
    </w:p>
    <w:p>
      <w:pPr>
        <w:ind w:right="240" w:firstLine="225"/>
        <w:spacing w:after="0" w:line="297" w:lineRule="auto"/>
        <w:rPr>
          <w:sz w:val="20"/>
          <w:szCs w:val="20"/>
          <w:color w:val="auto"/>
        </w:rPr>
      </w:pPr>
      <w:r>
        <w:rPr>
          <w:rFonts w:ascii="Arial" w:cs="Arial" w:eastAsia="Arial" w:hAnsi="Arial"/>
          <w:sz w:val="16"/>
          <w:szCs w:val="16"/>
          <w:color w:val="auto"/>
        </w:rPr>
        <w:t>Stockholders’ equity reflects accumulated other comprehensive income or loss, which includes the net after-tax impact of unrealized gains or losses on investment securities classified as available-for-sale, gains or losses associated with interest rate swap agreements designated as cash flow hedges, and adjustments to reflect the funded status of defined benefit pension and other postretirement plans. Net unrealized losses on available-for-sale investment securities, net of applicable tax effect, were $140 million, or $1.18 per common share, at March 31, 2010, compared with similar losses of $446 million, or $4.01 per common share, at March 31, 2009 and $220 million, or $1.86 per common share, at December 31, 2009. Such unrealized losses represent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difference, net of applicable income tax effect, between the estimated fair value and amortized cost of investment securities classified as available for sale, including the remaining unamortized unrealized losses on investment securities that have been transferred to held-to-maturity classification.</w:t>
      </w:r>
    </w:p>
    <w:p>
      <w:pPr>
        <w:spacing w:after="0" w:line="38"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Reflected in net unrealized losses at March 31, 2010 were pre tax-effect unrealized losses of $385 million on available-for-sale investment securities with an amortized cost of $2.4 billion and pre tax-effect unrealized gains of $221 million on securities with an amortized cost of $3.9 billion. The pre tax-effect unrealized losses reflect $305 million of losses considered Level 3 valuations on privately issued residential mortgage-backed securities having an amortized cost of $1.7 billion and an estimated fair value of $1.4 billion and $48 million of losses generally considered Level 2 valuations on trust preferred securities issued by financial institutions having an amortized cost of $147 million and an estimated fair value of $99 million.</w:t>
      </w:r>
    </w:p>
    <w:p>
      <w:pPr>
        <w:spacing w:after="0" w:line="5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March 31, 2010. As with any accounting estimate or other data, changes in fair values and investment ratings may occur at any time.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CLASSIFIED AS AVAILABLE FOR SALE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center"/>
              <w:ind w:right="320"/>
              <w:spacing w:after="0"/>
              <w:rPr>
                <w:sz w:val="20"/>
                <w:szCs w:val="20"/>
                <w:color w:val="auto"/>
              </w:rPr>
            </w:pPr>
            <w:r>
              <w:rPr>
                <w:rFonts w:ascii="Arial" w:cs="Arial" w:eastAsia="Arial" w:hAnsi="Arial"/>
                <w:sz w:val="14"/>
                <w:szCs w:val="14"/>
                <w:color w:val="auto"/>
                <w:w w:val="90"/>
              </w:rPr>
              <w:t>As a percentage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vMerge w:val="restart"/>
          </w:tcPr>
          <w:p>
            <w:pPr>
              <w:jc w:val="center"/>
              <w:ind w:right="640"/>
              <w:spacing w:after="0"/>
              <w:rPr>
                <w:sz w:val="20"/>
                <w:szCs w:val="20"/>
                <w:color w:val="auto"/>
              </w:rPr>
            </w:pPr>
            <w:r>
              <w:rPr>
                <w:rFonts w:ascii="Arial" w:cs="Arial" w:eastAsia="Arial" w:hAnsi="Arial"/>
                <w:sz w:val="14"/>
                <w:szCs w:val="14"/>
                <w:color w:val="auto"/>
                <w:w w:val="91"/>
              </w:rPr>
              <w:t>Net</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color w:val="auto"/>
                <w:w w:val="94"/>
              </w:rPr>
              <w:t>carrying value</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gridSpan w:val="3"/>
          </w:tcPr>
          <w:p>
            <w:pPr>
              <w:spacing w:after="0" w:line="149" w:lineRule="exact"/>
              <w:rPr>
                <w:sz w:val="20"/>
                <w:szCs w:val="20"/>
                <w:color w:val="auto"/>
              </w:rPr>
            </w:pPr>
            <w:r>
              <w:rPr>
                <w:rFonts w:ascii="Arial" w:cs="Arial" w:eastAsia="Arial" w:hAnsi="Arial"/>
                <w:sz w:val="14"/>
                <w:szCs w:val="14"/>
                <w:color w:val="auto"/>
              </w:rPr>
              <w:t>Collateral type</w:t>
            </w: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Amortized</w:t>
            </w:r>
          </w:p>
        </w:tc>
        <w:tc>
          <w:tcPr>
            <w:tcW w:w="320" w:type="dxa"/>
            <w:vAlign w:val="bottom"/>
          </w:tcPr>
          <w:p>
            <w:pPr>
              <w:spacing w:after="0"/>
              <w:rPr>
                <w:sz w:val="12"/>
                <w:szCs w:val="12"/>
                <w:color w:val="auto"/>
              </w:rPr>
            </w:pPr>
          </w:p>
        </w:tc>
        <w:tc>
          <w:tcPr>
            <w:tcW w:w="148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Fair</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unrealized</w:t>
            </w: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AAA</w:t>
            </w:r>
          </w:p>
        </w:tc>
        <w:tc>
          <w:tcPr>
            <w:tcW w:w="38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0"/>
              </w:rPr>
              <w:t>Investment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Senior</w:t>
            </w:r>
          </w:p>
        </w:tc>
        <w:tc>
          <w:tcPr>
            <w:tcW w:w="0" w:type="dxa"/>
            <w:vAlign w:val="bottom"/>
          </w:tcPr>
          <w:p>
            <w:pPr>
              <w:spacing w:after="0"/>
              <w:rPr>
                <w:sz w:val="1"/>
                <w:szCs w:val="1"/>
                <w:color w:val="auto"/>
              </w:rPr>
            </w:pPr>
          </w:p>
        </w:tc>
      </w:tr>
      <w:tr>
        <w:trPr>
          <w:trHeight w:val="167"/>
        </w:trPr>
        <w:tc>
          <w:tcPr>
            <w:tcW w:w="3540" w:type="dxa"/>
            <w:vAlign w:val="bottom"/>
            <w:gridSpan w:val="3"/>
            <w:vMerge w:val="restart"/>
          </w:tcPr>
          <w:p>
            <w:pPr>
              <w:spacing w:after="0"/>
              <w:rPr>
                <w:sz w:val="20"/>
                <w:szCs w:val="20"/>
                <w:color w:val="auto"/>
              </w:rPr>
            </w:pPr>
            <w:r>
              <w:rPr>
                <w:rFonts w:ascii="Arial" w:cs="Arial" w:eastAsia="Arial" w:hAnsi="Arial"/>
                <w:sz w:val="14"/>
                <w:szCs w:val="14"/>
                <w:color w:val="auto"/>
              </w:rPr>
              <w:t>Residential mortgage loans</w:t>
            </w: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cost</w:t>
            </w:r>
          </w:p>
        </w:tc>
        <w:tc>
          <w:tcPr>
            <w:tcW w:w="32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color w:val="auto"/>
              </w:rPr>
              <w:t>value</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gains(losses)</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rated</w:t>
            </w:r>
          </w:p>
        </w:tc>
        <w:tc>
          <w:tcPr>
            <w:tcW w:w="380" w:type="dxa"/>
            <w:vAlign w:val="bottom"/>
          </w:tcPr>
          <w:p>
            <w:pPr>
              <w:spacing w:after="0"/>
              <w:rPr>
                <w:sz w:val="14"/>
                <w:szCs w:val="14"/>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4"/>
                <w:szCs w:val="14"/>
                <w:color w:val="auto"/>
                <w:w w:val="83"/>
              </w:rPr>
              <w:t>grade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tranche</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7"/>
              </w:rPr>
              <w:t>(in thousands)</w:t>
            </w:r>
          </w:p>
        </w:tc>
        <w:tc>
          <w:tcPr>
            <w:tcW w:w="6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Prime — Fixed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128,503</w:t>
            </w: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132,252</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3,749</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64%</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Prime — Hybrid ARMs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1,614,662</w:t>
            </w:r>
          </w:p>
        </w:tc>
        <w:tc>
          <w:tcPr>
            <w:tcW w:w="300" w:type="dxa"/>
            <w:vAlign w:val="bottom"/>
          </w:tcPr>
          <w:p>
            <w:pPr>
              <w:spacing w:after="0"/>
              <w:rPr>
                <w:sz w:val="18"/>
                <w:szCs w:val="18"/>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1,390,131</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(224,531)</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16</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64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 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1,598</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Alt-A — Fixed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9,472</w:t>
            </w:r>
          </w:p>
        </w:tc>
        <w:tc>
          <w:tcPr>
            <w:tcW w:w="300" w:type="dxa"/>
            <w:vAlign w:val="bottom"/>
          </w:tcPr>
          <w:p>
            <w:pPr>
              <w:spacing w:after="0"/>
              <w:rPr>
                <w:sz w:val="18"/>
                <w:szCs w:val="18"/>
                <w:color w:val="auto"/>
              </w:rPr>
            </w:pP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10,734</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1,262</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14</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 — Hybrid ARMs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198,380</w:t>
            </w:r>
          </w:p>
        </w:tc>
        <w:tc>
          <w:tcPr>
            <w:tcW w:w="3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126,275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(72,105)</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Alt-A — Option ARMs</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1800" w:type="dxa"/>
            <w:vAlign w:val="bottom"/>
            <w:gridSpan w:val="3"/>
          </w:tcPr>
          <w:p>
            <w:pPr>
              <w:jc w:val="right"/>
              <w:ind w:right="640"/>
              <w:spacing w:after="0"/>
              <w:rPr>
                <w:sz w:val="20"/>
                <w:szCs w:val="20"/>
                <w:color w:val="auto"/>
              </w:rPr>
            </w:pPr>
            <w:r>
              <w:rPr>
                <w:rFonts w:ascii="Arial" w:cs="Arial" w:eastAsia="Arial" w:hAnsi="Arial"/>
                <w:sz w:val="18"/>
                <w:szCs w:val="18"/>
                <w:color w:val="auto"/>
              </w:rPr>
              <w:t>269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(139)</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3,082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(2,179)</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1,958,635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1,664,341</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(294,294)</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62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mortgage loans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25,125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(6,231)</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1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1,989,991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1,689,466</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(300,525)</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18%</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63%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March 31, 2010.</w:t>
      </w:r>
    </w:p>
    <w:p>
      <w:pPr>
        <w:spacing w:after="0" w:line="117"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Reflecting the credit stress associated with residential mortgage loans, trading activity for privately issued residential mortgage-backed securities has been dramatically reduced. In estimating values for such securities, the Company was significantly restricted in the level of market observable assumptions used in the valuation of its privately issued mortgage-backed securities portfolio. Because of the inactivity and the lack of observable valuation inputs, the Company classifies its privately issued mortgage-backed securities portfolio as Level 3. To assist in the determination of fair value for its privately issued mortgage-backed securities, the Company engaged two independent pricing sources at March 31, 2010 and December 31, 2009. In April 2009, new accounting guidance was provided for estimating fair value when the volume and level of trading activity for an asset or liability have significantly decreased. In consideration of that guidance, the Company performed internal modeling to estimate the cash flows and fair value of 145 of its privately issued residential mortgage-backed securities with an amortized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cost basis of $1.8 billion at March 31, 2010. The Company’s internal modeling techniques included discounting estimated bond-specific cash flows using assumptions about cash flows associated with loans underlying each of the bonds. In estimating those cash flows, the Company used conservative assumptions as to future delinquency,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each of the 145 bonds under current market conditions, the Company computed values based on judgmentally applied weightings of the internal model valuations and the indications obtained from the average of the two independent pricing sources. Weightings applied to internal model valuations were generally dependent on bond structure and collateral type, with prices for bonds in non-senior tranches generally receiving lower weightings on the internal model results and greater weightings of the valuation data provided by the independent pricing sources. As a result, certain valuations of privately issued residential mortgage-backed securities were determined by reference to independent pricing sources without adjustment. The average weight placed on internal model valuations was 37%, compared with a 63% weighting on valuations provided by the independent sources. Generally, the range of weights placed on internal valuations were between 0% and 40%. Further information concerning the Company’s valuations of privately issued mortgage-backed securities can be found in note 11 of Notes to Financial Statements.</w:t>
      </w:r>
    </w:p>
    <w:p>
      <w:pPr>
        <w:spacing w:after="0" w:line="8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During the quarter ended March 31, 2010, the Company recognized $27 million (pre-tax) of other-than-temporary impairment losses predominantly related to privately issued residential mortgage-backed securities with an amortized cost basis (before impairment charge) of $423 million. Those other-than-temporary impairment losses were determined in accordance with GAAP and, therefore, reflect the estimated credit losses on the impaired securities. In assessing impairment losses, the Company performed internal modeling to estimate bond-specific cash flows, which considered the placement of the bond in the overall securitization structure and the remaining levels of subordination. For privately issued residential mortgage-backed securities, the model utilized assumptions about the underlying performance of the mortgage loan collateral considering recent collateral performance and future assumptions regarding default and loss severity. At March 31, 2010, projected model default percentages on the underlying mortgage loan collateral ranged from 2% to 41% and loss severities ranged from 10% to 74%. For bonds in which the Company has recognized an other-than-temporary impairment charge, the weighted-average percentage of default collateral was 25% and the weighted-average loss severity was 51%. For bonds without other-than-temporary impairment losses, the weighted-average default percentage and loss severity were 11% and 37%, respectively. Underlying mortgage loan collateral cash flows, after considering the impact of estimated credit losses, were distributed by the model to the various securities within the securitization structure to determine the timing and extent of losses at the bond-level, if any. The other-than-temporary impairment losses recognized in the consolidated statement of income were net of $3 million of unrealized losses for the same securities resulting from other factors that have been reflected in accumulated other comprehensive income. Despite rising levels of delinquencies and losses in the underlying residential mortgage loan collateral, given credit enhancements resulting from the structures of individual bonds, the Company has concluded that as of March 31, 2010 its remaining privately issued mortgage-backed securities were not other-than-temporarily impaired. Nevertheless, given recent market conditions, it is possible that adverse changes in repayment performance and fair value could occur in the remainder of 2010 and later years that could impact the Company’s conclusions. Management has modeled cash flows from privately issued mortgage-backed securities under various scenarios and has concluded that even if home price depreciation and current delinquency trends persist for an extended period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time, the Company’s principal losses on its privately issued mortgage-backed securities would be substantially less than their current fair valuation losses.</w:t>
      </w:r>
    </w:p>
    <w:p>
      <w:pPr>
        <w:spacing w:after="0" w:line="140"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At March 31, 2010, the Company also had net pre-tax unrealized losses of $2 million on $411 million of trust preferred securities issued by financial institutions, securities backed by trust preferred securities issued by financial institutions and other entities, and other debt securities (including $23 million of unrealized gains on $126 million of securities using a Level 3 valuation and $25 million of net unrealized losses on $285 million of securities classified as Level 2 valuations). Pre-tax net unrealized losses of $29 million existed on $384 million of such securities at December 31, 2009. After evaluating the expected repayment performance of financial institutions where trust preferred securities were held directly by the Company or were within the securities backed by trust preferred securities, the Company did not recognize any significant other-than-temporary impairment losses related to those securities during the quarter ended March 31, 2010.</w:t>
      </w:r>
    </w:p>
    <w:p>
      <w:pPr>
        <w:spacing w:after="0" w:line="81"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The Company also holds municipal bonds, mortgage-backed securities guaranteed by government agencies and certain collateralized mortgage obligations securitized by Bayview Financial in its held-to-maturity investment securities portfolio. The Company purchased certain private placement CMOs during the third quarter of 2008 that had been securitized by Bayview Financial Holdings, L.P. (together with its affiliates, “Bayview Financial”), a privately-held specialty mortgage finance company and the majority investor of BLG. Given the Company’s relationship with Bayview Financial, at that time the Company reconsidered its intention to hold other CMOs securitized by Bayview Financial with a cost basis of $385 million and a fair value of $298 million and transferred such securities from its available-for-sale investment securities portfolio to its held-to-maturity investment securities portfolio. As a result, at March 31, 2010 and December 31, 2009, the Company had in its held-to-maturity portfolio CMOs securitized by Bayview Financial with an amortized cost basis of $342 million and $352 million, respectively, (including the effect of $65 million and $68 million, respectively, of unamortized fair value adjustment (pre-tax) residing in accumulated other comprehensive income from the time of transfer) and a fair value of $204 million and $201 million, respectively. Given the credit enhancements within each of the individual bond structures, the Company has determined that it expects to fully collect its contractual principal and interest payments on the private CMOs securitized by Bayview Financial and therefore believes such securities were not other-than-temporarily impaired at March 31, 2010.</w:t>
      </w:r>
    </w:p>
    <w:p>
      <w:pPr>
        <w:spacing w:after="0" w:line="72" w:lineRule="exact"/>
        <w:rPr>
          <w:sz w:val="20"/>
          <w:szCs w:val="20"/>
          <w:color w:val="auto"/>
        </w:rPr>
      </w:pPr>
    </w:p>
    <w:p>
      <w:pPr>
        <w:ind w:firstLine="215"/>
        <w:spacing w:after="0" w:line="253" w:lineRule="auto"/>
        <w:rPr>
          <w:sz w:val="20"/>
          <w:szCs w:val="20"/>
          <w:color w:val="auto"/>
        </w:rPr>
      </w:pPr>
      <w:r>
        <w:rPr>
          <w:rFonts w:ascii="Arial" w:cs="Arial" w:eastAsia="Arial" w:hAnsi="Arial"/>
          <w:sz w:val="18"/>
          <w:szCs w:val="18"/>
          <w:color w:val="auto"/>
        </w:rPr>
        <w:t>As of March 31, 2010, based on a review of each of the remaining securities in the investment securities portfolio, the Company concluded that the declines in the values of those securities were temporary and that any additional other-than-temporary impairment charges were not appropriate at March 31, 2010.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to assess if changes in their underlying credit performance or other events cause the cost basis of those securities to become other-than-temporarily impaired. However, because the unrealized losses on available-for-sale investment securities have generally already been reflected in the financial statement values for investment securities and stockholders’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stockholders’ equity. Additional information concerning fair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value measurements and the Company’s approach to the classification of such measurements is included in note 11 of Notes to Financial Statements.</w:t>
      </w:r>
    </w:p>
    <w:p>
      <w:pPr>
        <w:spacing w:after="0" w:line="129"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$116 million or $.98 per common share, at March 31, 2010, $117 million, or $.99 per common share, at December 31, 2009, and $174 million, or $1.56 per common share, at March 31, 2009. The decrease in such adjustment at the two most recent quarter-ends as compared with March 31, 2009 was predominantly the result of actual investment performance of assets held by the Company’s qualified pension plan being significantly better than that assumed for actuarial purposes.</w:t>
      </w:r>
    </w:p>
    <w:p>
      <w:pPr>
        <w:spacing w:after="0" w:line="8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Cash dividends paid on M&amp;T’s common stock during the quarter ended March 31, 2010 totaled $84 million, compared with $78 million and $83 million in the quarters ended March 31, 2009 and December 31, 2009, respectively, and represented a quarterly dividend payment of $.70 per common share in each of those three quarters. A cash dividend of $7.5 million, or $12.50 per share, was paid in each of the first quarter of 2010 and the fourth quarter of 2009 to the U.S. Treasury on M&amp;T’s Series A Preferred Stock, issued on December 23, 2008. The cash dividend paid during 2009’s initial quarter on that preferred stock was $4 million, or $7.22 per share. Cash dividends of $663 thousand and $2 million ($25.00 per share and $12.50 per share) were paid on M&amp;T’s Series B and Series C Preferred Stock, respectively, during each of the first quarter of 2010 and the fourth quarter of 2009. Those series of preferred stock were created in connection with the Provident transaction.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did not repurchase any shares of its common stock during 2009 or the first quarter of 2010.</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March 31, 2010, Tier 1 capital included $1.1 billion of trust preferred securities described in note 4 of Notes to Financial Statements and total capital further included subordinated capital notes of $1.6 billion.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regulatory capital ratios of the Company, M&amp;T Bank and M&amp;T Bank, N.A. as of March 31, 2010 are presented in the accompanying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color w:val="auto"/>
              </w:rPr>
              <w:t>M&amp;T</w:t>
            </w:r>
          </w:p>
        </w:tc>
        <w:tc>
          <w:tcPr>
            <w:tcW w:w="56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M&amp;T</w:t>
            </w:r>
          </w:p>
        </w:tc>
        <w:tc>
          <w:tcPr>
            <w:tcW w:w="56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color w:val="auto"/>
              </w:rPr>
              <w:t>M&amp;T</w:t>
            </w:r>
          </w:p>
        </w:tc>
      </w:tr>
      <w:tr>
        <w:trPr>
          <w:trHeight w:val="167"/>
        </w:trPr>
        <w:tc>
          <w:tcPr>
            <w:tcW w:w="77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(Consolidated)</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Bank</w:t>
            </w:r>
          </w:p>
        </w:tc>
        <w:tc>
          <w:tcPr>
            <w:tcW w:w="560" w:type="dxa"/>
            <w:vAlign w:val="bottom"/>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Bank, N.A.</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8"/>
              </w:rPr>
              <w:t>20.48%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Total capital</w:t>
            </w:r>
          </w:p>
        </w:tc>
        <w:tc>
          <w:tcPr>
            <w:tcW w:w="900" w:type="dxa"/>
            <w:vAlign w:val="bottom"/>
          </w:tcPr>
          <w:p>
            <w:pPr>
              <w:jc w:val="right"/>
              <w:spacing w:after="0"/>
              <w:rPr>
                <w:sz w:val="20"/>
                <w:szCs w:val="20"/>
                <w:color w:val="auto"/>
              </w:rPr>
            </w:pPr>
            <w:r>
              <w:rPr>
                <w:rFonts w:ascii="Arial" w:cs="Arial" w:eastAsia="Arial" w:hAnsi="Arial"/>
                <w:sz w:val="18"/>
                <w:szCs w:val="18"/>
                <w:color w:val="auto"/>
              </w:rPr>
              <w:t>12.62%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1400" w:type="dxa"/>
            <w:vAlign w:val="bottom"/>
            <w:gridSpan w:val="2"/>
          </w:tcPr>
          <w:p>
            <w:pPr>
              <w:ind w:left="840"/>
              <w:spacing w:after="0"/>
              <w:rPr>
                <w:sz w:val="20"/>
                <w:szCs w:val="20"/>
                <w:color w:val="auto"/>
              </w:rPr>
            </w:pPr>
            <w:r>
              <w:rPr>
                <w:rFonts w:ascii="Arial" w:cs="Arial" w:eastAsia="Arial" w:hAnsi="Arial"/>
                <w:sz w:val="18"/>
                <w:szCs w:val="18"/>
                <w:color w:val="auto"/>
                <w:w w:val="88"/>
              </w:rPr>
              <w:t>21.07%</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88"/>
              </w:rPr>
              <w:t>19.97%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13 of Notes to Financial Statements.</w:t>
      </w:r>
    </w:p>
    <w:p>
      <w:pPr>
        <w:spacing w:after="0" w:line="38" w:lineRule="exact"/>
        <w:rPr>
          <w:sz w:val="20"/>
          <w:szCs w:val="20"/>
          <w:color w:val="auto"/>
        </w:rPr>
      </w:pPr>
    </w:p>
    <w:p>
      <w:pPr>
        <w:ind w:right="460" w:firstLine="222"/>
        <w:spacing w:after="0" w:line="342" w:lineRule="auto"/>
        <w:rPr>
          <w:sz w:val="20"/>
          <w:szCs w:val="20"/>
          <w:color w:val="auto"/>
        </w:rPr>
      </w:pPr>
      <w:r>
        <w:rPr>
          <w:rFonts w:ascii="Arial" w:cs="Arial" w:eastAsia="Arial" w:hAnsi="Arial"/>
          <w:sz w:val="16"/>
          <w:szCs w:val="16"/>
          <w:color w:val="auto"/>
        </w:rPr>
        <w:t>The Business Banking segment’s net income aggregated $25 million in the first quarter of 2010, down 16% from $30 million earned in the first three months of 2009 and 14% below $29 million in 2009’s fourth quarter. The decrease in net income from the year-earlier quarter was largely the result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an $11 million rise in the provision for credit losses, due to higher net charge-offs of loans, partially offset by higher net interest income of $6 million. The increase in net interest income was attributable to the impact of higher average deposit and loan balances of $879 million and $394 million, respectively, that were predominantly due to the acquisition of Provident. Contributing to the recent quarter’s decline in net income as compared with the fourth quarter of 2009 was a $5 million increase in the provision for credit losses, due to higher net charge-offs of loans, and lower net interest income of $3 million, partly the result of a 4% decline in average deposit balances.</w:t>
      </w:r>
    </w:p>
    <w:p>
      <w:pPr>
        <w:spacing w:after="0" w:line="80"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Net income for the Commercial Banking segment totaled $77 million in the recent quarter, 34% higher than the $57 million recorded in the first quarter of 2009 and up 8% from the $71 million earned in the immediately preceding quarter. The rise in net income from the year-earlier period was largely the result of a $19 million increase in net interest income, due to a 33 basis point widening of the net interest margin on loans and a $2.6 billion increase in average noninterest-bearing deposit balances. Approximately 30% of the increase in net interest income was attributable to the Provident acquisition. Also contributing to the improved net income were a $10 million decrease in the provision for credit losses, due to a decline in average loan balances and lower net charge-offs of loans, and higher fees earned for providing loan syndication services of $4 million. Those positive factors were partially offset by higher FDIC assessments of $3 million. The favorable performance as compared with the fourth quarter of 2009 was mainly the result of a $9 million decline in the provision for credit losses, resulting from lower net charge-offs of loans.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Commercial Real Estate segment’s net income was $44 million in 2010’s initial quarter, up slightly from $43 million in the year-earlier quarter, but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 below the $47 million earned in the fourth quarter of 2009. The primary contributor to the higher net income as compared with the first quarter of 2009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a $17 million improvement in net interest income, mainly due to increases in average outstanding loan and deposit balances of $1.5 billion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$672 million, respectively. Approximately 80% of the increase in net interest income was due to the acquisition of Provident. A $4 million rise in revenues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commercial mortgage banking activities also contributed to the improvement. Those factors were largely offset by a $15 million increase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driven by higher net charge-offs of loans, and higher personnel costs of $2 million. As compared with the fourth quarter of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net interest income of $3 million, the result of a 3 basis point narrowing of this segment’s loan net interest margin, and a $2 million rise in the provision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credit losses contributed to the decline in net income.</w:t>
      </w:r>
    </w:p>
    <w:p>
      <w:pPr>
        <w:spacing w:after="0" w:line="10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Discretionary Portfolio segment incurred a net loss of $16 million for the three-month period ended March 31, 2010, compared with net losses of $5 million and $9 million in the three-month periods ended March 31, 2009 and December 31, 2009, respectively. Reflected in the results of each of those quarters were pre-tax other-than-temporary impairment charges of $27 million, $32 million and $34 million, respectively. The impairment charges recorded in the initial quarters of 2010 and 2009 were on certain privately issued CMOs, while the charges in the final 2009 quarter related predominantly to privately issued CMOs and certain CDOs. All of the impairment charges relate to bonds in the Company’s available-for-sale investment securities portfolio. Excluding the impact of the impairment losses, the main factors contributing to the recent quarter’s higher net loss as compared with the first quarter of 2009 were a $28 million decline in net interest income, the result of a 41 basis point narrowing of this segment’s net interest margin, offset, in part, by a $5 million decrease in the provision for credit losses, due to lower net charge-offs of loans. Contributing to the higher net loss in 2010’s initial quarter as compared with the fourth quarter of 2009 were lower net interest income of $27 million, due to a 42 basis point narrowing of the net interest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margin, partially offset by a lower provision for credit losses of $8 million, due to decreased net charge-offs of loans.</w:t>
      </w:r>
    </w:p>
    <w:p>
      <w:pPr>
        <w:spacing w:after="0" w:line="117"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color w:val="auto"/>
        </w:rPr>
        <w:t>Net contribution from the Residential Mortgage Banking segment was $1 million and $6 million in the first quarter of 2010 and 2009, respectively, compared with a net loss of $9 million in the final quarter of 2009. Contributing to the reduced net income as compared with the first three months of 2009 were a $13 million decline in noninterest revenues from residential mortgage origination activities and a $4 million partial reversal of the capitalized mortgage servicing rights valuation allowance recorded in 2009’s first quarter. The decline in residential mortgage origination revenues was predominately attributable to lower origination volumes. Offsetting those factors were an $11 million decrease in the provision for credit losses, due largely to lower net charge-offs of loans to builders and developers of residential real estate properties, and a $2 million decline in personnel costs. The recent quarter’s improvement in net income as compared with the fourth quarter of 2009 was mainly the result of a lower provision for credit losses of $22 million, due to a decrease in net charge-offs of loans to builders and developers of residential real estate properties, partially offset by a $4 million decline in noninterest revenues from residential mortgage origination activities, resulting from lower origination volumes, and a $3 million partial reversal of the capitalized mortgage servicing rights valuation allowance recorded in 2009’s fourth quarter.</w:t>
      </w:r>
    </w:p>
    <w:p>
      <w:pPr>
        <w:spacing w:after="0" w:line="7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Net income for the Retail Banking segment aggregated $59 million during the quarter ended March 31, 2010, up 13% from the $52 million earned in the year-earlier quarter and 4% above the $57 million recorded in the fourth quarter of 2009. The following factors contributed to the recent quarter’s higher net income as compared with the first quarter of 2009: a $17 million rise in fees earned for providing deposit account services resulting from the Provident acquisition; a $6 million decrease in the provision for credit losses, attributable to lower net charge-offs of loans; and a $5 million improvement in net interest income, due to increases in both average deposit and loan balances of $1.4 billion and $1.1 billion. Those favorable factors were partially offset by higher personnel and occupancy costs of $8 million and $5 million, respectively, due to operations acquired in the Provident transaction, and increases in FDIC assessments of $3 million. The improved contribution as compared with the final 2009 quarter was attributable to a $6 million decrease in the provision for credit losses, driven by lower net charge-offs of loans, a decline in personnel costs of $3 million, and generally lower operating expenses, including lower costs for advertising, promotion and professional services, that were largely offset by a $10 million decline in revenue earned for providing deposit account services, resulting from seasonal declines in customer transaction volumes, and higher FDIC assessments of $3 million.</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of core deposit and other intangible assets resulting from the acquisitions of financial institutions, M&amp;T’s equity in the earnings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BLG, merger-related gains and expenses resulting from acquisitions of financial institutions and the net impact of the Company’s allocation methodologies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internal transfers for funding charges and credits associated with the earning assets and interest-bearing liabilities of the Company’s reportable segments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provision for credit losses. The various components of the “All Other” category resulted in net losses of $38 million in the first quarter of 2010,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$119 million in the year-earlier quarter and $49 million in the fourth quarter of 2009. The main factors contributing to the lower net loss in the recent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compared with the year-earlier quarter were the favorable impact from the Company’s allocation methodologies for internal transfers for funding charges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credits associated with the earning assets and interest-bearing liabilities of the Company’s reportable segments and the provision for credit losses. The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following favorable factors contributed to the lower net losses as compared with the fourth quarter of 2009: the favorable impact from the Company’s allocation methodologies for internal transfers for funding charges and credits associated with the earning assets and interest-bearing liabilities of the Company’s reportable segments and the provision for credit losses; lower costs for professional services and merger-related expenses associated with the Provident and Bradford acquisition transactions recorded in 2009’s fourth quarter (no such expenses were recorded in the recent quarter). Those factors were partially offset by increases in personnel and other noninterest expenses associated with the business and support units included in the “All Other” category. The higher personnel expenses were largely related to stock-based compensation expense, payroll-related taxes and unemployment insurance.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2009, the FASB amended accounting guidance relating to the consolidation of variable interest entities to eliminate the quantitative approach previously required for determining the primary beneficiary of a variable interest entity. The amended guidance instead requires a reporting entity to qualitatively assess the determination of the primary beneficiary of a variable interest entity based on whether the reporting entity has the power to direct the activities that most significantly impact the variable interest entity’s economic performance and has the obligation to absorb losses or the right to receive benefits of the variable interest entity that could potentially be significant to the variable interest entity. The amended guidance requires ongoing reassessments of whether the reporting entity is the primary beneficiary of a variable interest entity. The amended guidance became effective as of January 1, 2010.</w:t>
      </w:r>
    </w:p>
    <w:p>
      <w:pPr>
        <w:spacing w:after="0" w:line="8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June 2009, the FASB also issued amended accounting guidance relating to accounting for transfers of financial assets to eliminate the exceptions for qualifying special purpose entities from the consolidation guidance and the exception that permitted sale accounting for certain mortgage securitizations when a transferor has not surrendered control over the transferred assets. The amended guidance became effective as of January 1, 2010. The recognition and measurement provisions of the amended guidance were applied to transfers that occur on or after the effective date. Additionally, beginning January 1, 2010, the concept of a qualifying special purpose entity is no longer relevant for accounting purposes. Therefore, formerly qualifying special purpose entities must now be evaluated for consolidation in accordance with applicable consolidation guidance, including the new accounting guidance relating to the consolidation of variable interest entities discussed in the previous paragraph.</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Effective January 1, 2010, the Company includes in its consolidated financial statements one-to-four family residential mortgage loans that were included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two separate non-recourse securitization transactions using qualified special trusts. The effect of that consolidation was to increase loans receivable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$424 million, decrease the amortized cost of available-for-sale investment securities by $360 million (fair value of $355 million), and increase borrowings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$65 million. Information concerning these securitization transactions is included in note 10 of Notes to Financial Statements.</w:t>
      </w:r>
    </w:p>
    <w:p>
      <w:pPr>
        <w:spacing w:after="0" w:line="10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January 2010, the FASB amended fair value measurement and disclosure guidance to require disclosure of significant transfers in and out of Level 1 and Level 2 fair value measurements and the reasons for the transfers and to require separate presentation of information about purchases, sales, issuances and settlements in the roll forward of activity in Level 3 fair value measurements. The amended guidance also clarifies existing requirements that (i) fair value measurement disclosures should be disaggregated for each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class of asset and liability and (ii) disclosures about valuation techniques and inputs for both recurring and nonrecurring Level 2 and Level 3 fair value measurements should be provided. The guidance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years. The adoption of this guidance did not impact the Company’s financial position or results of operations.</w:t>
      </w:r>
    </w:p>
    <w:p>
      <w:pPr>
        <w:spacing w:after="0" w:line="8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March 2010, the FASB amended accounting guidance relating to a scope exception for derivative accounting to clarify that only embedded credit derivative features related to the transfer of credit risk in the form of subordination of one financial instrument to another should not be analyzed for potential bifurcation from the host contract and separate accounting as a derivative. Embedded credit derivative features in a form other than subordination do not qualify for the scope exception, even if their effects are allocated according to subordination provisions. The guidance is effective at the beginning of the first quarter beginning after June 15, 2010. The Company does not anticipate that the adoption of this guidance will have a significant impact on the reporting of its financial position or results of its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46"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legislation affecting the financial services industry as a whole, and M&amp;T and its subsidiaries individually or collectively, including tax legislation;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9"/>
              </w:rPr>
              <w:t>Table 1</w:t>
            </w: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color w:val="auto"/>
              </w:rPr>
              <w:t>2010</w:t>
            </w:r>
          </w:p>
        </w:tc>
        <w:tc>
          <w:tcPr>
            <w:tcW w:w="15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Quarters</w:t>
            </w:r>
          </w:p>
        </w:tc>
        <w:tc>
          <w:tcPr>
            <w:tcW w:w="1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right"/>
              <w:ind w:right="390"/>
              <w:spacing w:after="0" w:line="142" w:lineRule="exact"/>
              <w:rPr>
                <w:sz w:val="20"/>
                <w:szCs w:val="20"/>
                <w:color w:val="auto"/>
              </w:rPr>
            </w:pPr>
            <w:r>
              <w:rPr>
                <w:rFonts w:ascii="Arial" w:cs="Arial" w:eastAsia="Arial" w:hAnsi="Arial"/>
                <w:sz w:val="14"/>
                <w:szCs w:val="14"/>
                <w:color w:val="auto"/>
              </w:rPr>
              <w:t>First Quarter</w:t>
            </w:r>
          </w:p>
        </w:tc>
        <w:tc>
          <w:tcPr>
            <w:tcW w:w="156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960" w:type="dxa"/>
            <w:vAlign w:val="bottom"/>
            <w:tcBorders>
              <w:bottom w:val="single" w:sz="8" w:color="auto"/>
            </w:tcBorders>
          </w:tcPr>
          <w:p>
            <w:pPr>
              <w:jc w:val="right"/>
              <w:ind w:right="971"/>
              <w:spacing w:after="0" w:line="142" w:lineRule="exact"/>
              <w:rPr>
                <w:sz w:val="20"/>
                <w:szCs w:val="20"/>
                <w:color w:val="auto"/>
              </w:rPr>
            </w:pPr>
            <w:r>
              <w:rPr>
                <w:rFonts w:ascii="Arial" w:cs="Arial" w:eastAsia="Arial" w:hAnsi="Arial"/>
                <w:sz w:val="14"/>
                <w:szCs w:val="14"/>
                <w:color w:val="auto"/>
              </w:rPr>
              <w:t>Third</w:t>
            </w:r>
          </w:p>
        </w:tc>
        <w:tc>
          <w:tcPr>
            <w:tcW w:w="1180" w:type="dxa"/>
            <w:vAlign w:val="bottom"/>
            <w:tcBorders>
              <w:bottom w:val="single" w:sz="8" w:color="auto"/>
            </w:tcBorders>
          </w:tcPr>
          <w:p>
            <w:pPr>
              <w:jc w:val="right"/>
              <w:ind w:right="530"/>
              <w:spacing w:after="0" w:line="142" w:lineRule="exact"/>
              <w:rPr>
                <w:sz w:val="20"/>
                <w:szCs w:val="20"/>
                <w:color w:val="auto"/>
              </w:rPr>
            </w:pPr>
            <w:r>
              <w:rPr>
                <w:rFonts w:ascii="Arial" w:cs="Arial" w:eastAsia="Arial" w:hAnsi="Arial"/>
                <w:sz w:val="14"/>
                <w:szCs w:val="14"/>
                <w:color w:val="auto"/>
              </w:rPr>
              <w:t>Second</w:t>
            </w:r>
          </w:p>
        </w:tc>
        <w:tc>
          <w:tcPr>
            <w:tcW w:w="130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and dividends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682,309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698,556</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706,388</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682,637</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659,445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120,052</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133,950</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152,938</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175,856</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206,705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562,257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564,606</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553,450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506,781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452,740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w w:val="89"/>
              </w:rPr>
              <w:t>105,000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145,000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154,000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2"/>
              </w:rPr>
              <w:t>147,000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158,000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257,706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265,890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278,226</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271,649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232,341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489,362</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478,451</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500,056</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563,710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438,346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225,601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207,045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177,620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67,720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88,735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68,723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64,340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44,161</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11,318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19,581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5,923</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5,887</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5,795</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5,214</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150,955</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136,818</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127,664</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51,188</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64,221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138,341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124,251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115,143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40,964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55,322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Per common share data</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earnings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.97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.36</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Diluted earnings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1.15</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.97</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.36</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117,765</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117,506</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117,370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113,218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110,439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9"/>
              </w:rPr>
              <w:t>118,256</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117,672</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117,547</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2"/>
              </w:rPr>
              <w:t>113,521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110,439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Return on</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.89%</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.79%</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.73%</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Average common stockholders’ equity</w:t>
            </w:r>
          </w:p>
        </w:tc>
        <w:tc>
          <w:tcPr>
            <w:tcW w:w="4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7.86%</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7.09%</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6.72%</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2.53%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interest margin on average earning assets</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(taxable-equivalent basis)</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3.78%</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3.71%</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3.61%</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3.43%</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w w:val="97"/>
              </w:rPr>
              <w:t>Nonaccrual loans to total loans and leases, net of</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unearned discount</w:t>
            </w:r>
          </w:p>
        </w:tc>
        <w:tc>
          <w:tcPr>
            <w:tcW w:w="4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2.60%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2.56%</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2.35%</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2.11%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Efficiency ratio (a)</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57.82%</w:t>
            </w:r>
          </w:p>
        </w:tc>
        <w:tc>
          <w:tcPr>
            <w:tcW w:w="1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54.62%</w:t>
            </w:r>
          </w:p>
        </w:tc>
        <w:tc>
          <w:tcPr>
            <w:tcW w:w="196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57.21%</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61.93%</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60.82%</w:t>
            </w:r>
          </w:p>
        </w:tc>
        <w:tc>
          <w:tcPr>
            <w:tcW w:w="20" w:type="dxa"/>
            <w:vAlign w:val="bottom"/>
          </w:tcPr>
          <w:p>
            <w:pPr>
              <w:spacing w:after="0"/>
              <w:rPr>
                <w:sz w:val="18"/>
                <w:szCs w:val="18"/>
                <w:color w:val="auto"/>
              </w:rPr>
            </w:pPr>
          </w:p>
        </w:tc>
      </w:tr>
      <w:tr>
        <w:trPr>
          <w:trHeight w:val="20"/>
        </w:trPr>
        <w:tc>
          <w:tcPr>
            <w:tcW w:w="3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(in thousands)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9"/>
              </w:rPr>
              <w:t>160,953</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150,776</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128,761</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2"/>
              </w:rPr>
              <w:t>100,805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75,034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9"/>
              </w:rPr>
              <w:t>Diluted net operating income per common share</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1.23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1.16</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.98</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.79</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Annualized return on</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.92%</w:t>
            </w:r>
          </w:p>
        </w:tc>
        <w:tc>
          <w:tcPr>
            <w:tcW w:w="1960" w:type="dxa"/>
            <w:vAlign w:val="bottom"/>
          </w:tcPr>
          <w:p>
            <w:pPr>
              <w:jc w:val="right"/>
              <w:ind w:right="711"/>
              <w:spacing w:after="0"/>
              <w:rPr>
                <w:sz w:val="20"/>
                <w:szCs w:val="20"/>
                <w:color w:val="auto"/>
              </w:rPr>
            </w:pPr>
            <w:r>
              <w:rPr>
                <w:rFonts w:ascii="Arial" w:cs="Arial" w:eastAsia="Arial" w:hAnsi="Arial"/>
                <w:sz w:val="18"/>
                <w:szCs w:val="18"/>
                <w:color w:val="auto"/>
              </w:rPr>
              <w:t>.78%</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tangible common equity</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17.34%</w:t>
            </w:r>
          </w:p>
        </w:tc>
        <w:tc>
          <w:tcPr>
            <w:tcW w:w="1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16.73%</w:t>
            </w:r>
          </w:p>
        </w:tc>
        <w:tc>
          <w:tcPr>
            <w:tcW w:w="196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14.87%</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12.08%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 (a)</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55.88%</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52.69%</w:t>
            </w:r>
          </w:p>
        </w:tc>
        <w:tc>
          <w:tcPr>
            <w:tcW w:w="19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55.21%</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60.03%</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Average balances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Total assets (c)</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68,883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68,919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69,154</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66,984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64,766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tangible assets (c)</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65,216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65,240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65,462</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63,500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Earning assets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60,331</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60,451</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60,900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59,297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57,509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8,172</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8,197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8,420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8,508</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Loans and leases, net of unearned discount</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51,948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52,087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52,320</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50,554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48,824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47,394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47,365</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46,720</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43,846</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41,487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Common equity (c)</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7,136</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6,957</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6,794</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6,491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Tangible common equity (c)</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3,469</w:t>
            </w:r>
          </w:p>
        </w:tc>
        <w:tc>
          <w:tcPr>
            <w:tcW w:w="15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3,278</w:t>
            </w:r>
          </w:p>
        </w:tc>
        <w:tc>
          <w:tcPr>
            <w:tcW w:w="19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3,102</w:t>
            </w: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3,007</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At end of quarter</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(c)</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68,439</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68,880</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68,997</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69,913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Total tangible assets (c)</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64,778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65,208</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65,312</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66,215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61,544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59,741</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59,928</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59,993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61,044</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56,823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Investment securities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8,105</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7,781</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7,634</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8,155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7,687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discount</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51,444</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51,937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52,204</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52,715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48,918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47,538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47,450</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46,862</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46,755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42,477</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equity, net of undeclared preferred</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 (c)</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7,177</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7,017</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6,879</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6,669</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Tangible common equity (c)</w:t>
            </w:r>
          </w:p>
        </w:tc>
        <w:tc>
          <w:tcPr>
            <w:tcW w:w="4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3,516</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3,345</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3,194</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2,971</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per common share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60.40</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59.31</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58.22</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56.51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56.95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Tangible equity per common share</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29.59</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28.27</w:t>
            </w:r>
          </w:p>
        </w:tc>
        <w:tc>
          <w:tcPr>
            <w:tcW w:w="19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rPr>
              <w:t>27.03</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25.17</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price per common share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High</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85.00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69.89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67.46</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61.87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59.08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Low</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66.32</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59.09</w:t>
            </w:r>
          </w:p>
        </w:tc>
        <w:tc>
          <w:tcPr>
            <w:tcW w:w="19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50.33</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43.50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Closing</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79.38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66.89</w:t>
            </w:r>
          </w:p>
        </w:tc>
        <w:tc>
          <w:tcPr>
            <w:tcW w:w="1960" w:type="dxa"/>
            <w:vAlign w:val="bottom"/>
          </w:tcPr>
          <w:p>
            <w:pPr>
              <w:jc w:val="right"/>
              <w:ind w:right="871"/>
              <w:spacing w:after="0"/>
              <w:rPr>
                <w:sz w:val="20"/>
                <w:szCs w:val="20"/>
                <w:color w:val="auto"/>
              </w:rPr>
            </w:pPr>
            <w:r>
              <w:rPr>
                <w:rFonts w:ascii="Arial" w:cs="Arial" w:eastAsia="Arial" w:hAnsi="Arial"/>
                <w:sz w:val="18"/>
                <w:szCs w:val="18"/>
                <w:color w:val="auto"/>
              </w:rPr>
              <w:t>62.32</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50.93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45.24</w:t>
            </w:r>
          </w:p>
        </w:tc>
        <w:tc>
          <w:tcPr>
            <w:tcW w:w="20" w:type="dxa"/>
            <w:vAlign w:val="bottom"/>
          </w:tcPr>
          <w:p>
            <w:pPr>
              <w:spacing w:after="0"/>
              <w:rPr>
                <w:sz w:val="20"/>
                <w:szCs w:val="20"/>
                <w:color w:val="auto"/>
              </w:rPr>
            </w:pPr>
          </w:p>
        </w:tc>
      </w:tr>
    </w:tbl>
    <w:p>
      <w:pPr>
        <w:sectPr>
          <w:pgSz w:w="11900" w:h="16838" w:orient="portrait"/>
          <w:cols w:equalWidth="0" w:num="1">
            <w:col w:w="11420"/>
          </w:cols>
          <w:pgMar w:left="240" w:top="419" w:right="239" w:bottom="0" w:gutter="0" w:footer="0" w:header="0"/>
        </w:sectPr>
      </w:pPr>
    </w:p>
    <w:bookmarkStart w:id="79" w:name="page80"/>
    <w:bookmarkEnd w:id="79"/>
    <w:p>
      <w:pPr>
        <w:ind w:left="452" w:hanging="452"/>
        <w:spacing w:after="0"/>
        <w:tabs>
          <w:tab w:leader="none" w:pos="45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036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655" cy="8255"/>
                    </a:xfrm>
                    <a:prstGeom prst="rect">
                      <a:avLst/>
                    </a:prstGeom>
                    <a:noFill/>
                  </pic:spPr>
                </pic:pic>
              </a:graphicData>
            </a:graphic>
          </wp:anchor>
        </w:drawing>
        <w:t>Excludes impact of merger-related gains and expenses and net securities transactions.</w:t>
      </w:r>
    </w:p>
    <w:p>
      <w:pPr>
        <w:spacing w:after="0" w:line="76" w:lineRule="exact"/>
        <w:rPr>
          <w:rFonts w:ascii="Arial" w:cs="Arial" w:eastAsia="Arial" w:hAnsi="Arial"/>
          <w:sz w:val="18"/>
          <w:szCs w:val="18"/>
          <w:i w:val="1"/>
          <w:iCs w:val="1"/>
          <w:color w:val="auto"/>
        </w:rPr>
      </w:pPr>
    </w:p>
    <w:p>
      <w:pPr>
        <w:ind w:left="452" w:right="40" w:hanging="452"/>
        <w:spacing w:after="0" w:line="264" w:lineRule="auto"/>
        <w:tabs>
          <w:tab w:leader="none" w:pos="45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spacing w:after="0" w:line="32" w:lineRule="exact"/>
        <w:rPr>
          <w:rFonts w:ascii="Arial" w:cs="Arial" w:eastAsia="Arial" w:hAnsi="Arial"/>
          <w:sz w:val="18"/>
          <w:szCs w:val="18"/>
          <w:i w:val="1"/>
          <w:iCs w:val="1"/>
          <w:color w:val="auto"/>
        </w:rPr>
      </w:pPr>
    </w:p>
    <w:p>
      <w:pPr>
        <w:ind w:left="452" w:hanging="452"/>
        <w:spacing w:after="0" w:line="277" w:lineRule="auto"/>
        <w:tabs>
          <w:tab w:leader="none" w:pos="45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difference between total assets and total tangible assets, and common equity and tangible common equity, represents goodwill, core deposit and other intangible assets, net of applicable deferred tax balances. A reconciliation of such balances appears in table 2.</w:t>
      </w:r>
    </w:p>
    <w:p>
      <w:pPr>
        <w:spacing w:after="0" w:line="129" w:lineRule="exact"/>
        <w:rPr>
          <w:rFonts w:ascii="Arial" w:cs="Arial" w:eastAsia="Arial" w:hAnsi="Arial"/>
          <w:sz w:val="18"/>
          <w:szCs w:val="18"/>
          <w:i w:val="1"/>
          <w:iCs w:val="1"/>
          <w:color w:val="auto"/>
        </w:rPr>
      </w:pPr>
    </w:p>
    <w:p>
      <w:pPr>
        <w:ind w:left="5612" w:hanging="101"/>
        <w:spacing w:after="0"/>
        <w:tabs>
          <w:tab w:leader="none" w:pos="56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32"/>
          </w:cols>
          <w:pgMar w:left="248" w:top="206"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w w:val="89"/>
              </w:rPr>
              <w:t>Table 2</w:t>
            </w:r>
          </w:p>
        </w:tc>
      </w:tr>
      <w:tr>
        <w:trPr>
          <w:trHeight w:val="432"/>
        </w:trPr>
        <w:tc>
          <w:tcPr>
            <w:tcW w:w="5780" w:type="dxa"/>
            <w:vAlign w:val="bottom"/>
            <w:gridSpan w:val="4"/>
          </w:tcPr>
          <w:p>
            <w:pPr>
              <w:spacing w:after="0"/>
              <w:rPr>
                <w:sz w:val="20"/>
                <w:szCs w:val="20"/>
                <w:color w:val="auto"/>
              </w:rPr>
            </w:pPr>
            <w:r>
              <w:rPr>
                <w:rFonts w:ascii="Arial" w:cs="Arial" w:eastAsia="Arial" w:hAnsi="Arial"/>
                <w:sz w:val="18"/>
                <w:szCs w:val="18"/>
                <w:color w:val="auto"/>
                <w:w w:val="97"/>
              </w:rPr>
              <w:t>RECONCILIATION OF QUARTERLY GAAP TO NON-GAAP MEASURES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950"/>
              <w:spacing w:after="0"/>
              <w:rPr>
                <w:sz w:val="20"/>
                <w:szCs w:val="20"/>
                <w:color w:val="auto"/>
              </w:rPr>
            </w:pPr>
            <w:r>
              <w:rPr>
                <w:rFonts w:ascii="Arial" w:cs="Arial" w:eastAsia="Arial" w:hAnsi="Arial"/>
                <w:sz w:val="14"/>
                <w:szCs w:val="14"/>
                <w:color w:val="auto"/>
              </w:rPr>
              <w:t>2010</w:t>
            </w:r>
          </w:p>
        </w:tc>
        <w:tc>
          <w:tcPr>
            <w:tcW w:w="1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091"/>
              <w:spacing w:after="0"/>
              <w:rPr>
                <w:sz w:val="20"/>
                <w:szCs w:val="20"/>
                <w:color w:val="auto"/>
              </w:rPr>
            </w:pPr>
            <w:r>
              <w:rPr>
                <w:rFonts w:ascii="Arial" w:cs="Arial" w:eastAsia="Arial" w:hAnsi="Arial"/>
                <w:sz w:val="14"/>
                <w:szCs w:val="14"/>
                <w:color w:val="auto"/>
                <w:w w:val="91"/>
              </w:rPr>
              <w:t>2009 Quarters</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First Quarter</w:t>
            </w:r>
          </w:p>
        </w:tc>
        <w:tc>
          <w:tcPr>
            <w:tcW w:w="1200" w:type="dxa"/>
            <w:vAlign w:val="bottom"/>
            <w:tcBorders>
              <w:bottom w:val="single" w:sz="8" w:color="auto"/>
            </w:tcBorders>
          </w:tcPr>
          <w:p>
            <w:pPr>
              <w:jc w:val="right"/>
              <w:ind w:right="550"/>
              <w:spacing w:after="0" w:line="142" w:lineRule="exact"/>
              <w:rPr>
                <w:sz w:val="20"/>
                <w:szCs w:val="20"/>
                <w:color w:val="auto"/>
              </w:rPr>
            </w:pPr>
            <w:r>
              <w:rPr>
                <w:rFonts w:ascii="Arial" w:cs="Arial" w:eastAsia="Arial" w:hAnsi="Arial"/>
                <w:sz w:val="14"/>
                <w:szCs w:val="14"/>
                <w:color w:val="auto"/>
              </w:rPr>
              <w:t>Fourth</w:t>
            </w:r>
          </w:p>
        </w:tc>
        <w:tc>
          <w:tcPr>
            <w:tcW w:w="110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Third</w:t>
            </w:r>
          </w:p>
        </w:tc>
        <w:tc>
          <w:tcPr>
            <w:tcW w:w="20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color w:val="auto"/>
              </w:rPr>
              <w:t>Second</w:t>
            </w:r>
          </w:p>
        </w:tc>
        <w:tc>
          <w:tcPr>
            <w:tcW w:w="1320" w:type="dxa"/>
            <w:vAlign w:val="bottom"/>
            <w:tcBorders>
              <w:bottom w:val="single" w:sz="8" w:color="auto"/>
            </w:tcBorders>
          </w:tcPr>
          <w:p>
            <w:pPr>
              <w:jc w:val="right"/>
              <w:ind w:right="350"/>
              <w:spacing w:after="0" w:line="142" w:lineRule="exact"/>
              <w:rPr>
                <w:sz w:val="20"/>
                <w:szCs w:val="20"/>
                <w:color w:val="auto"/>
              </w:rPr>
            </w:pPr>
            <w:r>
              <w:rPr>
                <w:rFonts w:ascii="Arial" w:cs="Arial" w:eastAsia="Arial" w:hAnsi="Arial"/>
                <w:sz w:val="14"/>
                <w:szCs w:val="14"/>
                <w:color w:val="auto"/>
              </w:rPr>
              <w:t>First</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w w:val="86"/>
              </w:rPr>
              <w:t>150,955</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136,818</w:t>
            </w:r>
          </w:p>
        </w:tc>
        <w:tc>
          <w:tcPr>
            <w:tcW w:w="1100" w:type="dxa"/>
            <w:vAlign w:val="bottom"/>
          </w:tcPr>
          <w:p>
            <w:pPr>
              <w:jc w:val="right"/>
              <w:spacing w:after="0"/>
              <w:rPr>
                <w:sz w:val="20"/>
                <w:szCs w:val="20"/>
                <w:color w:val="auto"/>
              </w:rPr>
            </w:pPr>
            <w:r>
              <w:rPr>
                <w:rFonts w:ascii="Arial" w:cs="Arial" w:eastAsia="Arial" w:hAnsi="Arial"/>
                <w:sz w:val="18"/>
                <w:szCs w:val="18"/>
                <w:color w:val="auto"/>
              </w:rPr>
              <w:t>127,664</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51,188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64,221</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 other intangible</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w:t>
            </w: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9,998</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10,152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9,247</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9,337</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Merger-related gain (a)</w:t>
            </w:r>
          </w:p>
        </w:tc>
        <w:tc>
          <w:tcPr>
            <w:tcW w:w="42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(17,684)</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3,806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40,370</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operating income</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86"/>
              </w:rPr>
              <w:t>160,953</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150,776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128,761</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100,805</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75,034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1.15</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.36</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 other intangible</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w:t>
            </w: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.08</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.08</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Merger-related gain (a)</w:t>
            </w:r>
          </w:p>
        </w:tc>
        <w:tc>
          <w:tcPr>
            <w:tcW w:w="42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.35</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Diluted net operating earnings per common</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share</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1.23</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.79</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expense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w w:val="86"/>
              </w:rPr>
              <w:t>489,362</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478,451</w:t>
            </w:r>
          </w:p>
        </w:tc>
        <w:tc>
          <w:tcPr>
            <w:tcW w:w="1100" w:type="dxa"/>
            <w:vAlign w:val="bottom"/>
          </w:tcPr>
          <w:p>
            <w:pPr>
              <w:jc w:val="right"/>
              <w:spacing w:after="0"/>
              <w:rPr>
                <w:sz w:val="20"/>
                <w:szCs w:val="20"/>
                <w:color w:val="auto"/>
              </w:rPr>
            </w:pPr>
            <w:r>
              <w:rPr>
                <w:rFonts w:ascii="Arial" w:cs="Arial" w:eastAsia="Arial" w:hAnsi="Arial"/>
                <w:sz w:val="18"/>
                <w:szCs w:val="18"/>
                <w:color w:val="auto"/>
              </w:rPr>
              <w:t>500,056</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563,710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438,346</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Amortization of core deposit and other intangible</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2"/>
              </w:rPr>
              <w:t>(16,475)</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(16,730)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(15,231)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(15,370)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(6,264)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(14,010)</w:t>
            </w:r>
          </w:p>
        </w:tc>
        <w:tc>
          <w:tcPr>
            <w:tcW w:w="2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(66,457)</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Noninterest operating expense</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86"/>
              </w:rPr>
              <w:t>472,887</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455,457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469,122</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482,022</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420,550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8,768</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420" w:type="dxa"/>
            <w:vAlign w:val="bottom"/>
          </w:tcPr>
          <w:p>
            <w:pPr>
              <w:spacing w:after="0"/>
              <w:rPr>
                <w:sz w:val="18"/>
                <w:szCs w:val="18"/>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545</w:t>
            </w:r>
          </w:p>
        </w:tc>
        <w:tc>
          <w:tcPr>
            <w:tcW w:w="1100" w:type="dxa"/>
            <w:vAlign w:val="bottom"/>
          </w:tcPr>
          <w:p>
            <w:pPr>
              <w:jc w:val="right"/>
              <w:spacing w:after="0"/>
              <w:rPr>
                <w:sz w:val="20"/>
                <w:szCs w:val="20"/>
                <w:color w:val="auto"/>
              </w:rPr>
            </w:pPr>
            <w:r>
              <w:rPr>
                <w:rFonts w:ascii="Arial" w:cs="Arial" w:eastAsia="Arial" w:hAnsi="Arial"/>
                <w:sz w:val="18"/>
                <w:szCs w:val="18"/>
                <w:color w:val="auto"/>
              </w:rPr>
              <w:t>1,845</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581</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2,514</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5,105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54,594</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6,264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66,457</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r>
      <w:tr>
        <w:trPr>
          <w:trHeight w:val="20"/>
        </w:trPr>
        <w:tc>
          <w:tcPr>
            <w:tcW w:w="3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68,883</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68,919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69,154</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66,984</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64,766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(3,326)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(176)</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(188)</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assets</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65,216</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65,240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65,462</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63,500</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61,420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Average common equity</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7,868</w:t>
            </w:r>
          </w:p>
        </w:tc>
        <w:tc>
          <w:tcPr>
            <w:tcW w:w="12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7,686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202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7,127</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6,780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(732)</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(729)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(636)</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common equity</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7,136</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6,957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6,491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6,212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(3,326)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(176)</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(188)</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34</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Average tangible common equity</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3,469</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3,278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3,007</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2,866</w:t>
            </w:r>
          </w:p>
        </w:tc>
        <w:tc>
          <w:tcPr>
            <w:tcW w:w="20" w:type="dxa"/>
            <w:vAlign w:val="bottom"/>
          </w:tcPr>
          <w:p>
            <w:pPr>
              <w:spacing w:after="0"/>
              <w:rPr>
                <w:sz w:val="18"/>
                <w:szCs w:val="18"/>
                <w:color w:val="auto"/>
              </w:rPr>
            </w:pPr>
          </w:p>
        </w:tc>
      </w:tr>
      <w:tr>
        <w:trPr>
          <w:trHeight w:val="20"/>
        </w:trPr>
        <w:tc>
          <w:tcPr>
            <w:tcW w:w="3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68,439</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68,880</w:t>
            </w:r>
          </w:p>
        </w:tc>
        <w:tc>
          <w:tcPr>
            <w:tcW w:w="1100" w:type="dxa"/>
            <w:vAlign w:val="bottom"/>
          </w:tcPr>
          <w:p>
            <w:pPr>
              <w:jc w:val="right"/>
              <w:spacing w:after="0"/>
              <w:rPr>
                <w:sz w:val="20"/>
                <w:szCs w:val="20"/>
                <w:color w:val="auto"/>
              </w:rPr>
            </w:pPr>
            <w:r>
              <w:rPr>
                <w:rFonts w:ascii="Arial" w:cs="Arial" w:eastAsia="Arial" w:hAnsi="Arial"/>
                <w:sz w:val="18"/>
                <w:szCs w:val="18"/>
                <w:color w:val="auto"/>
              </w:rPr>
              <w:t>68,997</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69,913</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64,883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(3,525)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tcPr>
          <w:p>
            <w:pPr>
              <w:spacing w:after="0"/>
              <w:rPr>
                <w:sz w:val="18"/>
                <w:szCs w:val="18"/>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(167)</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(182)</w:t>
            </w:r>
          </w:p>
        </w:tc>
        <w:tc>
          <w:tcPr>
            <w:tcW w:w="1100" w:type="dxa"/>
            <w:vAlign w:val="bottom"/>
          </w:tcPr>
          <w:p>
            <w:pPr>
              <w:jc w:val="right"/>
              <w:spacing w:after="0"/>
              <w:rPr>
                <w:sz w:val="20"/>
                <w:szCs w:val="20"/>
                <w:color w:val="auto"/>
              </w:rPr>
            </w:pPr>
            <w:r>
              <w:rPr>
                <w:rFonts w:ascii="Arial" w:cs="Arial" w:eastAsia="Arial" w:hAnsi="Arial"/>
                <w:sz w:val="18"/>
                <w:szCs w:val="18"/>
                <w:color w:val="auto"/>
              </w:rPr>
              <w:t>(199)</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(216)</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31</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43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tangible assets</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64,778</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65,208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65,312</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66,215</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61,544</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 equity</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7,916</w:t>
            </w: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7,753</w:t>
            </w:r>
          </w:p>
        </w:tc>
        <w:tc>
          <w:tcPr>
            <w:tcW w:w="1100" w:type="dxa"/>
            <w:vAlign w:val="bottom"/>
          </w:tcPr>
          <w:p>
            <w:pPr>
              <w:jc w:val="right"/>
              <w:spacing w:after="0"/>
              <w:rPr>
                <w:sz w:val="20"/>
                <w:szCs w:val="20"/>
                <w:color w:val="auto"/>
              </w:rPr>
            </w:pPr>
            <w:r>
              <w:rPr>
                <w:rFonts w:ascii="Arial" w:cs="Arial" w:eastAsia="Arial" w:hAnsi="Arial"/>
                <w:sz w:val="18"/>
                <w:szCs w:val="18"/>
                <w:color w:val="auto"/>
              </w:rPr>
              <w:t>7,612</w:t>
            </w:r>
          </w:p>
        </w:tc>
        <w:tc>
          <w:tcPr>
            <w:tcW w:w="2020" w:type="dxa"/>
            <w:vAlign w:val="bottom"/>
          </w:tcPr>
          <w:p>
            <w:pPr>
              <w:jc w:val="right"/>
              <w:ind w:right="431"/>
              <w:spacing w:after="0"/>
              <w:rPr>
                <w:sz w:val="20"/>
                <w:szCs w:val="20"/>
                <w:color w:val="auto"/>
              </w:rPr>
            </w:pPr>
            <w:r>
              <w:rPr>
                <w:rFonts w:ascii="Arial" w:cs="Arial" w:eastAsia="Arial" w:hAnsi="Arial"/>
                <w:sz w:val="18"/>
                <w:szCs w:val="18"/>
                <w:color w:val="auto"/>
              </w:rPr>
              <w:t>7,400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6,902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(733)</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(730)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(725)</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Undeclared dividends — preferred stock</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(6)</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net of undeclared preferred</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4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7,177</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7,017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6,669</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auto"/>
              </w:rPr>
              <w:t>(3,525)</w:t>
            </w: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(3,525)</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2020" w:type="dxa"/>
            <w:vAlign w:val="bottom"/>
          </w:tcPr>
          <w:p>
            <w:pPr>
              <w:jc w:val="right"/>
              <w:ind w:right="371"/>
              <w:spacing w:after="0"/>
              <w:rPr>
                <w:sz w:val="20"/>
                <w:szCs w:val="20"/>
                <w:color w:val="auto"/>
              </w:rPr>
            </w:pPr>
            <w:r>
              <w:rPr>
                <w:rFonts w:ascii="Arial" w:cs="Arial" w:eastAsia="Arial" w:hAnsi="Arial"/>
                <w:sz w:val="18"/>
                <w:szCs w:val="18"/>
                <w:color w:val="auto"/>
              </w:rPr>
              <w:t>(3,525)</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(3,192)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(167)</w:t>
            </w:r>
          </w:p>
        </w:tc>
        <w:tc>
          <w:tcPr>
            <w:tcW w:w="12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2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(216)</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31</w:t>
            </w: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43</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tangible common equity</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3,516</w:t>
            </w: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3,345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020" w:type="dxa"/>
            <w:vAlign w:val="bottom"/>
            <w:tcBorders>
              <w:bottom w:val="single" w:sz="8" w:color="auto"/>
            </w:tcBorders>
            <w:shd w:val="clear" w:color="auto" w:fill="CCEEFF"/>
          </w:tcPr>
          <w:p>
            <w:pPr>
              <w:jc w:val="right"/>
              <w:ind w:right="431"/>
              <w:spacing w:after="0"/>
              <w:rPr>
                <w:sz w:val="20"/>
                <w:szCs w:val="20"/>
                <w:color w:val="auto"/>
              </w:rPr>
            </w:pPr>
            <w:r>
              <w:rPr>
                <w:rFonts w:ascii="Arial" w:cs="Arial" w:eastAsia="Arial" w:hAnsi="Arial"/>
                <w:sz w:val="18"/>
                <w:szCs w:val="18"/>
                <w:color w:val="auto"/>
              </w:rPr>
              <w:t>2,971</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19" w:right="239" w:bottom="0" w:gutter="0" w:footer="0" w:header="0"/>
        </w:sectPr>
      </w:pPr>
    </w:p>
    <w:bookmarkStart w:id="81" w:name="page82"/>
    <w:bookmarkEnd w:id="81"/>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85"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93"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Table 3</w:t>
            </w:r>
          </w:p>
        </w:tc>
      </w:tr>
      <w:tr>
        <w:trPr>
          <w:trHeight w:val="432"/>
        </w:trPr>
        <w:tc>
          <w:tcPr>
            <w:tcW w:w="6820" w:type="dxa"/>
            <w:vAlign w:val="bottom"/>
            <w:gridSpan w:val="8"/>
          </w:tcPr>
          <w:p>
            <w:pPr>
              <w:spacing w:after="0"/>
              <w:rPr>
                <w:sz w:val="20"/>
                <w:szCs w:val="20"/>
                <w:color w:val="auto"/>
              </w:rPr>
            </w:pPr>
            <w:r>
              <w:rPr>
                <w:rFonts w:ascii="Arial" w:cs="Arial" w:eastAsia="Arial" w:hAnsi="Arial"/>
                <w:sz w:val="18"/>
                <w:szCs w:val="18"/>
                <w:color w:val="auto"/>
                <w:w w:val="99"/>
              </w:rPr>
              <w:t>AVERAGE BALANCE SHEETS AND ANNUALIZED TAXABLE-EQUIVALENT RATES</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w w:val="96"/>
              </w:rPr>
              <w:t>2010 First Quarter</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w w:val="94"/>
              </w:rPr>
              <w:t>2009 Fourth Quarter</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gridSpan w:val="2"/>
          </w:tcPr>
          <w:p>
            <w:pPr>
              <w:jc w:val="right"/>
              <w:ind w:right="667"/>
              <w:spacing w:after="0"/>
              <w:rPr>
                <w:sz w:val="20"/>
                <w:szCs w:val="20"/>
                <w:color w:val="auto"/>
              </w:rPr>
            </w:pPr>
            <w:r>
              <w:rPr>
                <w:rFonts w:ascii="Arial" w:cs="Arial" w:eastAsia="Arial" w:hAnsi="Arial"/>
                <w:sz w:val="14"/>
                <w:szCs w:val="14"/>
                <w:color w:val="auto"/>
                <w:w w:val="96"/>
              </w:rPr>
              <w:t>2009 Third Quarter</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Average</w:t>
            </w:r>
          </w:p>
        </w:tc>
        <w:tc>
          <w:tcPr>
            <w:tcW w:w="118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9"/>
              </w:rPr>
              <w:t>Average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1260" w:type="dxa"/>
            <w:vAlign w:val="bottom"/>
          </w:tcPr>
          <w:p>
            <w:pPr>
              <w:spacing w:after="0"/>
              <w:rPr>
                <w:sz w:val="12"/>
                <w:szCs w:val="12"/>
                <w:color w:val="auto"/>
              </w:rPr>
            </w:pPr>
          </w:p>
        </w:tc>
        <w:tc>
          <w:tcPr>
            <w:tcW w:w="70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Average</w:t>
            </w:r>
          </w:p>
        </w:tc>
        <w:tc>
          <w:tcPr>
            <w:tcW w:w="940" w:type="dxa"/>
            <w:vAlign w:val="bottom"/>
          </w:tcPr>
          <w:p>
            <w:pPr>
              <w:spacing w:after="0"/>
              <w:rPr>
                <w:sz w:val="12"/>
                <w:szCs w:val="12"/>
                <w:color w:val="auto"/>
              </w:rPr>
            </w:pPr>
          </w:p>
        </w:tc>
        <w:tc>
          <w:tcPr>
            <w:tcW w:w="960" w:type="dxa"/>
            <w:vAlign w:val="bottom"/>
          </w:tcPr>
          <w:p>
            <w:pPr>
              <w:jc w:val="right"/>
              <w:ind w:right="67"/>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340" w:type="dxa"/>
            <w:vAlign w:val="bottom"/>
            <w:gridSpan w:val="3"/>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34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w w:val="86"/>
              </w:rPr>
              <w:t>Balance</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Interest</w:t>
            </w:r>
          </w:p>
        </w:tc>
        <w:tc>
          <w:tcPr>
            <w:tcW w:w="720" w:type="dxa"/>
            <w:vAlign w:val="bottom"/>
          </w:tcPr>
          <w:p>
            <w:pPr>
              <w:jc w:val="right"/>
              <w:ind w:right="208"/>
              <w:spacing w:after="0"/>
              <w:rPr>
                <w:sz w:val="20"/>
                <w:szCs w:val="20"/>
                <w:color w:val="auto"/>
              </w:rPr>
            </w:pPr>
            <w:r>
              <w:rPr>
                <w:rFonts w:ascii="Arial" w:cs="Arial" w:eastAsia="Arial" w:hAnsi="Arial"/>
                <w:sz w:val="14"/>
                <w:szCs w:val="14"/>
                <w:color w:val="auto"/>
              </w:rPr>
              <w:t>Rate</w:t>
            </w:r>
          </w:p>
        </w:tc>
        <w:tc>
          <w:tcPr>
            <w:tcW w:w="700" w:type="dxa"/>
            <w:vAlign w:val="bottom"/>
          </w:tcPr>
          <w:p>
            <w:pPr>
              <w:jc w:val="right"/>
              <w:spacing w:after="0"/>
              <w:rPr>
                <w:sz w:val="20"/>
                <w:szCs w:val="20"/>
                <w:color w:val="auto"/>
              </w:rPr>
            </w:pPr>
            <w:r>
              <w:rPr>
                <w:rFonts w:ascii="Arial" w:cs="Arial" w:eastAsia="Arial" w:hAnsi="Arial"/>
                <w:sz w:val="14"/>
                <w:szCs w:val="14"/>
                <w:color w:val="auto"/>
              </w:rPr>
              <w:t>Balance</w:t>
            </w:r>
          </w:p>
        </w:tc>
        <w:tc>
          <w:tcPr>
            <w:tcW w:w="1260" w:type="dxa"/>
            <w:vAlign w:val="bottom"/>
          </w:tcPr>
          <w:p>
            <w:pPr>
              <w:jc w:val="right"/>
              <w:ind w:right="328"/>
              <w:spacing w:after="0"/>
              <w:rPr>
                <w:sz w:val="20"/>
                <w:szCs w:val="20"/>
                <w:color w:val="auto"/>
              </w:rPr>
            </w:pPr>
            <w:r>
              <w:rPr>
                <w:rFonts w:ascii="Arial" w:cs="Arial" w:eastAsia="Arial" w:hAnsi="Arial"/>
                <w:sz w:val="14"/>
                <w:szCs w:val="14"/>
                <w:color w:val="auto"/>
              </w:rPr>
              <w:t>Interest</w:t>
            </w: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Rate</w:t>
            </w:r>
          </w:p>
        </w:tc>
        <w:tc>
          <w:tcPr>
            <w:tcW w:w="740" w:type="dxa"/>
            <w:vAlign w:val="bottom"/>
          </w:tcPr>
          <w:p>
            <w:pPr>
              <w:jc w:val="right"/>
              <w:spacing w:after="0"/>
              <w:rPr>
                <w:sz w:val="20"/>
                <w:szCs w:val="20"/>
                <w:color w:val="auto"/>
              </w:rPr>
            </w:pPr>
            <w:r>
              <w:rPr>
                <w:rFonts w:ascii="Arial" w:cs="Arial" w:eastAsia="Arial" w:hAnsi="Arial"/>
                <w:sz w:val="14"/>
                <w:szCs w:val="14"/>
                <w:color w:val="auto"/>
              </w:rPr>
              <w:t>Balance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Interest</w:t>
            </w:r>
          </w:p>
        </w:tc>
        <w:tc>
          <w:tcPr>
            <w:tcW w:w="960" w:type="dxa"/>
            <w:vAlign w:val="bottom"/>
          </w:tcPr>
          <w:p>
            <w:pPr>
              <w:jc w:val="right"/>
              <w:ind w:right="187"/>
              <w:spacing w:after="0"/>
              <w:rPr>
                <w:sz w:val="20"/>
                <w:szCs w:val="20"/>
                <w:color w:val="auto"/>
              </w:rPr>
            </w:pPr>
            <w:r>
              <w:rPr>
                <w:rFonts w:ascii="Arial" w:cs="Arial" w:eastAsia="Arial" w:hAnsi="Arial"/>
                <w:sz w:val="14"/>
                <w:szCs w:val="14"/>
                <w:color w:val="auto"/>
              </w:rPr>
              <w:t>Rate</w:t>
            </w:r>
          </w:p>
        </w:tc>
      </w:tr>
      <w:tr>
        <w:trPr>
          <w:trHeight w:val="149"/>
        </w:trPr>
        <w:tc>
          <w:tcPr>
            <w:tcW w:w="20" w:type="dxa"/>
            <w:vAlign w:val="bottom"/>
          </w:tcPr>
          <w:p>
            <w:pPr>
              <w:spacing w:after="0"/>
              <w:rPr>
                <w:sz w:val="12"/>
                <w:szCs w:val="12"/>
                <w:color w:val="auto"/>
              </w:rPr>
            </w:pPr>
          </w:p>
        </w:tc>
        <w:tc>
          <w:tcPr>
            <w:tcW w:w="332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Earning assets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Pr>
          <w:p>
            <w:pPr>
              <w:ind w:left="60"/>
              <w:spacing w:after="0" w:line="149" w:lineRule="exact"/>
              <w:rPr>
                <w:sz w:val="20"/>
                <w:szCs w:val="20"/>
                <w:color w:val="auto"/>
              </w:rPr>
            </w:pPr>
            <w:r>
              <w:rPr>
                <w:rFonts w:ascii="Arial" w:cs="Arial" w:eastAsia="Arial" w:hAnsi="Arial"/>
                <w:sz w:val="14"/>
                <w:szCs w:val="14"/>
                <w:color w:val="auto"/>
              </w:rPr>
              <w:t>Commercial, financial, etc.</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8"/>
              </w:rPr>
              <w:t>13,408</w:t>
            </w:r>
          </w:p>
        </w:tc>
        <w:tc>
          <w:tcPr>
            <w:tcW w:w="11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$128,147</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3.88%</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13,527</w:t>
            </w:r>
          </w:p>
        </w:tc>
        <w:tc>
          <w:tcPr>
            <w:tcW w:w="12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132,068</w:t>
            </w:r>
          </w:p>
        </w:tc>
        <w:tc>
          <w:tcPr>
            <w:tcW w:w="7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3.87%</w:t>
            </w: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13,801</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131,433</w:t>
            </w:r>
          </w:p>
        </w:tc>
        <w:tc>
          <w:tcPr>
            <w:tcW w:w="960" w:type="dxa"/>
            <w:vAlign w:val="bottom"/>
          </w:tcPr>
          <w:p>
            <w:pPr>
              <w:jc w:val="right"/>
              <w:ind w:right="127"/>
              <w:spacing w:after="0" w:line="149" w:lineRule="exact"/>
              <w:rPr>
                <w:sz w:val="20"/>
                <w:szCs w:val="20"/>
                <w:color w:val="auto"/>
              </w:rPr>
            </w:pPr>
            <w:r>
              <w:rPr>
                <w:rFonts w:ascii="Arial" w:cs="Arial" w:eastAsia="Arial" w:hAnsi="Arial"/>
                <w:sz w:val="14"/>
                <w:szCs w:val="14"/>
                <w:color w:val="auto"/>
              </w:rPr>
              <w:t>3.78%</w:t>
            </w: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Real estate — commercial</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20,867</w:t>
            </w:r>
          </w:p>
        </w:tc>
        <w:tc>
          <w:tcPr>
            <w:tcW w:w="11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233,561</w:t>
            </w:r>
          </w:p>
        </w:tc>
        <w:tc>
          <w:tcPr>
            <w:tcW w:w="7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4.48</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20,950</w:t>
            </w:r>
          </w:p>
        </w:tc>
        <w:tc>
          <w:tcPr>
            <w:tcW w:w="12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234,541</w:t>
            </w:r>
          </w:p>
        </w:tc>
        <w:tc>
          <w:tcPr>
            <w:tcW w:w="7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4.48</w:t>
            </w: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20,843</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233,370</w:t>
            </w:r>
          </w:p>
        </w:tc>
        <w:tc>
          <w:tcPr>
            <w:tcW w:w="96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4.48</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Pr>
          <w:p>
            <w:pPr>
              <w:ind w:left="60"/>
              <w:spacing w:after="0" w:line="149" w:lineRule="exact"/>
              <w:rPr>
                <w:sz w:val="20"/>
                <w:szCs w:val="20"/>
                <w:color w:val="auto"/>
              </w:rPr>
            </w:pPr>
            <w:r>
              <w:rPr>
                <w:rFonts w:ascii="Arial" w:cs="Arial" w:eastAsia="Arial" w:hAnsi="Arial"/>
                <w:sz w:val="14"/>
                <w:szCs w:val="14"/>
                <w:color w:val="auto"/>
              </w:rPr>
              <w:t>Real estate — consumer</w:t>
            </w:r>
          </w:p>
        </w:tc>
        <w:tc>
          <w:tcPr>
            <w:tcW w:w="3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5,742</w:t>
            </w:r>
          </w:p>
        </w:tc>
        <w:tc>
          <w:tcPr>
            <w:tcW w:w="11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76,283</w:t>
            </w:r>
          </w:p>
        </w:tc>
        <w:tc>
          <w:tcPr>
            <w:tcW w:w="7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5.31</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5,457</w:t>
            </w:r>
          </w:p>
        </w:tc>
        <w:tc>
          <w:tcPr>
            <w:tcW w:w="12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73,290</w:t>
            </w:r>
          </w:p>
        </w:tc>
        <w:tc>
          <w:tcPr>
            <w:tcW w:w="7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5.37</w:t>
            </w: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5,429</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73,752</w:t>
            </w:r>
          </w:p>
        </w:tc>
        <w:tc>
          <w:tcPr>
            <w:tcW w:w="960" w:type="dxa"/>
            <w:vAlign w:val="bottom"/>
          </w:tcPr>
          <w:p>
            <w:pPr>
              <w:jc w:val="right"/>
              <w:ind w:right="247"/>
              <w:spacing w:after="0" w:line="149" w:lineRule="exact"/>
              <w:rPr>
                <w:sz w:val="20"/>
                <w:szCs w:val="20"/>
                <w:color w:val="auto"/>
              </w:rPr>
            </w:pPr>
            <w:r>
              <w:rPr>
                <w:rFonts w:ascii="Arial" w:cs="Arial" w:eastAsia="Arial" w:hAnsi="Arial"/>
                <w:sz w:val="14"/>
                <w:szCs w:val="14"/>
                <w:color w:val="auto"/>
              </w:rPr>
              <w:t>5.43</w:t>
            </w: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11,931</w:t>
            </w:r>
          </w:p>
        </w:tc>
        <w:tc>
          <w:tcPr>
            <w:tcW w:w="11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154,688</w:t>
            </w:r>
          </w:p>
        </w:tc>
        <w:tc>
          <w:tcPr>
            <w:tcW w:w="72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5.26</w:t>
            </w: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12,153</w:t>
            </w:r>
          </w:p>
        </w:tc>
        <w:tc>
          <w:tcPr>
            <w:tcW w:w="12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162,832</w:t>
            </w:r>
          </w:p>
        </w:tc>
        <w:tc>
          <w:tcPr>
            <w:tcW w:w="7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5.32</w:t>
            </w: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12,247</w:t>
            </w:r>
          </w:p>
        </w:tc>
        <w:tc>
          <w:tcPr>
            <w:tcW w:w="9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165,665</w:t>
            </w:r>
          </w:p>
        </w:tc>
        <w:tc>
          <w:tcPr>
            <w:tcW w:w="96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5.37</w:t>
            </w:r>
          </w:p>
        </w:tc>
      </w:tr>
      <w:tr>
        <w:trPr>
          <w:trHeight w:val="163"/>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loans and leases, net</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88"/>
              </w:rPr>
              <w:t>51,948</w:t>
            </w:r>
          </w:p>
        </w:tc>
        <w:tc>
          <w:tcPr>
            <w:tcW w:w="11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592,679</w:t>
            </w: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4.63</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52,087</w:t>
            </w:r>
          </w:p>
        </w:tc>
        <w:tc>
          <w:tcPr>
            <w:tcW w:w="12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602,731</w:t>
            </w:r>
          </w:p>
        </w:tc>
        <w:tc>
          <w:tcPr>
            <w:tcW w:w="7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4.59</w:t>
            </w: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52,320</w:t>
            </w: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604,220</w:t>
            </w:r>
          </w:p>
        </w:tc>
        <w:tc>
          <w:tcPr>
            <w:tcW w:w="960" w:type="dxa"/>
            <w:vAlign w:val="bottom"/>
            <w:tcBorders>
              <w:bottom w:val="single" w:sz="8" w:color="auto"/>
            </w:tcBorders>
          </w:tcPr>
          <w:p>
            <w:pPr>
              <w:jc w:val="right"/>
              <w:ind w:right="247"/>
              <w:spacing w:after="0" w:line="155" w:lineRule="exact"/>
              <w:rPr>
                <w:sz w:val="20"/>
                <w:szCs w:val="20"/>
                <w:color w:val="auto"/>
              </w:rPr>
            </w:pPr>
            <w:r>
              <w:rPr>
                <w:rFonts w:ascii="Arial" w:cs="Arial" w:eastAsia="Arial" w:hAnsi="Arial"/>
                <w:sz w:val="14"/>
                <w:szCs w:val="14"/>
                <w:color w:val="auto"/>
              </w:rPr>
              <w:t>4.58</w:t>
            </w: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127</w:t>
            </w:r>
          </w:p>
        </w:tc>
        <w:tc>
          <w:tcPr>
            <w:tcW w:w="11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w:t>
            </w:r>
          </w:p>
        </w:tc>
        <w:tc>
          <w:tcPr>
            <w:tcW w:w="7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74</w:t>
            </w:r>
          </w:p>
        </w:tc>
        <w:tc>
          <w:tcPr>
            <w:tcW w:w="12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14</w:t>
            </w:r>
          </w:p>
        </w:tc>
        <w:tc>
          <w:tcPr>
            <w:tcW w:w="7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.08</w:t>
            </w: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96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.04</w:t>
            </w: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w w:val="98"/>
              </w:rPr>
              <w:t>Federal funds sold and agreements to resell securities</w:t>
            </w:r>
          </w:p>
        </w:tc>
        <w:tc>
          <w:tcPr>
            <w:tcW w:w="3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11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13</w:t>
            </w:r>
          </w:p>
        </w:tc>
        <w:tc>
          <w:tcPr>
            <w:tcW w:w="7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.22</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w:t>
            </w:r>
          </w:p>
        </w:tc>
        <w:tc>
          <w:tcPr>
            <w:tcW w:w="12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11</w:t>
            </w:r>
          </w:p>
        </w:tc>
        <w:tc>
          <w:tcPr>
            <w:tcW w:w="7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.19</w:t>
            </w: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960" w:type="dxa"/>
            <w:vAlign w:val="bottom"/>
          </w:tcPr>
          <w:p>
            <w:pPr>
              <w:jc w:val="right"/>
              <w:ind w:right="247"/>
              <w:spacing w:after="0" w:line="149" w:lineRule="exact"/>
              <w:rPr>
                <w:sz w:val="20"/>
                <w:szCs w:val="20"/>
                <w:color w:val="auto"/>
              </w:rPr>
            </w:pPr>
            <w:r>
              <w:rPr>
                <w:rFonts w:ascii="Arial" w:cs="Arial" w:eastAsia="Arial" w:hAnsi="Arial"/>
                <w:sz w:val="14"/>
                <w:szCs w:val="14"/>
                <w:color w:val="auto"/>
              </w:rPr>
              <w:t>.58</w:t>
            </w: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w:t>
            </w:r>
          </w:p>
        </w:tc>
        <w:tc>
          <w:tcPr>
            <w:tcW w:w="11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121</w:t>
            </w:r>
          </w:p>
        </w:tc>
        <w:tc>
          <w:tcPr>
            <w:tcW w:w="7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.80</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70</w:t>
            </w:r>
          </w:p>
        </w:tc>
        <w:tc>
          <w:tcPr>
            <w:tcW w:w="12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117</w:t>
            </w:r>
          </w:p>
        </w:tc>
        <w:tc>
          <w:tcPr>
            <w:tcW w:w="7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.66</w:t>
            </w: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83</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169</w:t>
            </w:r>
          </w:p>
        </w:tc>
        <w:tc>
          <w:tcPr>
            <w:tcW w:w="96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.82</w:t>
            </w: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Investment securities**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U.S. Treasury and federal agencies</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4,396</w:t>
            </w:r>
          </w:p>
        </w:tc>
        <w:tc>
          <w:tcPr>
            <w:tcW w:w="11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49,131</w:t>
            </w:r>
          </w:p>
        </w:tc>
        <w:tc>
          <w:tcPr>
            <w:tcW w:w="7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4.53</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3,880</w:t>
            </w:r>
          </w:p>
        </w:tc>
        <w:tc>
          <w:tcPr>
            <w:tcW w:w="12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44,984</w:t>
            </w:r>
          </w:p>
        </w:tc>
        <w:tc>
          <w:tcPr>
            <w:tcW w:w="7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4.60</w:t>
            </w: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3,803</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45,216</w:t>
            </w:r>
          </w:p>
        </w:tc>
        <w:tc>
          <w:tcPr>
            <w:tcW w:w="96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4.72</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Pr>
          <w:p>
            <w:pPr>
              <w:ind w:left="6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3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268</w:t>
            </w:r>
          </w:p>
        </w:tc>
        <w:tc>
          <w:tcPr>
            <w:tcW w:w="11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3,741</w:t>
            </w:r>
          </w:p>
        </w:tc>
        <w:tc>
          <w:tcPr>
            <w:tcW w:w="7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5.66</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270</w:t>
            </w:r>
          </w:p>
        </w:tc>
        <w:tc>
          <w:tcPr>
            <w:tcW w:w="12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4,084</w:t>
            </w:r>
          </w:p>
        </w:tc>
        <w:tc>
          <w:tcPr>
            <w:tcW w:w="7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5.99</w:t>
            </w: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278</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3,965</w:t>
            </w:r>
          </w:p>
        </w:tc>
        <w:tc>
          <w:tcPr>
            <w:tcW w:w="960" w:type="dxa"/>
            <w:vAlign w:val="bottom"/>
          </w:tcPr>
          <w:p>
            <w:pPr>
              <w:jc w:val="right"/>
              <w:ind w:right="247"/>
              <w:spacing w:after="0" w:line="149" w:lineRule="exact"/>
              <w:rPr>
                <w:sz w:val="20"/>
                <w:szCs w:val="20"/>
                <w:color w:val="auto"/>
              </w:rPr>
            </w:pPr>
            <w:r>
              <w:rPr>
                <w:rFonts w:ascii="Arial" w:cs="Arial" w:eastAsia="Arial" w:hAnsi="Arial"/>
                <w:sz w:val="14"/>
                <w:szCs w:val="14"/>
                <w:color w:val="auto"/>
              </w:rPr>
              <w:t>5.66</w:t>
            </w: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3,508</w:t>
            </w:r>
          </w:p>
        </w:tc>
        <w:tc>
          <w:tcPr>
            <w:tcW w:w="11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36,618</w:t>
            </w:r>
          </w:p>
        </w:tc>
        <w:tc>
          <w:tcPr>
            <w:tcW w:w="72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4.23</w:t>
            </w: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4,047</w:t>
            </w:r>
          </w:p>
        </w:tc>
        <w:tc>
          <w:tcPr>
            <w:tcW w:w="12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46,615</w:t>
            </w:r>
          </w:p>
        </w:tc>
        <w:tc>
          <w:tcPr>
            <w:tcW w:w="7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4.57</w:t>
            </w: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4,339</w:t>
            </w:r>
          </w:p>
        </w:tc>
        <w:tc>
          <w:tcPr>
            <w:tcW w:w="9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52,794</w:t>
            </w:r>
          </w:p>
        </w:tc>
        <w:tc>
          <w:tcPr>
            <w:tcW w:w="96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4.83</w:t>
            </w:r>
          </w:p>
        </w:tc>
      </w:tr>
      <w:tr>
        <w:trPr>
          <w:trHeight w:val="163"/>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investment securities</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8,172</w:t>
            </w:r>
          </w:p>
        </w:tc>
        <w:tc>
          <w:tcPr>
            <w:tcW w:w="11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89,490</w:t>
            </w: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4.44</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8,197</w:t>
            </w:r>
          </w:p>
        </w:tc>
        <w:tc>
          <w:tcPr>
            <w:tcW w:w="12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95,683</w:t>
            </w:r>
          </w:p>
        </w:tc>
        <w:tc>
          <w:tcPr>
            <w:tcW w:w="7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4.63</w:t>
            </w: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8,420</w:t>
            </w: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101,975</w:t>
            </w:r>
          </w:p>
        </w:tc>
        <w:tc>
          <w:tcPr>
            <w:tcW w:w="960" w:type="dxa"/>
            <w:vAlign w:val="bottom"/>
            <w:tcBorders>
              <w:bottom w:val="single" w:sz="8" w:color="auto"/>
            </w:tcBorders>
          </w:tcPr>
          <w:p>
            <w:pPr>
              <w:jc w:val="right"/>
              <w:ind w:right="247"/>
              <w:spacing w:after="0" w:line="155" w:lineRule="exact"/>
              <w:rPr>
                <w:sz w:val="20"/>
                <w:szCs w:val="20"/>
                <w:color w:val="auto"/>
              </w:rPr>
            </w:pPr>
            <w:r>
              <w:rPr>
                <w:rFonts w:ascii="Arial" w:cs="Arial" w:eastAsia="Arial" w:hAnsi="Arial"/>
                <w:sz w:val="14"/>
                <w:szCs w:val="14"/>
                <w:color w:val="auto"/>
              </w:rPr>
              <w:t>4.81</w:t>
            </w: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Total earning assets</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60,331</w:t>
            </w:r>
          </w:p>
        </w:tc>
        <w:tc>
          <w:tcPr>
            <w:tcW w:w="11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682,309</w:t>
            </w:r>
          </w:p>
        </w:tc>
        <w:tc>
          <w:tcPr>
            <w:tcW w:w="72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4.59</w:t>
            </w: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60,451</w:t>
            </w:r>
          </w:p>
        </w:tc>
        <w:tc>
          <w:tcPr>
            <w:tcW w:w="12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698,556</w:t>
            </w:r>
          </w:p>
        </w:tc>
        <w:tc>
          <w:tcPr>
            <w:tcW w:w="7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4.58</w:t>
            </w: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60,900</w:t>
            </w:r>
          </w:p>
        </w:tc>
        <w:tc>
          <w:tcPr>
            <w:tcW w:w="9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706,388</w:t>
            </w:r>
          </w:p>
        </w:tc>
        <w:tc>
          <w:tcPr>
            <w:tcW w:w="96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4.60</w:t>
            </w:r>
          </w:p>
        </w:tc>
      </w:tr>
      <w:tr>
        <w:trPr>
          <w:trHeight w:val="156"/>
        </w:trPr>
        <w:tc>
          <w:tcPr>
            <w:tcW w:w="20" w:type="dxa"/>
            <w:vAlign w:val="bottom"/>
          </w:tcPr>
          <w:p>
            <w:pPr>
              <w:spacing w:after="0"/>
              <w:rPr>
                <w:sz w:val="13"/>
                <w:szCs w:val="13"/>
                <w:color w:val="auto"/>
              </w:rPr>
            </w:pPr>
          </w:p>
        </w:tc>
        <w:tc>
          <w:tcPr>
            <w:tcW w:w="3320" w:type="dxa"/>
            <w:vAlign w:val="bottom"/>
            <w:gridSpan w:val="2"/>
          </w:tcPr>
          <w:p>
            <w:pPr>
              <w:spacing w:after="0" w:line="155" w:lineRule="exact"/>
              <w:rPr>
                <w:sz w:val="20"/>
                <w:szCs w:val="20"/>
                <w:color w:val="auto"/>
              </w:rPr>
            </w:pPr>
            <w:r>
              <w:rPr>
                <w:rFonts w:ascii="Arial" w:cs="Arial" w:eastAsia="Arial" w:hAnsi="Arial"/>
                <w:sz w:val="14"/>
                <w:szCs w:val="14"/>
                <w:color w:val="auto"/>
              </w:rPr>
              <w:t>Allowance for credit losses</w:t>
            </w:r>
          </w:p>
        </w:tc>
        <w:tc>
          <w:tcPr>
            <w:tcW w:w="340" w:type="dxa"/>
            <w:vAlign w:val="bottom"/>
          </w:tcPr>
          <w:p>
            <w:pPr>
              <w:spacing w:after="0"/>
              <w:rPr>
                <w:sz w:val="13"/>
                <w:szCs w:val="13"/>
                <w:color w:val="auto"/>
              </w:rPr>
            </w:pP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color w:val="auto"/>
              </w:rPr>
              <w:t>(900)</w:t>
            </w: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(890)</w:t>
            </w:r>
          </w:p>
        </w:tc>
        <w:tc>
          <w:tcPr>
            <w:tcW w:w="1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(882)</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1,136</w:t>
            </w:r>
          </w:p>
        </w:tc>
        <w:tc>
          <w:tcPr>
            <w:tcW w:w="1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1,184</w:t>
            </w:r>
          </w:p>
        </w:tc>
        <w:tc>
          <w:tcPr>
            <w:tcW w:w="1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1,135</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8,316</w:t>
            </w:r>
          </w:p>
        </w:tc>
        <w:tc>
          <w:tcPr>
            <w:tcW w:w="1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8,174</w:t>
            </w:r>
          </w:p>
        </w:tc>
        <w:tc>
          <w:tcPr>
            <w:tcW w:w="1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8,001</w:t>
            </w:r>
          </w:p>
        </w:tc>
        <w:tc>
          <w:tcPr>
            <w:tcW w:w="9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68,883</w:t>
            </w:r>
          </w:p>
        </w:tc>
        <w:tc>
          <w:tcPr>
            <w:tcW w:w="1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68,919</w:t>
            </w:r>
          </w:p>
        </w:tc>
        <w:tc>
          <w:tcPr>
            <w:tcW w:w="1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69,154</w:t>
            </w:r>
          </w:p>
        </w:tc>
        <w:tc>
          <w:tcPr>
            <w:tcW w:w="9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r>
      <w:tr>
        <w:trPr>
          <w:trHeight w:val="20"/>
        </w:trPr>
        <w:tc>
          <w:tcPr>
            <w:tcW w:w="3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NOW accounts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585</w:t>
            </w:r>
          </w:p>
        </w:tc>
        <w:tc>
          <w:tcPr>
            <w:tcW w:w="11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200</w:t>
            </w:r>
          </w:p>
        </w:tc>
        <w:tc>
          <w:tcPr>
            <w:tcW w:w="7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.14</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579</w:t>
            </w:r>
          </w:p>
        </w:tc>
        <w:tc>
          <w:tcPr>
            <w:tcW w:w="12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261</w:t>
            </w:r>
          </w:p>
        </w:tc>
        <w:tc>
          <w:tcPr>
            <w:tcW w:w="7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.18</w:t>
            </w: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541</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288</w:t>
            </w:r>
          </w:p>
        </w:tc>
        <w:tc>
          <w:tcPr>
            <w:tcW w:w="96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80" w:type="dxa"/>
            <w:vAlign w:val="bottom"/>
          </w:tcPr>
          <w:p>
            <w:pPr>
              <w:ind w:left="60"/>
              <w:spacing w:after="0" w:line="149" w:lineRule="exact"/>
              <w:rPr>
                <w:sz w:val="20"/>
                <w:szCs w:val="20"/>
                <w:color w:val="auto"/>
              </w:rPr>
            </w:pPr>
            <w:r>
              <w:rPr>
                <w:rFonts w:ascii="Arial" w:cs="Arial" w:eastAsia="Arial" w:hAnsi="Arial"/>
                <w:sz w:val="14"/>
                <w:szCs w:val="14"/>
                <w:color w:val="auto"/>
              </w:rPr>
              <w:t>Savings deposits</w:t>
            </w:r>
          </w:p>
        </w:tc>
        <w:tc>
          <w:tcPr>
            <w:tcW w:w="340" w:type="dxa"/>
            <w:vAlign w:val="bottom"/>
          </w:tcPr>
          <w:p>
            <w:pPr>
              <w:spacing w:after="0"/>
              <w:rPr>
                <w:sz w:val="12"/>
                <w:szCs w:val="12"/>
                <w:color w:val="auto"/>
              </w:rPr>
            </w:pPr>
          </w:p>
        </w:tc>
        <w:tc>
          <w:tcPr>
            <w:tcW w:w="54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8"/>
              </w:rPr>
              <w:t>25,068</w:t>
            </w:r>
          </w:p>
        </w:tc>
        <w:tc>
          <w:tcPr>
            <w:tcW w:w="11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20,449</w:t>
            </w:r>
          </w:p>
        </w:tc>
        <w:tc>
          <w:tcPr>
            <w:tcW w:w="7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.33</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24,237</w:t>
            </w:r>
          </w:p>
        </w:tc>
        <w:tc>
          <w:tcPr>
            <w:tcW w:w="12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22,190</w:t>
            </w:r>
          </w:p>
        </w:tc>
        <w:tc>
          <w:tcPr>
            <w:tcW w:w="7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.36</w:t>
            </w: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23,367</w:t>
            </w: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22,076</w:t>
            </w:r>
          </w:p>
        </w:tc>
        <w:tc>
          <w:tcPr>
            <w:tcW w:w="960" w:type="dxa"/>
            <w:vAlign w:val="bottom"/>
          </w:tcPr>
          <w:p>
            <w:pPr>
              <w:jc w:val="right"/>
              <w:ind w:right="247"/>
              <w:spacing w:after="0" w:line="149" w:lineRule="exact"/>
              <w:rPr>
                <w:sz w:val="20"/>
                <w:szCs w:val="20"/>
                <w:color w:val="auto"/>
              </w:rPr>
            </w:pPr>
            <w:r>
              <w:rPr>
                <w:rFonts w:ascii="Arial" w:cs="Arial" w:eastAsia="Arial" w:hAnsi="Arial"/>
                <w:sz w:val="14"/>
                <w:szCs w:val="14"/>
                <w:color w:val="auto"/>
              </w:rPr>
              <w:t>.37</w:t>
            </w:r>
          </w:p>
        </w:tc>
      </w:tr>
      <w:tr>
        <w:trPr>
          <w:trHeight w:val="149"/>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Time deposits</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7,210</w:t>
            </w:r>
          </w:p>
        </w:tc>
        <w:tc>
          <w:tcPr>
            <w:tcW w:w="118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29,446</w:t>
            </w:r>
          </w:p>
        </w:tc>
        <w:tc>
          <w:tcPr>
            <w:tcW w:w="7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1.66</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8,304</w:t>
            </w:r>
          </w:p>
        </w:tc>
        <w:tc>
          <w:tcPr>
            <w:tcW w:w="126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39,516</w:t>
            </w:r>
          </w:p>
        </w:tc>
        <w:tc>
          <w:tcPr>
            <w:tcW w:w="7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1.89</w:t>
            </w: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9,246</w:t>
            </w:r>
          </w:p>
        </w:tc>
        <w:tc>
          <w:tcPr>
            <w:tcW w:w="9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50,678</w:t>
            </w:r>
          </w:p>
        </w:tc>
        <w:tc>
          <w:tcPr>
            <w:tcW w:w="960" w:type="dxa"/>
            <w:vAlign w:val="bottom"/>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2.17</w:t>
            </w:r>
          </w:p>
        </w:tc>
      </w:tr>
      <w:tr>
        <w:trPr>
          <w:trHeight w:val="156"/>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Deposits at foreign office</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1,237</w:t>
            </w:r>
          </w:p>
        </w:tc>
        <w:tc>
          <w:tcPr>
            <w:tcW w:w="118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325</w:t>
            </w:r>
          </w:p>
        </w:tc>
        <w:tc>
          <w:tcPr>
            <w:tcW w:w="72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.11</w:t>
            </w:r>
          </w:p>
        </w:tc>
        <w:tc>
          <w:tcPr>
            <w:tcW w:w="7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1,300</w:t>
            </w:r>
          </w:p>
        </w:tc>
        <w:tc>
          <w:tcPr>
            <w:tcW w:w="126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color w:val="auto"/>
              </w:rPr>
              <w:t>353</w:t>
            </w:r>
          </w:p>
        </w:tc>
        <w:tc>
          <w:tcPr>
            <w:tcW w:w="70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1,444</w:t>
            </w:r>
          </w:p>
        </w:tc>
        <w:tc>
          <w:tcPr>
            <w:tcW w:w="9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481</w:t>
            </w:r>
          </w:p>
        </w:tc>
        <w:tc>
          <w:tcPr>
            <w:tcW w:w="960" w:type="dxa"/>
            <w:vAlign w:val="bottom"/>
            <w:tcBorders>
              <w:bottom w:val="single" w:sz="8" w:color="auto"/>
            </w:tcBorders>
          </w:tcPr>
          <w:p>
            <w:pPr>
              <w:jc w:val="right"/>
              <w:ind w:right="247"/>
              <w:spacing w:after="0" w:line="149" w:lineRule="exact"/>
              <w:rPr>
                <w:sz w:val="20"/>
                <w:szCs w:val="20"/>
                <w:color w:val="auto"/>
              </w:rPr>
            </w:pPr>
            <w:r>
              <w:rPr>
                <w:rFonts w:ascii="Arial" w:cs="Arial" w:eastAsia="Arial" w:hAnsi="Arial"/>
                <w:sz w:val="14"/>
                <w:szCs w:val="14"/>
                <w:color w:val="auto"/>
              </w:rPr>
              <w:t>.13</w:t>
            </w: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interest-bearing deposits</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34,100</w:t>
            </w:r>
          </w:p>
        </w:tc>
        <w:tc>
          <w:tcPr>
            <w:tcW w:w="11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50,420</w:t>
            </w:r>
          </w:p>
        </w:tc>
        <w:tc>
          <w:tcPr>
            <w:tcW w:w="72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.60</w:t>
            </w: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34,420</w:t>
            </w:r>
          </w:p>
        </w:tc>
        <w:tc>
          <w:tcPr>
            <w:tcW w:w="12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62,320</w:t>
            </w:r>
          </w:p>
        </w:tc>
        <w:tc>
          <w:tcPr>
            <w:tcW w:w="7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.72</w:t>
            </w: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34,598</w:t>
            </w:r>
          </w:p>
        </w:tc>
        <w:tc>
          <w:tcPr>
            <w:tcW w:w="9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73,523</w:t>
            </w:r>
          </w:p>
        </w:tc>
        <w:tc>
          <w:tcPr>
            <w:tcW w:w="96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.84</w:t>
            </w:r>
          </w:p>
        </w:tc>
      </w:tr>
      <w:tr>
        <w:trPr>
          <w:trHeight w:val="156"/>
        </w:trPr>
        <w:tc>
          <w:tcPr>
            <w:tcW w:w="20" w:type="dxa"/>
            <w:vAlign w:val="bottom"/>
          </w:tcPr>
          <w:p>
            <w:pPr>
              <w:spacing w:after="0"/>
              <w:rPr>
                <w:sz w:val="13"/>
                <w:szCs w:val="13"/>
                <w:color w:val="auto"/>
              </w:rPr>
            </w:pPr>
          </w:p>
        </w:tc>
        <w:tc>
          <w:tcPr>
            <w:tcW w:w="3320" w:type="dxa"/>
            <w:vAlign w:val="bottom"/>
            <w:gridSpan w:val="2"/>
          </w:tcPr>
          <w:p>
            <w:pPr>
              <w:spacing w:after="0" w:line="155" w:lineRule="exact"/>
              <w:rPr>
                <w:sz w:val="20"/>
                <w:szCs w:val="20"/>
                <w:color w:val="auto"/>
              </w:rPr>
            </w:pPr>
            <w:r>
              <w:rPr>
                <w:rFonts w:ascii="Arial" w:cs="Arial" w:eastAsia="Arial" w:hAnsi="Arial"/>
                <w:sz w:val="14"/>
                <w:szCs w:val="14"/>
                <w:color w:val="auto"/>
              </w:rPr>
              <w:t>Short-term borrowings</w:t>
            </w:r>
          </w:p>
        </w:tc>
        <w:tc>
          <w:tcPr>
            <w:tcW w:w="340" w:type="dxa"/>
            <w:vAlign w:val="bottom"/>
          </w:tcPr>
          <w:p>
            <w:pPr>
              <w:spacing w:after="0"/>
              <w:rPr>
                <w:sz w:val="13"/>
                <w:szCs w:val="13"/>
                <w:color w:val="auto"/>
              </w:rPr>
            </w:pPr>
          </w:p>
        </w:tc>
        <w:tc>
          <w:tcPr>
            <w:tcW w:w="5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2,367</w:t>
            </w:r>
          </w:p>
        </w:tc>
        <w:tc>
          <w:tcPr>
            <w:tcW w:w="118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887</w:t>
            </w:r>
          </w:p>
        </w:tc>
        <w:tc>
          <w:tcPr>
            <w:tcW w:w="72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.15</w:t>
            </w:r>
          </w:p>
        </w:tc>
        <w:tc>
          <w:tcPr>
            <w:tcW w:w="7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2,308</w:t>
            </w:r>
          </w:p>
        </w:tc>
        <w:tc>
          <w:tcPr>
            <w:tcW w:w="12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1,002</w:t>
            </w:r>
          </w:p>
        </w:tc>
        <w:tc>
          <w:tcPr>
            <w:tcW w:w="7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.17</w:t>
            </w:r>
          </w:p>
        </w:tc>
        <w:tc>
          <w:tcPr>
            <w:tcW w:w="7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2,663</w:t>
            </w:r>
          </w:p>
        </w:tc>
        <w:tc>
          <w:tcPr>
            <w:tcW w:w="9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1,764</w:t>
            </w:r>
          </w:p>
        </w:tc>
        <w:tc>
          <w:tcPr>
            <w:tcW w:w="960" w:type="dxa"/>
            <w:vAlign w:val="bottom"/>
          </w:tcPr>
          <w:p>
            <w:pPr>
              <w:jc w:val="right"/>
              <w:ind w:right="247"/>
              <w:spacing w:after="0" w:line="155" w:lineRule="exact"/>
              <w:rPr>
                <w:sz w:val="20"/>
                <w:szCs w:val="20"/>
                <w:color w:val="auto"/>
              </w:rPr>
            </w:pPr>
            <w:r>
              <w:rPr>
                <w:rFonts w:ascii="Arial" w:cs="Arial" w:eastAsia="Arial" w:hAnsi="Arial"/>
                <w:sz w:val="14"/>
                <w:szCs w:val="14"/>
                <w:color w:val="auto"/>
              </w:rPr>
              <w:t>.26</w:t>
            </w: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10,160</w:t>
            </w:r>
          </w:p>
        </w:tc>
        <w:tc>
          <w:tcPr>
            <w:tcW w:w="1180" w:type="dxa"/>
            <w:vAlign w:val="bottom"/>
            <w:tcBorders>
              <w:bottom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68,745</w:t>
            </w:r>
          </w:p>
        </w:tc>
        <w:tc>
          <w:tcPr>
            <w:tcW w:w="72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2.74</w:t>
            </w: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10,253</w:t>
            </w:r>
          </w:p>
        </w:tc>
        <w:tc>
          <w:tcPr>
            <w:tcW w:w="1260" w:type="dxa"/>
            <w:vAlign w:val="bottom"/>
            <w:tcBorders>
              <w:bottom w:val="single" w:sz="8" w:color="auto"/>
            </w:tcBorders>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70,628</w:t>
            </w:r>
          </w:p>
        </w:tc>
        <w:tc>
          <w:tcPr>
            <w:tcW w:w="7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2.73</w:t>
            </w: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11,008</w:t>
            </w:r>
          </w:p>
        </w:tc>
        <w:tc>
          <w:tcPr>
            <w:tcW w:w="9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77,651</w:t>
            </w:r>
          </w:p>
        </w:tc>
        <w:tc>
          <w:tcPr>
            <w:tcW w:w="96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2.80</w:t>
            </w:r>
          </w:p>
        </w:tc>
      </w:tr>
      <w:tr>
        <w:trPr>
          <w:trHeight w:val="163"/>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88"/>
              </w:rPr>
              <w:t>46,627</w:t>
            </w:r>
          </w:p>
        </w:tc>
        <w:tc>
          <w:tcPr>
            <w:tcW w:w="11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120,052</w:t>
            </w: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1.04</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46,981</w:t>
            </w:r>
          </w:p>
        </w:tc>
        <w:tc>
          <w:tcPr>
            <w:tcW w:w="12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133,950</w:t>
            </w:r>
          </w:p>
        </w:tc>
        <w:tc>
          <w:tcPr>
            <w:tcW w:w="7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1.13</w:t>
            </w: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48,269</w:t>
            </w: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152,938</w:t>
            </w:r>
          </w:p>
        </w:tc>
        <w:tc>
          <w:tcPr>
            <w:tcW w:w="960" w:type="dxa"/>
            <w:vAlign w:val="bottom"/>
            <w:tcBorders>
              <w:bottom w:val="single" w:sz="8" w:color="auto"/>
            </w:tcBorders>
          </w:tcPr>
          <w:p>
            <w:pPr>
              <w:jc w:val="right"/>
              <w:ind w:right="247"/>
              <w:spacing w:after="0" w:line="155" w:lineRule="exact"/>
              <w:rPr>
                <w:sz w:val="20"/>
                <w:szCs w:val="20"/>
                <w:color w:val="auto"/>
              </w:rPr>
            </w:pPr>
            <w:r>
              <w:rPr>
                <w:rFonts w:ascii="Arial" w:cs="Arial" w:eastAsia="Arial" w:hAnsi="Arial"/>
                <w:sz w:val="14"/>
                <w:szCs w:val="14"/>
                <w:color w:val="auto"/>
              </w:rPr>
              <w:t>1.26</w:t>
            </w: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13,294</w:t>
            </w:r>
          </w:p>
        </w:tc>
        <w:tc>
          <w:tcPr>
            <w:tcW w:w="1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12,945</w:t>
            </w:r>
          </w:p>
        </w:tc>
        <w:tc>
          <w:tcPr>
            <w:tcW w:w="1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12,122</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32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1,094</w:t>
            </w:r>
          </w:p>
        </w:tc>
        <w:tc>
          <w:tcPr>
            <w:tcW w:w="1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1,307</w:t>
            </w:r>
          </w:p>
        </w:tc>
        <w:tc>
          <w:tcPr>
            <w:tcW w:w="1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1,242</w:t>
            </w:r>
          </w:p>
        </w:tc>
        <w:tc>
          <w:tcPr>
            <w:tcW w:w="9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liabilities</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61,015</w:t>
            </w:r>
          </w:p>
        </w:tc>
        <w:tc>
          <w:tcPr>
            <w:tcW w:w="1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61,233</w:t>
            </w:r>
          </w:p>
        </w:tc>
        <w:tc>
          <w:tcPr>
            <w:tcW w:w="1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61,633</w:t>
            </w:r>
          </w:p>
        </w:tc>
        <w:tc>
          <w:tcPr>
            <w:tcW w:w="9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Stockholders’ equity</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7,868</w:t>
            </w:r>
          </w:p>
        </w:tc>
        <w:tc>
          <w:tcPr>
            <w:tcW w:w="1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7,686</w:t>
            </w:r>
          </w:p>
        </w:tc>
        <w:tc>
          <w:tcPr>
            <w:tcW w:w="1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7,521</w:t>
            </w: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180" w:type="dxa"/>
            <w:vAlign w:val="bottom"/>
            <w:tcBorders>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8"/>
              </w:rPr>
              <w:t>68,883</w:t>
            </w:r>
          </w:p>
        </w:tc>
        <w:tc>
          <w:tcPr>
            <w:tcW w:w="1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68,919</w:t>
            </w:r>
          </w:p>
        </w:tc>
        <w:tc>
          <w:tcPr>
            <w:tcW w:w="1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69,154</w:t>
            </w:r>
          </w:p>
        </w:tc>
        <w:tc>
          <w:tcPr>
            <w:tcW w:w="9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r>
      <w:tr>
        <w:trPr>
          <w:trHeight w:val="20"/>
        </w:trPr>
        <w:tc>
          <w:tcPr>
            <w:tcW w:w="3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color w:val="auto"/>
              </w:rPr>
              <w:t>Net interest spread</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68"/>
              <w:spacing w:after="0" w:line="143" w:lineRule="exact"/>
              <w:rPr>
                <w:sz w:val="20"/>
                <w:szCs w:val="20"/>
                <w:color w:val="auto"/>
              </w:rPr>
            </w:pPr>
            <w:r>
              <w:rPr>
                <w:rFonts w:ascii="Arial" w:cs="Arial" w:eastAsia="Arial" w:hAnsi="Arial"/>
                <w:sz w:val="14"/>
                <w:szCs w:val="14"/>
                <w:color w:val="auto"/>
              </w:rPr>
              <w:t>3.55</w:t>
            </w:r>
          </w:p>
        </w:tc>
        <w:tc>
          <w:tcPr>
            <w:tcW w:w="7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88"/>
              <w:spacing w:after="0" w:line="143" w:lineRule="exact"/>
              <w:rPr>
                <w:sz w:val="20"/>
                <w:szCs w:val="20"/>
                <w:color w:val="auto"/>
              </w:rPr>
            </w:pPr>
            <w:r>
              <w:rPr>
                <w:rFonts w:ascii="Arial" w:cs="Arial" w:eastAsia="Arial" w:hAnsi="Arial"/>
                <w:sz w:val="14"/>
                <w:szCs w:val="14"/>
                <w:color w:val="auto"/>
              </w:rPr>
              <w:t>3.45</w:t>
            </w:r>
          </w:p>
        </w:tc>
        <w:tc>
          <w:tcPr>
            <w:tcW w:w="7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47"/>
              <w:spacing w:after="0" w:line="143" w:lineRule="exact"/>
              <w:rPr>
                <w:sz w:val="20"/>
                <w:szCs w:val="20"/>
                <w:color w:val="auto"/>
              </w:rPr>
            </w:pPr>
            <w:r>
              <w:rPr>
                <w:rFonts w:ascii="Arial" w:cs="Arial" w:eastAsia="Arial" w:hAnsi="Arial"/>
                <w:sz w:val="14"/>
                <w:szCs w:val="14"/>
                <w:color w:val="auto"/>
              </w:rPr>
              <w:t>3.34</w:t>
            </w:r>
          </w:p>
        </w:tc>
      </w:tr>
      <w:tr>
        <w:trPr>
          <w:trHeight w:val="149"/>
        </w:trPr>
        <w:tc>
          <w:tcPr>
            <w:tcW w:w="20" w:type="dxa"/>
            <w:vAlign w:val="bottom"/>
          </w:tcPr>
          <w:p>
            <w:pPr>
              <w:spacing w:after="0"/>
              <w:rPr>
                <w:sz w:val="12"/>
                <w:szCs w:val="12"/>
                <w:color w:val="auto"/>
              </w:rPr>
            </w:pPr>
          </w:p>
        </w:tc>
        <w:tc>
          <w:tcPr>
            <w:tcW w:w="332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3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.23</w:t>
            </w:r>
          </w:p>
        </w:tc>
        <w:tc>
          <w:tcPr>
            <w:tcW w:w="7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.26</w:t>
            </w:r>
          </w:p>
        </w:tc>
        <w:tc>
          <w:tcPr>
            <w:tcW w:w="7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47"/>
              <w:spacing w:after="0" w:line="149" w:lineRule="exact"/>
              <w:rPr>
                <w:sz w:val="20"/>
                <w:szCs w:val="20"/>
                <w:color w:val="auto"/>
              </w:rPr>
            </w:pPr>
            <w:r>
              <w:rPr>
                <w:rFonts w:ascii="Arial" w:cs="Arial" w:eastAsia="Arial" w:hAnsi="Arial"/>
                <w:sz w:val="14"/>
                <w:szCs w:val="14"/>
                <w:color w:val="auto"/>
              </w:rPr>
              <w:t>.27</w:t>
            </w:r>
          </w:p>
        </w:tc>
      </w:tr>
      <w:tr>
        <w:trPr>
          <w:trHeight w:val="156"/>
        </w:trPr>
        <w:tc>
          <w:tcPr>
            <w:tcW w:w="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interest income/margin on earning assets</w:t>
            </w:r>
          </w:p>
        </w:tc>
        <w:tc>
          <w:tcPr>
            <w:tcW w:w="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$562,257</w:t>
            </w:r>
          </w:p>
        </w:tc>
        <w:tc>
          <w:tcPr>
            <w:tcW w:w="7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3.78%</w:t>
            </w: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564,606</w:t>
            </w:r>
          </w:p>
        </w:tc>
        <w:tc>
          <w:tcPr>
            <w:tcW w:w="7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3.71%</w:t>
            </w:r>
          </w:p>
        </w:tc>
        <w:tc>
          <w:tcPr>
            <w:tcW w:w="7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553,450</w:t>
            </w:r>
          </w:p>
        </w:tc>
        <w:tc>
          <w:tcPr>
            <w:tcW w:w="96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4"/>
                <w:szCs w:val="14"/>
                <w:color w:val="auto"/>
              </w:rPr>
              <w:t>3.61%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32"/>
        </w:trPr>
        <w:tc>
          <w:tcPr>
            <w:tcW w:w="16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3180" w:type="dxa"/>
            <w:vAlign w:val="bottom"/>
          </w:tcPr>
          <w:p>
            <w:pPr>
              <w:ind w:left="300"/>
              <w:spacing w:after="0"/>
              <w:rPr>
                <w:sz w:val="20"/>
                <w:szCs w:val="20"/>
                <w:color w:val="auto"/>
              </w:rPr>
            </w:pPr>
            <w:r>
              <w:rPr>
                <w:rFonts w:ascii="Arial" w:cs="Arial" w:eastAsia="Arial" w:hAnsi="Arial"/>
                <w:sz w:val="18"/>
                <w:szCs w:val="18"/>
                <w:i w:val="1"/>
                <w:iCs w:val="1"/>
                <w:color w:val="auto"/>
              </w:rPr>
              <w:t>Includes nonaccrual loans.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(continued)</w:t>
            </w:r>
          </w:p>
        </w:tc>
      </w:tr>
    </w:tbl>
    <w:p>
      <w:pPr>
        <w:spacing w:after="0" w:line="5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w w:val="91"/>
              </w:rPr>
              <w:t>Table 3 (continued)</w:t>
            </w:r>
          </w:p>
        </w:tc>
      </w:tr>
      <w:tr>
        <w:trPr>
          <w:trHeight w:val="432"/>
        </w:trPr>
        <w:tc>
          <w:tcPr>
            <w:tcW w:w="7900" w:type="dxa"/>
            <w:vAlign w:val="bottom"/>
            <w:gridSpan w:val="6"/>
          </w:tcPr>
          <w:p>
            <w:pPr>
              <w:spacing w:after="0"/>
              <w:rPr>
                <w:sz w:val="20"/>
                <w:szCs w:val="20"/>
                <w:color w:val="auto"/>
              </w:rPr>
            </w:pPr>
            <w:r>
              <w:rPr>
                <w:rFonts w:ascii="Arial" w:cs="Arial" w:eastAsia="Arial" w:hAnsi="Arial"/>
                <w:sz w:val="18"/>
                <w:szCs w:val="18"/>
                <w:color w:val="auto"/>
              </w:rPr>
              <w:t>AVERAGE BALANCE SHEETS AND ANNUALIZED TAXABLE-EQUIVALENT RATES (continued)</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2009 Second Quarter</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40" w:type="dxa"/>
            <w:vAlign w:val="bottom"/>
            <w:gridSpan w:val="2"/>
          </w:tcPr>
          <w:p>
            <w:pPr>
              <w:jc w:val="right"/>
              <w:ind w:right="1167"/>
              <w:spacing w:after="0"/>
              <w:rPr>
                <w:sz w:val="20"/>
                <w:szCs w:val="20"/>
                <w:color w:val="auto"/>
              </w:rPr>
            </w:pPr>
            <w:r>
              <w:rPr>
                <w:rFonts w:ascii="Arial" w:cs="Arial" w:eastAsia="Arial" w:hAnsi="Arial"/>
                <w:sz w:val="14"/>
                <w:szCs w:val="14"/>
                <w:color w:val="auto"/>
              </w:rPr>
              <w:t>2009 First Quarter</w:t>
            </w: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Average</w:t>
            </w:r>
          </w:p>
        </w:tc>
        <w:tc>
          <w:tcPr>
            <w:tcW w:w="1560" w:type="dxa"/>
            <w:vAlign w:val="bottom"/>
          </w:tcPr>
          <w:p>
            <w:pPr>
              <w:spacing w:after="0"/>
              <w:rPr>
                <w:sz w:val="12"/>
                <w:szCs w:val="12"/>
                <w:color w:val="auto"/>
              </w:rPr>
            </w:pP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Average</w:t>
            </w:r>
          </w:p>
        </w:tc>
        <w:tc>
          <w:tcPr>
            <w:tcW w:w="9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w:t>
            </w:r>
          </w:p>
        </w:tc>
        <w:tc>
          <w:tcPr>
            <w:tcW w:w="1100" w:type="dxa"/>
            <w:vAlign w:val="bottom"/>
          </w:tcPr>
          <w:p>
            <w:pPr>
              <w:spacing w:after="0"/>
              <w:rPr>
                <w:sz w:val="12"/>
                <w:szCs w:val="12"/>
                <w:color w:val="auto"/>
              </w:rPr>
            </w:pPr>
          </w:p>
        </w:tc>
        <w:tc>
          <w:tcPr>
            <w:tcW w:w="1440" w:type="dxa"/>
            <w:vAlign w:val="bottom"/>
          </w:tcPr>
          <w:p>
            <w:pPr>
              <w:jc w:val="right"/>
              <w:ind w:right="147"/>
              <w:spacing w:after="0" w:line="149" w:lineRule="exact"/>
              <w:rPr>
                <w:sz w:val="20"/>
                <w:szCs w:val="20"/>
                <w:color w:val="auto"/>
              </w:rPr>
            </w:pPr>
            <w:r>
              <w:rPr>
                <w:rFonts w:ascii="Arial" w:cs="Arial" w:eastAsia="Arial" w:hAnsi="Arial"/>
                <w:sz w:val="14"/>
                <w:szCs w:val="14"/>
                <w:color w:val="auto"/>
              </w:rPr>
              <w:t>Average</w:t>
            </w:r>
          </w:p>
        </w:tc>
      </w:tr>
      <w:tr>
        <w:trPr>
          <w:trHeight w:val="174"/>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1400" w:type="dxa"/>
            <w:vAlign w:val="bottom"/>
            <w:gridSpan w:val="2"/>
          </w:tcPr>
          <w:p>
            <w:pPr>
              <w:jc w:val="right"/>
              <w:ind w:right="108"/>
              <w:spacing w:after="0"/>
              <w:rPr>
                <w:sz w:val="20"/>
                <w:szCs w:val="20"/>
                <w:color w:val="auto"/>
              </w:rPr>
            </w:pPr>
            <w:r>
              <w:rPr>
                <w:rFonts w:ascii="Arial" w:cs="Arial" w:eastAsia="Arial" w:hAnsi="Arial"/>
                <w:sz w:val="14"/>
                <w:szCs w:val="14"/>
                <w:color w:val="auto"/>
              </w:rPr>
              <w:t>Balance</w:t>
            </w: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Interest</w:t>
            </w:r>
          </w:p>
        </w:tc>
        <w:tc>
          <w:tcPr>
            <w:tcW w:w="1120" w:type="dxa"/>
            <w:vAlign w:val="bottom"/>
          </w:tcPr>
          <w:p>
            <w:pPr>
              <w:jc w:val="right"/>
              <w:ind w:right="488"/>
              <w:spacing w:after="0"/>
              <w:rPr>
                <w:sz w:val="20"/>
                <w:szCs w:val="20"/>
                <w:color w:val="auto"/>
              </w:rPr>
            </w:pPr>
            <w:r>
              <w:rPr>
                <w:rFonts w:ascii="Arial" w:cs="Arial" w:eastAsia="Arial" w:hAnsi="Arial"/>
                <w:sz w:val="14"/>
                <w:szCs w:val="14"/>
                <w:color w:val="auto"/>
              </w:rPr>
              <w:t>Rate</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Balance</w:t>
            </w:r>
          </w:p>
        </w:tc>
        <w:tc>
          <w:tcPr>
            <w:tcW w:w="1100" w:type="dxa"/>
            <w:vAlign w:val="bottom"/>
          </w:tcPr>
          <w:p>
            <w:pPr>
              <w:jc w:val="right"/>
              <w:spacing w:after="0"/>
              <w:rPr>
                <w:sz w:val="20"/>
                <w:szCs w:val="20"/>
                <w:color w:val="auto"/>
              </w:rPr>
            </w:pPr>
            <w:r>
              <w:rPr>
                <w:rFonts w:ascii="Arial" w:cs="Arial" w:eastAsia="Arial" w:hAnsi="Arial"/>
                <w:sz w:val="14"/>
                <w:szCs w:val="14"/>
                <w:color w:val="auto"/>
              </w:rPr>
              <w:t>Interest</w:t>
            </w:r>
          </w:p>
        </w:tc>
        <w:tc>
          <w:tcPr>
            <w:tcW w:w="1440" w:type="dxa"/>
            <w:vAlign w:val="bottom"/>
          </w:tcPr>
          <w:p>
            <w:pPr>
              <w:jc w:val="right"/>
              <w:ind w:right="267"/>
              <w:spacing w:after="0"/>
              <w:rPr>
                <w:sz w:val="20"/>
                <w:szCs w:val="20"/>
                <w:color w:val="auto"/>
              </w:rPr>
            </w:pPr>
            <w:r>
              <w:rPr>
                <w:rFonts w:ascii="Arial" w:cs="Arial" w:eastAsia="Arial" w:hAnsi="Arial"/>
                <w:sz w:val="14"/>
                <w:szCs w:val="14"/>
                <w:color w:val="auto"/>
              </w:rPr>
              <w:t>Rate</w:t>
            </w:r>
          </w:p>
        </w:tc>
      </w:tr>
      <w:tr>
        <w:trPr>
          <w:trHeight w:val="149"/>
        </w:trPr>
        <w:tc>
          <w:tcPr>
            <w:tcW w:w="20" w:type="dxa"/>
            <w:vAlign w:val="bottom"/>
          </w:tcPr>
          <w:p>
            <w:pPr>
              <w:spacing w:after="0"/>
              <w:rPr>
                <w:sz w:val="12"/>
                <w:szCs w:val="12"/>
                <w:color w:val="auto"/>
              </w:rPr>
            </w:pPr>
          </w:p>
        </w:tc>
        <w:tc>
          <w:tcPr>
            <w:tcW w:w="38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Earning assets</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Commercial, financial, etc.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8"/>
              </w:rPr>
              <w:t>14,067</w:t>
            </w:r>
          </w:p>
        </w:tc>
        <w:tc>
          <w:tcPr>
            <w:tcW w:w="156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$131,886</w:t>
            </w:r>
          </w:p>
        </w:tc>
        <w:tc>
          <w:tcPr>
            <w:tcW w:w="112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3.76%</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14,031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129,222</w:t>
            </w:r>
          </w:p>
        </w:tc>
        <w:tc>
          <w:tcPr>
            <w:tcW w:w="1440" w:type="dxa"/>
            <w:vAlign w:val="bottom"/>
          </w:tcPr>
          <w:p>
            <w:pPr>
              <w:jc w:val="right"/>
              <w:ind w:right="147"/>
              <w:spacing w:after="0" w:line="149" w:lineRule="exact"/>
              <w:rPr>
                <w:sz w:val="20"/>
                <w:szCs w:val="20"/>
                <w:color w:val="auto"/>
              </w:rPr>
            </w:pPr>
            <w:r>
              <w:rPr>
                <w:rFonts w:ascii="Arial" w:cs="Arial" w:eastAsia="Arial" w:hAnsi="Arial"/>
                <w:sz w:val="14"/>
                <w:szCs w:val="14"/>
                <w:color w:val="auto"/>
              </w:rPr>
              <w:t>3.74%</w:t>
            </w: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 – commercial</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19,719</w:t>
            </w:r>
          </w:p>
        </w:tc>
        <w:tc>
          <w:tcPr>
            <w:tcW w:w="156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219,813</w:t>
            </w:r>
          </w:p>
        </w:tc>
        <w:tc>
          <w:tcPr>
            <w:tcW w:w="11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4.46</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18,795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206,967</w:t>
            </w:r>
          </w:p>
        </w:tc>
        <w:tc>
          <w:tcPr>
            <w:tcW w:w="14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4.40</w:t>
            </w: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Real estate – consumer</w:t>
            </w:r>
          </w:p>
        </w:tc>
        <w:tc>
          <w:tcPr>
            <w:tcW w:w="80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5,262</w:t>
            </w:r>
          </w:p>
        </w:tc>
        <w:tc>
          <w:tcPr>
            <w:tcW w:w="156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71,079</w:t>
            </w:r>
          </w:p>
        </w:tc>
        <w:tc>
          <w:tcPr>
            <w:tcW w:w="11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5.40</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5,033</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70,353</w:t>
            </w:r>
          </w:p>
        </w:tc>
        <w:tc>
          <w:tcPr>
            <w:tcW w:w="1440" w:type="dxa"/>
            <w:vAlign w:val="bottom"/>
          </w:tcPr>
          <w:p>
            <w:pPr>
              <w:jc w:val="right"/>
              <w:ind w:right="267"/>
              <w:spacing w:after="0" w:line="149" w:lineRule="exact"/>
              <w:rPr>
                <w:sz w:val="20"/>
                <w:szCs w:val="20"/>
                <w:color w:val="auto"/>
              </w:rPr>
            </w:pPr>
            <w:r>
              <w:rPr>
                <w:rFonts w:ascii="Arial" w:cs="Arial" w:eastAsia="Arial" w:hAnsi="Arial"/>
                <w:sz w:val="14"/>
                <w:szCs w:val="14"/>
                <w:color w:val="auto"/>
              </w:rPr>
              <w:t>5.59</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11,506</w:t>
            </w:r>
          </w:p>
        </w:tc>
        <w:tc>
          <w:tcPr>
            <w:tcW w:w="156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155,609</w:t>
            </w:r>
          </w:p>
        </w:tc>
        <w:tc>
          <w:tcPr>
            <w:tcW w:w="112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5.42</w:t>
            </w: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10,965</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151,968</w:t>
            </w:r>
          </w:p>
        </w:tc>
        <w:tc>
          <w:tcPr>
            <w:tcW w:w="1440" w:type="dxa"/>
            <w:vAlign w:val="bottom"/>
            <w:tcBorders>
              <w:bottom w:val="single" w:sz="8" w:color="auto"/>
            </w:tcBorders>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5.62</w:t>
            </w:r>
          </w:p>
        </w:tc>
      </w:tr>
      <w:tr>
        <w:trPr>
          <w:trHeight w:val="163"/>
        </w:trPr>
        <w:tc>
          <w:tcPr>
            <w:tcW w:w="20" w:type="dxa"/>
            <w:vAlign w:val="bottom"/>
          </w:tcPr>
          <w:p>
            <w:pPr>
              <w:spacing w:after="0"/>
              <w:rPr>
                <w:sz w:val="14"/>
                <w:szCs w:val="14"/>
                <w:color w:val="auto"/>
              </w:rPr>
            </w:pPr>
          </w:p>
        </w:tc>
        <w:tc>
          <w:tcPr>
            <w:tcW w:w="38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Total loans and leases, net</w:t>
            </w: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88"/>
              </w:rPr>
              <w:t>50,554</w:t>
            </w:r>
          </w:p>
        </w:tc>
        <w:tc>
          <w:tcPr>
            <w:tcW w:w="15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578,387</w:t>
            </w:r>
          </w:p>
        </w:tc>
        <w:tc>
          <w:tcPr>
            <w:tcW w:w="11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4.59</w:t>
            </w:r>
          </w:p>
        </w:tc>
        <w:tc>
          <w:tcPr>
            <w:tcW w:w="9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48,824</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558,510</w:t>
            </w:r>
          </w:p>
        </w:tc>
        <w:tc>
          <w:tcPr>
            <w:tcW w:w="1440" w:type="dxa"/>
            <w:vAlign w:val="bottom"/>
            <w:tcBorders>
              <w:bottom w:val="single" w:sz="8" w:color="auto"/>
            </w:tcBorders>
          </w:tcPr>
          <w:p>
            <w:pPr>
              <w:jc w:val="right"/>
              <w:ind w:right="267"/>
              <w:spacing w:after="0" w:line="155" w:lineRule="exact"/>
              <w:rPr>
                <w:sz w:val="20"/>
                <w:szCs w:val="20"/>
                <w:color w:val="auto"/>
              </w:rPr>
            </w:pPr>
            <w:r>
              <w:rPr>
                <w:rFonts w:ascii="Arial" w:cs="Arial" w:eastAsia="Arial" w:hAnsi="Arial"/>
                <w:sz w:val="14"/>
                <w:szCs w:val="14"/>
                <w:color w:val="auto"/>
              </w:rPr>
              <w:t>4.64</w:t>
            </w: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42</w:t>
            </w:r>
          </w:p>
        </w:tc>
        <w:tc>
          <w:tcPr>
            <w:tcW w:w="156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5</w:t>
            </w:r>
          </w:p>
        </w:tc>
        <w:tc>
          <w:tcPr>
            <w:tcW w:w="11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.05</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.16</w:t>
            </w: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Federal funds sold and agreements to resell securities</w:t>
            </w:r>
          </w:p>
        </w:tc>
        <w:tc>
          <w:tcPr>
            <w:tcW w:w="80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73</w:t>
            </w:r>
          </w:p>
        </w:tc>
        <w:tc>
          <w:tcPr>
            <w:tcW w:w="156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43</w:t>
            </w:r>
          </w:p>
        </w:tc>
        <w:tc>
          <w:tcPr>
            <w:tcW w:w="11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.23</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102</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440" w:type="dxa"/>
            <w:vAlign w:val="bottom"/>
          </w:tcPr>
          <w:p>
            <w:pPr>
              <w:jc w:val="right"/>
              <w:ind w:right="267"/>
              <w:spacing w:after="0" w:line="149" w:lineRule="exact"/>
              <w:rPr>
                <w:sz w:val="20"/>
                <w:szCs w:val="20"/>
                <w:color w:val="auto"/>
              </w:rPr>
            </w:pPr>
            <w:r>
              <w:rPr>
                <w:rFonts w:ascii="Arial" w:cs="Arial" w:eastAsia="Arial" w:hAnsi="Arial"/>
                <w:sz w:val="14"/>
                <w:szCs w:val="14"/>
                <w:color w:val="auto"/>
              </w:rPr>
              <w:t>.23</w:t>
            </w: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120</w:t>
            </w:r>
          </w:p>
        </w:tc>
        <w:tc>
          <w:tcPr>
            <w:tcW w:w="156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231</w:t>
            </w:r>
          </w:p>
        </w:tc>
        <w:tc>
          <w:tcPr>
            <w:tcW w:w="11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.77</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73</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14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.67</w:t>
            </w: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 Treasury and federal agencies</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3,806</w:t>
            </w:r>
          </w:p>
        </w:tc>
        <w:tc>
          <w:tcPr>
            <w:tcW w:w="156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46,353</w:t>
            </w:r>
          </w:p>
        </w:tc>
        <w:tc>
          <w:tcPr>
            <w:tcW w:w="11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4.88</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3,727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45,610</w:t>
            </w:r>
          </w:p>
        </w:tc>
        <w:tc>
          <w:tcPr>
            <w:tcW w:w="14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4.96</w:t>
            </w: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198</w:t>
            </w:r>
          </w:p>
        </w:tc>
        <w:tc>
          <w:tcPr>
            <w:tcW w:w="156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2,924</w:t>
            </w:r>
          </w:p>
        </w:tc>
        <w:tc>
          <w:tcPr>
            <w:tcW w:w="11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5.94</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136</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2,170</w:t>
            </w:r>
          </w:p>
        </w:tc>
        <w:tc>
          <w:tcPr>
            <w:tcW w:w="1440" w:type="dxa"/>
            <w:vAlign w:val="bottom"/>
          </w:tcPr>
          <w:p>
            <w:pPr>
              <w:jc w:val="right"/>
              <w:ind w:right="267"/>
              <w:spacing w:after="0" w:line="149" w:lineRule="exact"/>
              <w:rPr>
                <w:sz w:val="20"/>
                <w:szCs w:val="20"/>
                <w:color w:val="auto"/>
              </w:rPr>
            </w:pPr>
            <w:r>
              <w:rPr>
                <w:rFonts w:ascii="Arial" w:cs="Arial" w:eastAsia="Arial" w:hAnsi="Arial"/>
                <w:sz w:val="14"/>
                <w:szCs w:val="14"/>
                <w:color w:val="auto"/>
              </w:rPr>
              <w:t>6.47</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4,504</w:t>
            </w:r>
          </w:p>
        </w:tc>
        <w:tc>
          <w:tcPr>
            <w:tcW w:w="156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54,694</w:t>
            </w:r>
          </w:p>
        </w:tc>
        <w:tc>
          <w:tcPr>
            <w:tcW w:w="112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4.87</w:t>
            </w: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4,627</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52,966</w:t>
            </w:r>
          </w:p>
        </w:tc>
        <w:tc>
          <w:tcPr>
            <w:tcW w:w="1440" w:type="dxa"/>
            <w:vAlign w:val="bottom"/>
            <w:tcBorders>
              <w:bottom w:val="single" w:sz="8" w:color="auto"/>
            </w:tcBorders>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4.64</w:t>
            </w:r>
          </w:p>
        </w:tc>
      </w:tr>
      <w:tr>
        <w:trPr>
          <w:trHeight w:val="163"/>
        </w:trPr>
        <w:tc>
          <w:tcPr>
            <w:tcW w:w="20" w:type="dxa"/>
            <w:vAlign w:val="bottom"/>
          </w:tcPr>
          <w:p>
            <w:pPr>
              <w:spacing w:after="0"/>
              <w:rPr>
                <w:sz w:val="14"/>
                <w:szCs w:val="14"/>
                <w:color w:val="auto"/>
              </w:rPr>
            </w:pPr>
          </w:p>
        </w:tc>
        <w:tc>
          <w:tcPr>
            <w:tcW w:w="38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Total investment securities</w:t>
            </w: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8,508</w:t>
            </w:r>
          </w:p>
        </w:tc>
        <w:tc>
          <w:tcPr>
            <w:tcW w:w="15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103,971</w:t>
            </w:r>
          </w:p>
        </w:tc>
        <w:tc>
          <w:tcPr>
            <w:tcW w:w="11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4.90</w:t>
            </w:r>
          </w:p>
        </w:tc>
        <w:tc>
          <w:tcPr>
            <w:tcW w:w="9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8,490</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100,746</w:t>
            </w:r>
          </w:p>
        </w:tc>
        <w:tc>
          <w:tcPr>
            <w:tcW w:w="1440" w:type="dxa"/>
            <w:vAlign w:val="bottom"/>
            <w:tcBorders>
              <w:bottom w:val="single" w:sz="8" w:color="auto"/>
            </w:tcBorders>
          </w:tcPr>
          <w:p>
            <w:pPr>
              <w:jc w:val="right"/>
              <w:ind w:right="267"/>
              <w:spacing w:after="0" w:line="155" w:lineRule="exact"/>
              <w:rPr>
                <w:sz w:val="20"/>
                <w:szCs w:val="20"/>
                <w:color w:val="auto"/>
              </w:rPr>
            </w:pPr>
            <w:r>
              <w:rPr>
                <w:rFonts w:ascii="Arial" w:cs="Arial" w:eastAsia="Arial" w:hAnsi="Arial"/>
                <w:sz w:val="14"/>
                <w:szCs w:val="14"/>
                <w:color w:val="auto"/>
              </w:rPr>
              <w:t>4.81</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Total earning assets</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59,297</w:t>
            </w:r>
          </w:p>
        </w:tc>
        <w:tc>
          <w:tcPr>
            <w:tcW w:w="156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682,637</w:t>
            </w:r>
          </w:p>
        </w:tc>
        <w:tc>
          <w:tcPr>
            <w:tcW w:w="112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4.62</w:t>
            </w: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57,509</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659,445</w:t>
            </w:r>
          </w:p>
        </w:tc>
        <w:tc>
          <w:tcPr>
            <w:tcW w:w="1440" w:type="dxa"/>
            <w:vAlign w:val="bottom"/>
            <w:tcBorders>
              <w:bottom w:val="single" w:sz="8" w:color="auto"/>
            </w:tcBorders>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4.65</w:t>
            </w:r>
          </w:p>
        </w:tc>
      </w:tr>
      <w:tr>
        <w:trPr>
          <w:trHeight w:val="156"/>
        </w:trPr>
        <w:tc>
          <w:tcPr>
            <w:tcW w:w="20" w:type="dxa"/>
            <w:vAlign w:val="bottom"/>
          </w:tcPr>
          <w:p>
            <w:pPr>
              <w:spacing w:after="0"/>
              <w:rPr>
                <w:sz w:val="13"/>
                <w:szCs w:val="13"/>
                <w:color w:val="auto"/>
              </w:rPr>
            </w:pPr>
          </w:p>
        </w:tc>
        <w:tc>
          <w:tcPr>
            <w:tcW w:w="3800" w:type="dxa"/>
            <w:vAlign w:val="bottom"/>
          </w:tcPr>
          <w:p>
            <w:pPr>
              <w:spacing w:after="0" w:line="155" w:lineRule="exact"/>
              <w:rPr>
                <w:sz w:val="20"/>
                <w:szCs w:val="20"/>
                <w:color w:val="auto"/>
              </w:rPr>
            </w:pPr>
            <w:r>
              <w:rPr>
                <w:rFonts w:ascii="Arial" w:cs="Arial" w:eastAsia="Arial" w:hAnsi="Arial"/>
                <w:sz w:val="14"/>
                <w:szCs w:val="14"/>
                <w:color w:val="auto"/>
              </w:rPr>
              <w:t>Allowance for credit losses</w:t>
            </w:r>
          </w:p>
        </w:tc>
        <w:tc>
          <w:tcPr>
            <w:tcW w:w="800" w:type="dxa"/>
            <w:vAlign w:val="bottom"/>
          </w:tcPr>
          <w:p>
            <w:pPr>
              <w:spacing w:after="0"/>
              <w:rPr>
                <w:sz w:val="13"/>
                <w:szCs w:val="13"/>
                <w:color w:val="auto"/>
              </w:rPr>
            </w:pPr>
          </w:p>
        </w:tc>
        <w:tc>
          <w:tcPr>
            <w:tcW w:w="6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(867)</w:t>
            </w: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(815)</w:t>
            </w:r>
          </w:p>
        </w:tc>
        <w:tc>
          <w:tcPr>
            <w:tcW w:w="1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1,077</w:t>
            </w: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1,086</w:t>
            </w:r>
          </w:p>
        </w:tc>
        <w:tc>
          <w:tcPr>
            <w:tcW w:w="1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assets</w:t>
            </w: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7,477</w:t>
            </w:r>
          </w:p>
        </w:tc>
        <w:tc>
          <w:tcPr>
            <w:tcW w:w="1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6,986</w:t>
            </w:r>
          </w:p>
        </w:tc>
        <w:tc>
          <w:tcPr>
            <w:tcW w:w="1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assets</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66,984</w:t>
            </w:r>
          </w:p>
        </w:tc>
        <w:tc>
          <w:tcPr>
            <w:tcW w:w="15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64,766</w:t>
            </w:r>
          </w:p>
        </w:tc>
        <w:tc>
          <w:tcPr>
            <w:tcW w:w="11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r>
      <w:tr>
        <w:trPr>
          <w:trHeight w:val="20"/>
        </w:trPr>
        <w:tc>
          <w:tcPr>
            <w:tcW w:w="3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Interest-bearing deposits</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NOW accounts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515</w:t>
            </w:r>
          </w:p>
        </w:tc>
        <w:tc>
          <w:tcPr>
            <w:tcW w:w="156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246</w:t>
            </w:r>
          </w:p>
        </w:tc>
        <w:tc>
          <w:tcPr>
            <w:tcW w:w="11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.19</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536</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4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.25</w:t>
            </w:r>
          </w:p>
        </w:tc>
      </w:tr>
      <w:tr>
        <w:trPr>
          <w:trHeight w:val="149"/>
        </w:trPr>
        <w:tc>
          <w:tcPr>
            <w:tcW w:w="20" w:type="dxa"/>
            <w:vAlign w:val="bottom"/>
          </w:tcPr>
          <w:p>
            <w:pPr>
              <w:spacing w:after="0"/>
              <w:rPr>
                <w:sz w:val="12"/>
                <w:szCs w:val="12"/>
                <w:color w:val="auto"/>
              </w:rPr>
            </w:pPr>
          </w:p>
        </w:tc>
        <w:tc>
          <w:tcPr>
            <w:tcW w:w="3800" w:type="dxa"/>
            <w:vAlign w:val="bottom"/>
          </w:tcPr>
          <w:p>
            <w:pPr>
              <w:ind w:left="200"/>
              <w:spacing w:after="0" w:line="149" w:lineRule="exact"/>
              <w:rPr>
                <w:sz w:val="20"/>
                <w:szCs w:val="20"/>
                <w:color w:val="auto"/>
              </w:rPr>
            </w:pPr>
            <w:r>
              <w:rPr>
                <w:rFonts w:ascii="Arial" w:cs="Arial" w:eastAsia="Arial" w:hAnsi="Arial"/>
                <w:sz w:val="14"/>
                <w:szCs w:val="14"/>
                <w:color w:val="auto"/>
              </w:rPr>
              <w:t>Savings deposits</w:t>
            </w:r>
          </w:p>
        </w:tc>
        <w:tc>
          <w:tcPr>
            <w:tcW w:w="800" w:type="dxa"/>
            <w:vAlign w:val="bottom"/>
          </w:tcPr>
          <w:p>
            <w:pPr>
              <w:spacing w:after="0"/>
              <w:rPr>
                <w:sz w:val="12"/>
                <w:szCs w:val="12"/>
                <w:color w:val="auto"/>
              </w:rPr>
            </w:pPr>
          </w:p>
        </w:tc>
        <w:tc>
          <w:tcPr>
            <w:tcW w:w="60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8"/>
              </w:rPr>
              <w:t>22,480</w:t>
            </w:r>
          </w:p>
        </w:tc>
        <w:tc>
          <w:tcPr>
            <w:tcW w:w="1560" w:type="dxa"/>
            <w:vAlign w:val="bottom"/>
          </w:tcPr>
          <w:p>
            <w:pPr>
              <w:jc w:val="right"/>
              <w:ind w:right="468"/>
              <w:spacing w:after="0" w:line="149" w:lineRule="exact"/>
              <w:rPr>
                <w:sz w:val="20"/>
                <w:szCs w:val="20"/>
                <w:color w:val="auto"/>
              </w:rPr>
            </w:pPr>
            <w:r>
              <w:rPr>
                <w:rFonts w:ascii="Arial" w:cs="Arial" w:eastAsia="Arial" w:hAnsi="Arial"/>
                <w:sz w:val="14"/>
                <w:szCs w:val="14"/>
                <w:color w:val="auto"/>
              </w:rPr>
              <w:t>26,362</w:t>
            </w:r>
          </w:p>
        </w:tc>
        <w:tc>
          <w:tcPr>
            <w:tcW w:w="112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.47</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21,203</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41,922</w:t>
            </w:r>
          </w:p>
        </w:tc>
        <w:tc>
          <w:tcPr>
            <w:tcW w:w="1440" w:type="dxa"/>
            <w:vAlign w:val="bottom"/>
          </w:tcPr>
          <w:p>
            <w:pPr>
              <w:jc w:val="right"/>
              <w:ind w:right="267"/>
              <w:spacing w:after="0" w:line="149" w:lineRule="exact"/>
              <w:rPr>
                <w:sz w:val="20"/>
                <w:szCs w:val="20"/>
                <w:color w:val="auto"/>
              </w:rPr>
            </w:pPr>
            <w:r>
              <w:rPr>
                <w:rFonts w:ascii="Arial" w:cs="Arial" w:eastAsia="Arial" w:hAnsi="Arial"/>
                <w:sz w:val="14"/>
                <w:szCs w:val="14"/>
                <w:color w:val="auto"/>
              </w:rPr>
              <w:t>.80</w:t>
            </w: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Time deposits</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8,858</w:t>
            </w:r>
          </w:p>
        </w:tc>
        <w:tc>
          <w:tcPr>
            <w:tcW w:w="156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55,697</w:t>
            </w:r>
          </w:p>
        </w:tc>
        <w:tc>
          <w:tcPr>
            <w:tcW w:w="1120" w:type="dxa"/>
            <w:vAlign w:val="bottom"/>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2.52</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8,720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60,329</w:t>
            </w:r>
          </w:p>
        </w:tc>
        <w:tc>
          <w:tcPr>
            <w:tcW w:w="1440" w:type="dxa"/>
            <w:vAlign w:val="bottom"/>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2.81</w:t>
            </w:r>
          </w:p>
        </w:tc>
      </w:tr>
      <w:tr>
        <w:trPr>
          <w:trHeight w:val="156"/>
        </w:trPr>
        <w:tc>
          <w:tcPr>
            <w:tcW w:w="20" w:type="dxa"/>
            <w:vAlign w:val="bottom"/>
          </w:tcPr>
          <w:p>
            <w:pPr>
              <w:spacing w:after="0"/>
              <w:rPr>
                <w:sz w:val="13"/>
                <w:szCs w:val="13"/>
                <w:color w:val="auto"/>
              </w:rPr>
            </w:pPr>
          </w:p>
        </w:tc>
        <w:tc>
          <w:tcPr>
            <w:tcW w:w="38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Deposits at foreign office</w:t>
            </w: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1,460</w:t>
            </w:r>
          </w:p>
        </w:tc>
        <w:tc>
          <w:tcPr>
            <w:tcW w:w="156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color w:val="auto"/>
              </w:rPr>
              <w:t>576</w:t>
            </w:r>
          </w:p>
        </w:tc>
        <w:tc>
          <w:tcPr>
            <w:tcW w:w="1120" w:type="dxa"/>
            <w:vAlign w:val="bottom"/>
            <w:tcBorders>
              <w:bottom w:val="single" w:sz="8" w:color="auto"/>
            </w:tcBorders>
          </w:tcPr>
          <w:p>
            <w:pPr>
              <w:jc w:val="right"/>
              <w:ind w:right="488"/>
              <w:spacing w:after="0" w:line="149" w:lineRule="exact"/>
              <w:rPr>
                <w:sz w:val="20"/>
                <w:szCs w:val="20"/>
                <w:color w:val="auto"/>
              </w:rPr>
            </w:pPr>
            <w:r>
              <w:rPr>
                <w:rFonts w:ascii="Arial" w:cs="Arial" w:eastAsia="Arial" w:hAnsi="Arial"/>
                <w:sz w:val="14"/>
                <w:szCs w:val="14"/>
                <w:color w:val="auto"/>
              </w:rPr>
              <w:t>.16</w:t>
            </w:r>
          </w:p>
        </w:tc>
        <w:tc>
          <w:tcPr>
            <w:tcW w:w="98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2,473</w:t>
            </w: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981</w:t>
            </w:r>
          </w:p>
        </w:tc>
        <w:tc>
          <w:tcPr>
            <w:tcW w:w="1440" w:type="dxa"/>
            <w:vAlign w:val="bottom"/>
            <w:tcBorders>
              <w:bottom w:val="single" w:sz="8" w:color="auto"/>
            </w:tcBorders>
          </w:tcPr>
          <w:p>
            <w:pPr>
              <w:jc w:val="right"/>
              <w:ind w:right="267"/>
              <w:spacing w:after="0" w:line="149" w:lineRule="exact"/>
              <w:rPr>
                <w:sz w:val="20"/>
                <w:szCs w:val="20"/>
                <w:color w:val="auto"/>
              </w:rPr>
            </w:pPr>
            <w:r>
              <w:rPr>
                <w:rFonts w:ascii="Arial" w:cs="Arial" w:eastAsia="Arial" w:hAnsi="Arial"/>
                <w:sz w:val="14"/>
                <w:szCs w:val="14"/>
                <w:color w:val="auto"/>
              </w:rPr>
              <w:t>.16</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interest-bearing deposits</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33,313</w:t>
            </w:r>
          </w:p>
        </w:tc>
        <w:tc>
          <w:tcPr>
            <w:tcW w:w="156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82,881</w:t>
            </w:r>
          </w:p>
        </w:tc>
        <w:tc>
          <w:tcPr>
            <w:tcW w:w="112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1.00</w:t>
            </w: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32,932</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103,559</w:t>
            </w:r>
          </w:p>
        </w:tc>
        <w:tc>
          <w:tcPr>
            <w:tcW w:w="1440" w:type="dxa"/>
            <w:vAlign w:val="bottom"/>
            <w:tcBorders>
              <w:bottom w:val="single" w:sz="8" w:color="auto"/>
            </w:tcBorders>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1.28</w:t>
            </w:r>
          </w:p>
        </w:tc>
      </w:tr>
      <w:tr>
        <w:trPr>
          <w:trHeight w:val="156"/>
        </w:trPr>
        <w:tc>
          <w:tcPr>
            <w:tcW w:w="20" w:type="dxa"/>
            <w:vAlign w:val="bottom"/>
          </w:tcPr>
          <w:p>
            <w:pPr>
              <w:spacing w:after="0"/>
              <w:rPr>
                <w:sz w:val="13"/>
                <w:szCs w:val="13"/>
                <w:color w:val="auto"/>
              </w:rPr>
            </w:pPr>
          </w:p>
        </w:tc>
        <w:tc>
          <w:tcPr>
            <w:tcW w:w="3800" w:type="dxa"/>
            <w:vAlign w:val="bottom"/>
          </w:tcPr>
          <w:p>
            <w:pPr>
              <w:spacing w:after="0" w:line="155" w:lineRule="exact"/>
              <w:rPr>
                <w:sz w:val="20"/>
                <w:szCs w:val="20"/>
                <w:color w:val="auto"/>
              </w:rPr>
            </w:pPr>
            <w:r>
              <w:rPr>
                <w:rFonts w:ascii="Arial" w:cs="Arial" w:eastAsia="Arial" w:hAnsi="Arial"/>
                <w:sz w:val="14"/>
                <w:szCs w:val="14"/>
                <w:color w:val="auto"/>
              </w:rPr>
              <w:t>Short-term borrowings</w:t>
            </w:r>
          </w:p>
        </w:tc>
        <w:tc>
          <w:tcPr>
            <w:tcW w:w="800" w:type="dxa"/>
            <w:vAlign w:val="bottom"/>
          </w:tcPr>
          <w:p>
            <w:pPr>
              <w:spacing w:after="0"/>
              <w:rPr>
                <w:sz w:val="13"/>
                <w:szCs w:val="13"/>
                <w:color w:val="auto"/>
              </w:rPr>
            </w:pPr>
          </w:p>
        </w:tc>
        <w:tc>
          <w:tcPr>
            <w:tcW w:w="60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3,211</w:t>
            </w:r>
          </w:p>
        </w:tc>
        <w:tc>
          <w:tcPr>
            <w:tcW w:w="1560" w:type="dxa"/>
            <w:vAlign w:val="bottom"/>
          </w:tcPr>
          <w:p>
            <w:pPr>
              <w:jc w:val="right"/>
              <w:ind w:right="468"/>
              <w:spacing w:after="0" w:line="155" w:lineRule="exact"/>
              <w:rPr>
                <w:sz w:val="20"/>
                <w:szCs w:val="20"/>
                <w:color w:val="auto"/>
              </w:rPr>
            </w:pPr>
            <w:r>
              <w:rPr>
                <w:rFonts w:ascii="Arial" w:cs="Arial" w:eastAsia="Arial" w:hAnsi="Arial"/>
                <w:sz w:val="14"/>
                <w:szCs w:val="14"/>
                <w:color w:val="auto"/>
              </w:rPr>
              <w:t>2,015</w:t>
            </w:r>
          </w:p>
        </w:tc>
        <w:tc>
          <w:tcPr>
            <w:tcW w:w="112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.25</w:t>
            </w:r>
          </w:p>
        </w:tc>
        <w:tc>
          <w:tcPr>
            <w:tcW w:w="980" w:type="dxa"/>
            <w:vAlign w:val="bottom"/>
          </w:tcPr>
          <w:p>
            <w:pPr>
              <w:jc w:val="right"/>
              <w:ind w:right="188"/>
              <w:spacing w:after="0" w:line="155" w:lineRule="exact"/>
              <w:rPr>
                <w:sz w:val="20"/>
                <w:szCs w:val="20"/>
                <w:color w:val="auto"/>
              </w:rPr>
            </w:pPr>
            <w:r>
              <w:rPr>
                <w:rFonts w:ascii="Arial" w:cs="Arial" w:eastAsia="Arial" w:hAnsi="Arial"/>
                <w:sz w:val="14"/>
                <w:szCs w:val="14"/>
                <w:color w:val="auto"/>
              </w:rPr>
              <w:t>3,477</w:t>
            </w: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2,348</w:t>
            </w:r>
          </w:p>
        </w:tc>
        <w:tc>
          <w:tcPr>
            <w:tcW w:w="1440" w:type="dxa"/>
            <w:vAlign w:val="bottom"/>
          </w:tcPr>
          <w:p>
            <w:pPr>
              <w:jc w:val="right"/>
              <w:ind w:right="267"/>
              <w:spacing w:after="0" w:line="155" w:lineRule="exact"/>
              <w:rPr>
                <w:sz w:val="20"/>
                <w:szCs w:val="20"/>
                <w:color w:val="auto"/>
              </w:rPr>
            </w:pPr>
            <w:r>
              <w:rPr>
                <w:rFonts w:ascii="Arial" w:cs="Arial" w:eastAsia="Arial" w:hAnsi="Arial"/>
                <w:sz w:val="14"/>
                <w:szCs w:val="14"/>
                <w:color w:val="auto"/>
              </w:rPr>
              <w:t>.27</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11,482</w:t>
            </w:r>
          </w:p>
        </w:tc>
        <w:tc>
          <w:tcPr>
            <w:tcW w:w="1560" w:type="dxa"/>
            <w:vAlign w:val="bottom"/>
            <w:tcBorders>
              <w:bottom w:val="single" w:sz="8" w:color="auto"/>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90,960</w:t>
            </w:r>
          </w:p>
        </w:tc>
        <w:tc>
          <w:tcPr>
            <w:tcW w:w="112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3.18</w:t>
            </w: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11,643</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100,798</w:t>
            </w:r>
          </w:p>
        </w:tc>
        <w:tc>
          <w:tcPr>
            <w:tcW w:w="1440" w:type="dxa"/>
            <w:vAlign w:val="bottom"/>
            <w:tcBorders>
              <w:bottom w:val="single" w:sz="8" w:color="auto"/>
            </w:tcBorders>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3.51</w:t>
            </w:r>
          </w:p>
        </w:tc>
      </w:tr>
      <w:tr>
        <w:trPr>
          <w:trHeight w:val="163"/>
        </w:trPr>
        <w:tc>
          <w:tcPr>
            <w:tcW w:w="20" w:type="dxa"/>
            <w:vAlign w:val="bottom"/>
          </w:tcPr>
          <w:p>
            <w:pPr>
              <w:spacing w:after="0"/>
              <w:rPr>
                <w:sz w:val="14"/>
                <w:szCs w:val="14"/>
                <w:color w:val="auto"/>
              </w:rPr>
            </w:pPr>
          </w:p>
        </w:tc>
        <w:tc>
          <w:tcPr>
            <w:tcW w:w="38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88"/>
              </w:rPr>
              <w:t>48,006</w:t>
            </w:r>
          </w:p>
        </w:tc>
        <w:tc>
          <w:tcPr>
            <w:tcW w:w="15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175,856</w:t>
            </w:r>
          </w:p>
        </w:tc>
        <w:tc>
          <w:tcPr>
            <w:tcW w:w="11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1.47</w:t>
            </w:r>
          </w:p>
        </w:tc>
        <w:tc>
          <w:tcPr>
            <w:tcW w:w="9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48,052</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206,705</w:t>
            </w:r>
          </w:p>
        </w:tc>
        <w:tc>
          <w:tcPr>
            <w:tcW w:w="1440" w:type="dxa"/>
            <w:vAlign w:val="bottom"/>
            <w:tcBorders>
              <w:bottom w:val="single" w:sz="8" w:color="auto"/>
            </w:tcBorders>
          </w:tcPr>
          <w:p>
            <w:pPr>
              <w:jc w:val="right"/>
              <w:ind w:right="267"/>
              <w:spacing w:after="0" w:line="155" w:lineRule="exact"/>
              <w:rPr>
                <w:sz w:val="20"/>
                <w:szCs w:val="20"/>
                <w:color w:val="auto"/>
              </w:rPr>
            </w:pPr>
            <w:r>
              <w:rPr>
                <w:rFonts w:ascii="Arial" w:cs="Arial" w:eastAsia="Arial" w:hAnsi="Arial"/>
                <w:sz w:val="14"/>
                <w:szCs w:val="14"/>
                <w:color w:val="auto"/>
              </w:rPr>
              <w:t>1.74</w:t>
            </w: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10,533</w:t>
            </w: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8,555</w:t>
            </w:r>
          </w:p>
        </w:tc>
        <w:tc>
          <w:tcPr>
            <w:tcW w:w="1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color w:val="auto"/>
              </w:rPr>
              <w:t>1,318</w:t>
            </w:r>
          </w:p>
        </w:tc>
        <w:tc>
          <w:tcPr>
            <w:tcW w:w="1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rPr>
              <w:t>1,379</w:t>
            </w:r>
          </w:p>
        </w:tc>
        <w:tc>
          <w:tcPr>
            <w:tcW w:w="1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liabilities</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59,857</w:t>
            </w:r>
          </w:p>
        </w:tc>
        <w:tc>
          <w:tcPr>
            <w:tcW w:w="15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57,986</w:t>
            </w:r>
          </w:p>
        </w:tc>
        <w:tc>
          <w:tcPr>
            <w:tcW w:w="11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Stockholders’ equity</w:t>
            </w: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7,127</w:t>
            </w:r>
          </w:p>
        </w:tc>
        <w:tc>
          <w:tcPr>
            <w:tcW w:w="1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6,780</w:t>
            </w:r>
          </w:p>
        </w:tc>
        <w:tc>
          <w:tcPr>
            <w:tcW w:w="1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8"/>
              </w:rPr>
              <w:t>66,984</w:t>
            </w:r>
          </w:p>
        </w:tc>
        <w:tc>
          <w:tcPr>
            <w:tcW w:w="15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64,766</w:t>
            </w:r>
          </w:p>
        </w:tc>
        <w:tc>
          <w:tcPr>
            <w:tcW w:w="11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r>
      <w:tr>
        <w:trPr>
          <w:trHeight w:val="20"/>
        </w:trPr>
        <w:tc>
          <w:tcPr>
            <w:tcW w:w="3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8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Net interest spread</w:t>
            </w:r>
          </w:p>
        </w:tc>
        <w:tc>
          <w:tcPr>
            <w:tcW w:w="8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88"/>
              <w:spacing w:after="0" w:line="143" w:lineRule="exact"/>
              <w:rPr>
                <w:sz w:val="20"/>
                <w:szCs w:val="20"/>
                <w:color w:val="auto"/>
              </w:rPr>
            </w:pPr>
            <w:r>
              <w:rPr>
                <w:rFonts w:ascii="Arial" w:cs="Arial" w:eastAsia="Arial" w:hAnsi="Arial"/>
                <w:sz w:val="14"/>
                <w:szCs w:val="14"/>
                <w:color w:val="auto"/>
              </w:rPr>
              <w:t>3.15</w:t>
            </w:r>
          </w:p>
        </w:tc>
        <w:tc>
          <w:tcPr>
            <w:tcW w:w="9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267"/>
              <w:spacing w:after="0" w:line="143" w:lineRule="exact"/>
              <w:rPr>
                <w:sz w:val="20"/>
                <w:szCs w:val="20"/>
                <w:color w:val="auto"/>
              </w:rPr>
            </w:pPr>
            <w:r>
              <w:rPr>
                <w:rFonts w:ascii="Arial" w:cs="Arial" w:eastAsia="Arial" w:hAnsi="Arial"/>
                <w:sz w:val="14"/>
                <w:szCs w:val="14"/>
                <w:color w:val="auto"/>
              </w:rPr>
              <w:t>2.91</w:t>
            </w:r>
          </w:p>
        </w:tc>
      </w:tr>
      <w:tr>
        <w:trPr>
          <w:trHeight w:val="149"/>
        </w:trPr>
        <w:tc>
          <w:tcPr>
            <w:tcW w:w="20" w:type="dxa"/>
            <w:vAlign w:val="bottom"/>
          </w:tcPr>
          <w:p>
            <w:pPr>
              <w:spacing w:after="0"/>
              <w:rPr>
                <w:sz w:val="12"/>
                <w:szCs w:val="12"/>
                <w:color w:val="auto"/>
              </w:rPr>
            </w:pPr>
          </w:p>
        </w:tc>
        <w:tc>
          <w:tcPr>
            <w:tcW w:w="38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8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.28</w:t>
            </w:r>
          </w:p>
        </w:tc>
        <w:tc>
          <w:tcPr>
            <w:tcW w:w="9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267"/>
              <w:spacing w:after="0" w:line="149" w:lineRule="exact"/>
              <w:rPr>
                <w:sz w:val="20"/>
                <w:szCs w:val="20"/>
                <w:color w:val="auto"/>
              </w:rPr>
            </w:pPr>
            <w:r>
              <w:rPr>
                <w:rFonts w:ascii="Arial" w:cs="Arial" w:eastAsia="Arial" w:hAnsi="Arial"/>
                <w:sz w:val="14"/>
                <w:szCs w:val="14"/>
                <w:color w:val="auto"/>
              </w:rPr>
              <w:t>.28</w:t>
            </w:r>
          </w:p>
        </w:tc>
      </w:tr>
      <w:tr>
        <w:trPr>
          <w:trHeight w:val="156"/>
        </w:trPr>
        <w:tc>
          <w:tcPr>
            <w:tcW w:w="2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interest income/margin on earning assets</w:t>
            </w:r>
          </w:p>
        </w:tc>
        <w:tc>
          <w:tcPr>
            <w:tcW w:w="8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$506,781</w:t>
            </w:r>
          </w:p>
        </w:tc>
        <w:tc>
          <w:tcPr>
            <w:tcW w:w="11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3.43%</w:t>
            </w:r>
          </w:p>
        </w:tc>
        <w:tc>
          <w:tcPr>
            <w:tcW w:w="9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452,740</w:t>
            </w:r>
          </w:p>
        </w:tc>
        <w:tc>
          <w:tcPr>
            <w:tcW w:w="144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color w:val="auto"/>
              </w:rPr>
              <w:t>3.19%</w:t>
            </w:r>
          </w:p>
        </w:tc>
      </w:tr>
      <w:tr>
        <w:trPr>
          <w:trHeight w:val="20"/>
        </w:trPr>
        <w:tc>
          <w:tcPr>
            <w:tcW w:w="20" w:type="dxa"/>
            <w:vAlign w:val="bottom"/>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40" w:firstLine="233"/>
        <w:spacing w:after="0" w:line="312" w:lineRule="auto"/>
        <w:tabs>
          <w:tab w:leader="none" w:pos="47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2010.</w:t>
      </w:r>
    </w:p>
    <w:p>
      <w:pPr>
        <w:spacing w:after="0" w:line="38" w:lineRule="exact"/>
        <w:rPr>
          <w:rFonts w:ascii="Arial" w:cs="Arial" w:eastAsia="Arial" w:hAnsi="Arial"/>
          <w:sz w:val="16"/>
          <w:szCs w:val="16"/>
          <w:color w:val="auto"/>
        </w:rPr>
      </w:pPr>
    </w:p>
    <w:p>
      <w:pPr>
        <w:ind w:firstLine="233"/>
        <w:spacing w:after="0" w:line="279"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2010 that have materially affected, or are reasonably likely to materially affect, M&amp;T’s internal control over financial reporting.</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2009.</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480" w:hanging="247"/>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24"/>
        </w:numPr>
        <w:rPr>
          <w:rFonts w:ascii="Arial" w:cs="Arial" w:eastAsia="Arial" w:hAnsi="Arial"/>
          <w:sz w:val="18"/>
          <w:szCs w:val="18"/>
          <w:color w:val="auto"/>
        </w:rPr>
      </w:pP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Issuer Purchases of Equity Securities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30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 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(c) Total</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(or Units)</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 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Number</w:t>
            </w: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(b) 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0"/>
              </w:rPr>
              <w:t>of Shares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0"/>
              </w:rPr>
              <w:t>Price Paid</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(or Units)</w:t>
            </w: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87"/>
              </w:rPr>
              <w:t>per Share</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Plans or</w:t>
            </w:r>
          </w:p>
        </w:tc>
        <w:tc>
          <w:tcPr>
            <w:tcW w:w="6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74"/>
        </w:trPr>
        <w:tc>
          <w:tcPr>
            <w:tcW w:w="43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460" w:type="dxa"/>
            <w:vAlign w:val="bottom"/>
            <w:gridSpan w:val="3"/>
          </w:tcPr>
          <w:p>
            <w:pPr>
              <w:jc w:val="center"/>
              <w:ind w:left="1254"/>
              <w:spacing w:after="0"/>
              <w:rPr>
                <w:sz w:val="20"/>
                <w:szCs w:val="20"/>
                <w:color w:val="auto"/>
              </w:rPr>
            </w:pPr>
            <w:r>
              <w:rPr>
                <w:rFonts w:ascii="Arial" w:cs="Arial" w:eastAsia="Arial" w:hAnsi="Arial"/>
                <w:sz w:val="14"/>
                <w:szCs w:val="14"/>
                <w:color w:val="auto"/>
                <w:w w:val="90"/>
              </w:rPr>
              <w:t>Purchased (1)</w:t>
            </w: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8"/>
              </w:rPr>
              <w:t>(or Unit)</w:t>
            </w: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66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2010</w:t>
            </w:r>
          </w:p>
        </w:tc>
        <w:tc>
          <w:tcPr>
            <w:tcW w:w="2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February 1 – February 28, 2010</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78.20</w:t>
            </w:r>
          </w:p>
        </w:tc>
        <w:tc>
          <w:tcPr>
            <w:tcW w:w="68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2,181,500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2010</w:t>
            </w:r>
          </w:p>
        </w:tc>
        <w:tc>
          <w:tcPr>
            <w:tcW w:w="20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6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26,993</w:t>
            </w:r>
          </w:p>
        </w:tc>
        <w:tc>
          <w:tcPr>
            <w:tcW w:w="660" w:type="dxa"/>
            <w:vAlign w:val="bottom"/>
          </w:tcPr>
          <w:p>
            <w:pPr>
              <w:spacing w:after="0" w:line="20" w:lineRule="exact"/>
              <w:rPr>
                <w:sz w:val="1"/>
                <w:szCs w:val="1"/>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73.65</w:t>
            </w:r>
          </w:p>
        </w:tc>
        <w:tc>
          <w:tcPr>
            <w:tcW w:w="680" w:type="dxa"/>
            <w:vAlign w:val="bottom"/>
          </w:tcPr>
          <w:p>
            <w:pPr>
              <w:spacing w:after="0" w:line="20" w:lineRule="exact"/>
              <w:rPr>
                <w:sz w:val="1"/>
                <w:szCs w:val="1"/>
                <w:color w:val="auto"/>
              </w:rPr>
            </w:pPr>
          </w:p>
        </w:tc>
        <w:tc>
          <w:tcPr>
            <w:tcW w:w="660" w:type="dxa"/>
            <w:vAlign w:val="bottom"/>
            <w:vMerge w:val="restart"/>
          </w:tcPr>
          <w:p>
            <w:pPr>
              <w:ind w:left="48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gridSpan w:val="2"/>
            <w:vMerge w:val="continue"/>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31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ind w:left="460" w:right="42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February 22, 2007, M&amp;T announced a program to purchase up to 5,000,000 shares of its common stock. No shares were purchased under such program during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0" w:lineRule="exact"/>
        <w:rPr>
          <w:sz w:val="20"/>
          <w:szCs w:val="20"/>
          <w:color w:val="auto"/>
        </w:rPr>
      </w:pPr>
    </w:p>
    <w:p>
      <w:pPr>
        <w:jc w:val="center"/>
        <w:ind w:right="10840"/>
        <w:spacing w:after="0"/>
        <w:rPr>
          <w:sz w:val="20"/>
          <w:szCs w:val="20"/>
          <w:color w:val="auto"/>
        </w:rPr>
      </w:pPr>
      <w:r>
        <w:rPr>
          <w:rFonts w:ascii="Arial" w:cs="Arial" w:eastAsia="Arial" w:hAnsi="Arial"/>
          <w:sz w:val="14"/>
          <w:szCs w:val="14"/>
          <w:color w:val="auto"/>
        </w:rPr>
        <w:t>Exhibit</w:t>
      </w:r>
    </w:p>
    <w:p>
      <w:pPr>
        <w:jc w:val="center"/>
        <w:ind w:right="108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00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14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09"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jc w:val="center"/>
        <w:ind w:right="460"/>
        <w:spacing w:after="0" w:line="481" w:lineRule="auto"/>
        <w:rPr>
          <w:sz w:val="20"/>
          <w:szCs w:val="20"/>
          <w:color w:val="auto"/>
        </w:rPr>
      </w:pPr>
      <w:r>
        <w:rPr>
          <w:rFonts w:ascii="Arial" w:cs="Arial" w:eastAsia="Arial" w:hAnsi="Arial"/>
          <w:sz w:val="18"/>
          <w:szCs w:val="18"/>
          <w:color w:val="auto"/>
        </w:rPr>
        <w:t>32.2    Certification of Chief Financial Officer under 18 U.S.C. §1350 pursuant to Section 906 of the Sarbanes-Oxley Act of 2002. Filed herewith. - 83 -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M&amp;T BANK CORPORATION</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May 6, 2010</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René F. Jones</w:t>
            </w: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Executive Vice President and Chief Financial Officer</w:t>
            </w:r>
          </w:p>
        </w:tc>
      </w:tr>
    </w:tbl>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20" w:lineRule="exact"/>
        <w:rPr>
          <w:sz w:val="20"/>
          <w:szCs w:val="20"/>
          <w:color w:val="auto"/>
        </w:rPr>
      </w:pPr>
    </w:p>
    <w:p>
      <w:pPr>
        <w:jc w:val="center"/>
        <w:ind w:right="10640"/>
        <w:spacing w:after="0"/>
        <w:rPr>
          <w:sz w:val="20"/>
          <w:szCs w:val="20"/>
          <w:color w:val="auto"/>
        </w:rPr>
      </w:pPr>
      <w:r>
        <w:rPr>
          <w:rFonts w:ascii="Arial" w:cs="Arial" w:eastAsia="Arial" w:hAnsi="Arial"/>
          <w:sz w:val="14"/>
          <w:szCs w:val="14"/>
          <w:color w:val="auto"/>
        </w:rPr>
        <w:t>Exhibit</w:t>
      </w:r>
    </w:p>
    <w:p>
      <w:pPr>
        <w:jc w:val="center"/>
        <w:ind w:right="106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00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14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09"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 Filed herewith.</w:t>
      </w:r>
    </w:p>
    <w:p>
      <w:pPr>
        <w:spacing w:after="0" w:line="225" w:lineRule="exact"/>
        <w:rPr>
          <w:sz w:val="20"/>
          <w:szCs w:val="20"/>
          <w:color w:val="auto"/>
        </w:rPr>
      </w:pPr>
    </w:p>
    <w:p>
      <w:pPr>
        <w:jc w:val="center"/>
        <w:ind w:right="260"/>
        <w:spacing w:after="0" w:line="496" w:lineRule="auto"/>
        <w:rPr>
          <w:sz w:val="20"/>
          <w:szCs w:val="20"/>
          <w:color w:val="auto"/>
        </w:rPr>
      </w:pPr>
      <w:r>
        <w:rPr>
          <w:rFonts w:ascii="Arial" w:cs="Arial" w:eastAsia="Arial" w:hAnsi="Arial"/>
          <w:sz w:val="18"/>
          <w:szCs w:val="18"/>
          <w:color w:val="auto"/>
        </w:rPr>
        <w:t>32.2    Certification of Chief Financial Officer under 18 U.S.C. §1350 pursuant to Section 906 of the Sarbanes-Oxley Act of 2002. Filed herewith. - 84 -</w:t>
      </w:r>
    </w:p>
    <w:p>
      <w:pPr>
        <w:sectPr>
          <w:pgSz w:w="11900" w:h="16838" w:orient="portrait"/>
          <w:cols w:equalWidth="0" w:num="1">
            <w:col w:w="11220"/>
          </w:cols>
          <w:pgMar w:left="240" w:top="419" w:right="4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17"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260" w:right="16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260" w:right="400" w:hanging="252"/>
        <w:spacing w:after="0" w:line="308"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60" w:right="260" w:hanging="252"/>
        <w:spacing w:after="0" w:line="277"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G. Wilmers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5558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17"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260" w:right="160" w:hanging="252"/>
        <w:spacing w:after="0" w:line="264"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260" w:right="400" w:hanging="252"/>
        <w:spacing w:after="0" w:line="308" w:lineRule="auto"/>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260" w:right="260" w:hanging="252"/>
        <w:spacing w:after="0" w:line="277"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René F. Jones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5558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62" w:lineRule="exact"/>
        <w:rPr>
          <w:sz w:val="20"/>
          <w:szCs w:val="20"/>
          <w:color w:val="auto"/>
        </w:rPr>
      </w:pPr>
    </w:p>
    <w:p>
      <w:pPr>
        <w:ind w:left="660" w:right="20" w:hanging="43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2010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1493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2010</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55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62" w:lineRule="exact"/>
        <w:rPr>
          <w:sz w:val="20"/>
          <w:szCs w:val="20"/>
          <w:color w:val="auto"/>
        </w:rPr>
      </w:pPr>
    </w:p>
    <w:p>
      <w:pPr>
        <w:ind w:left="660" w:right="2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2010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909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2010</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lowerLetter"/>
      <w:start w:val="1"/>
    </w:lvl>
    <w:lvl w:ilvl="1">
      <w:lvlJc w:val="left"/>
      <w:lvlText w:val="-"/>
      <w:numFmt w:val="bullet"/>
      <w:start w:val="1"/>
    </w:lvl>
  </w:abstractNum>
  <w:abstractNum w:abstractNumId="3">
    <w:nsid w:val="257130A3"/>
    <w:multiLevelType w:val="hybridMultilevel"/>
    <w:lvl w:ilvl="0">
      <w:lvlJc w:val="left"/>
      <w:lvlText w:val="%1."/>
      <w:numFmt w:val="decimal"/>
      <w:start w:val="5"/>
    </w:lvl>
  </w:abstractNum>
  <w:abstractNum w:abstractNumId="4">
    <w:nsid w:val="62BBD95A"/>
    <w:multiLevelType w:val="hybridMultilevel"/>
    <w:lvl w:ilvl="0">
      <w:lvlJc w:val="left"/>
      <w:lvlText w:val="(%1)"/>
      <w:numFmt w:val="lowerLetter"/>
      <w:start w:val="3"/>
    </w:lvl>
  </w:abstractNum>
  <w:abstractNum w:abstractNumId="5">
    <w:nsid w:val="436C6125"/>
    <w:multiLevelType w:val="hybridMultilevel"/>
    <w:lvl w:ilvl="0">
      <w:lvlJc w:val="left"/>
      <w:lvlText w:val="(%1)"/>
      <w:numFmt w:val="lowerLetter"/>
      <w:start w:val="1"/>
    </w:lvl>
    <w:lvl w:ilvl="1">
      <w:lvlJc w:val="left"/>
      <w:lvlText w:val="-"/>
      <w:numFmt w:val="bullet"/>
      <w:start w:val="1"/>
    </w:lvl>
  </w:abstractNum>
  <w:abstractNum w:abstractNumId="6">
    <w:nsid w:val="628C895D"/>
    <w:multiLevelType w:val="hybridMultilevel"/>
    <w:lvl w:ilvl="0">
      <w:lvlJc w:val="left"/>
      <w:lvlText w:val="(%1)"/>
      <w:numFmt w:val="lowerLetter"/>
      <w:start w:val="1"/>
    </w:lvl>
    <w:lvl w:ilvl="1">
      <w:lvlJc w:val="left"/>
      <w:lvlText w:val="-"/>
      <w:numFmt w:val="bullet"/>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2"/>
    </w:lvl>
  </w:abstractNum>
  <w:abstractNum w:abstractNumId="10">
    <w:nsid w:val="2D1D5AE9"/>
    <w:multiLevelType w:val="hybridMultilevel"/>
    <w:lvl w:ilvl="0">
      <w:lvlJc w:val="left"/>
      <w:lvlText w:val="(%1)"/>
      <w:numFmt w:val="lowerLetter"/>
      <w:start w:val="1"/>
    </w:lvl>
    <w:lvl w:ilvl="1">
      <w:lvlJc w:val="left"/>
      <w:lvlText w:val="-"/>
      <w:numFmt w:val="bullet"/>
      <w:start w:val="1"/>
    </w:lvl>
  </w:abstractNum>
  <w:abstractNum w:abstractNumId="11">
    <w:nsid w:val="6763845E"/>
    <w:multiLevelType w:val="hybridMultilevel"/>
    <w:lvl w:ilvl="0">
      <w:lvlJc w:val="left"/>
      <w:lvlText w:val="(%1)"/>
      <w:numFmt w:val="lowerLetter"/>
      <w:start w:val="1"/>
    </w:lvl>
    <w:lvl w:ilvl="1">
      <w:lvlJc w:val="left"/>
      <w:lvlText w:val="-"/>
      <w:numFmt w:val="bullet"/>
      <w:start w:val="1"/>
    </w:lvl>
  </w:abstractNum>
  <w:abstractNum w:abstractNumId="12">
    <w:nsid w:val="75A2A8D4"/>
    <w:multiLevelType w:val="hybridMultilevel"/>
    <w:lvl w:ilvl="0">
      <w:lvlJc w:val="left"/>
      <w:lvlText w:val="(%1)"/>
      <w:numFmt w:val="lowerLetter"/>
      <w:start w:val="1"/>
    </w:lvl>
    <w:lvl w:ilvl="1">
      <w:lvlJc w:val="left"/>
      <w:lvlText w:val="-"/>
      <w:numFmt w:val="bullet"/>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lvl w:ilvl="1">
      <w:lvlJc w:val="left"/>
      <w:lvlText w:val="-"/>
      <w:numFmt w:val="bullet"/>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lvl w:ilvl="1">
      <w:lvlJc w:val="left"/>
      <w:lvlText w:val="-"/>
      <w:numFmt w:val="bullet"/>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3"/>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2019-12-10T00:04:21Z</dcterms:created>
  <dcterms:modified xsi:type="dcterms:W3CDTF">2019-12-10T00:04:21Z</dcterms:modified>
</cp:coreProperties>
</file>