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5"/>
              </w:rPr>
              <w:t>New York</w:t>
            </w:r>
          </w:p>
        </w:tc>
        <w:tc>
          <w:tcPr>
            <w:tcW w:w="59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6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920" w:type="dxa"/>
            <w:vAlign w:val="bottom"/>
          </w:tcPr>
          <w:p>
            <w:pPr>
              <w:jc w:val="center"/>
              <w:ind w:left="47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incorporation or organization)</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920" w:type="dxa"/>
            <w:vAlign w:val="bottom"/>
          </w:tcPr>
          <w:p>
            <w:pPr>
              <w:spacing w:after="0"/>
              <w:rPr>
                <w:sz w:val="24"/>
                <w:szCs w:val="24"/>
                <w:color w:val="auto"/>
              </w:rPr>
            </w:pPr>
          </w:p>
        </w:tc>
      </w:t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92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r>
        <w:trPr>
          <w:trHeight w:val="186"/>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5"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73" w:lineRule="exact"/>
        <w:tabs>
          <w:tab w:leader="none" w:pos="540" w:val="left"/>
        </w:tabs>
        <w:rPr>
          <w:sz w:val="20"/>
          <w:szCs w:val="20"/>
          <w:color w:val="auto"/>
        </w:rPr>
      </w:pPr>
      <w:r>
        <w:rPr>
          <w:rFonts w:ascii="Arial" w:cs="Arial" w:eastAsia="Arial" w:hAnsi="Arial"/>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32"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12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4880" w:type="dxa"/>
            <w:vAlign w:val="bottom"/>
          </w:tcPr>
          <w:p>
            <w:pPr>
              <w:ind w:left="6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400" w:type="dxa"/>
            <w:vAlign w:val="bottom"/>
          </w:tcPr>
          <w:p>
            <w:pPr>
              <w:ind w:left="112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October 31, 2017: 150,515,367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20" w:type="dxa"/>
            <w:vAlign w:val="bottom"/>
            <w:gridSpan w:val="13"/>
          </w:tcPr>
          <w:p>
            <w:pPr>
              <w:jc w:val="center"/>
              <w:ind w:right="4160"/>
              <w:spacing w:after="0"/>
              <w:rPr>
                <w:sz w:val="20"/>
                <w:szCs w:val="20"/>
                <w:color w:val="auto"/>
              </w:rPr>
            </w:pPr>
            <w:r>
              <w:rPr>
                <w:rFonts w:ascii="Arial" w:cs="Arial" w:eastAsia="Arial" w:hAnsi="Arial"/>
                <w:sz w:val="18"/>
                <w:szCs w:val="18"/>
                <w:color w:val="auto"/>
                <w:w w:val="97"/>
              </w:rPr>
              <w:t>M&amp;T BANK CORPORATION</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FORM 10-Q</w:t>
            </w:r>
          </w:p>
        </w:tc>
        <w:tc>
          <w:tcPr>
            <w:tcW w:w="660" w:type="dxa"/>
            <w:vAlign w:val="bottom"/>
            <w:tcBorders>
              <w:top w:val="single" w:sz="8" w:color="auto"/>
            </w:tcBorders>
          </w:tcPr>
          <w:p>
            <w:pPr>
              <w:spacing w:after="0"/>
              <w:rPr>
                <w:sz w:val="24"/>
                <w:szCs w:val="24"/>
                <w:color w:val="auto"/>
              </w:rPr>
            </w:pPr>
          </w:p>
        </w:tc>
        <w:tc>
          <w:tcPr>
            <w:tcW w:w="416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0" w:type="dxa"/>
            <w:vAlign w:val="bottom"/>
            <w:gridSpan w:val="16"/>
          </w:tcPr>
          <w:p>
            <w:pPr>
              <w:jc w:val="center"/>
              <w:ind w:right="3360"/>
              <w:spacing w:after="0"/>
              <w:rPr>
                <w:sz w:val="20"/>
                <w:szCs w:val="20"/>
                <w:color w:val="auto"/>
              </w:rPr>
            </w:pPr>
            <w:r>
              <w:rPr>
                <w:rFonts w:ascii="Arial" w:cs="Arial" w:eastAsia="Arial" w:hAnsi="Arial"/>
                <w:sz w:val="18"/>
                <w:szCs w:val="18"/>
                <w:color w:val="auto"/>
                <w:w w:val="89"/>
              </w:rPr>
              <w:t>For the Quarterly Period Ended September 30, 2017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40" w:type="dxa"/>
            <w:vAlign w:val="bottom"/>
            <w:gridSpan w:val="15"/>
          </w:tcPr>
          <w:p>
            <w:pPr>
              <w:spacing w:after="0"/>
              <w:rPr>
                <w:sz w:val="20"/>
                <w:szCs w:val="20"/>
                <w:color w:val="auto"/>
              </w:rPr>
            </w:pPr>
            <w:r>
              <w:rPr>
                <w:rFonts w:ascii="Arial" w:cs="Arial" w:eastAsia="Arial" w:hAnsi="Arial"/>
                <w:sz w:val="18"/>
                <w:szCs w:val="18"/>
                <w:color w:val="auto"/>
                <w:w w:val="92"/>
              </w:rPr>
              <w:t>Table of Contents of Information Required in Report</w:t>
            </w:r>
          </w:p>
        </w:tc>
        <w:tc>
          <w:tcPr>
            <w:tcW w:w="3760" w:type="dxa"/>
            <w:vAlign w:val="bottom"/>
            <w:tcBorders>
              <w:top w:val="single" w:sz="8" w:color="auto"/>
            </w:tcBorders>
            <w:gridSpan w:val="9"/>
          </w:tcPr>
          <w:p>
            <w:pPr>
              <w:spacing w:after="0"/>
              <w:rPr>
                <w:sz w:val="24"/>
                <w:szCs w:val="24"/>
                <w:color w:val="auto"/>
              </w:rPr>
            </w:pPr>
          </w:p>
        </w:tc>
        <w:tc>
          <w:tcPr>
            <w:tcW w:w="3400" w:type="dxa"/>
            <w:vAlign w:val="bottom"/>
            <w:gridSpan w:val="6"/>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200" w:type="dxa"/>
            <w:vAlign w:val="bottom"/>
            <w:gridSpan w:val="16"/>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10"/>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200" w:type="dxa"/>
            <w:vAlign w:val="bottom"/>
            <w:gridSpan w:val="16"/>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2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2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September 30, 2017 and December 31, 2016</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6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 OF INCOME - Three and nine months ended September 30, 2017 and 2016</w:t>
              </w:r>
            </w:hyperlink>
          </w:p>
        </w:tc>
        <w:tc>
          <w:tcPr>
            <w:tcW w:w="1760" w:type="dxa"/>
            <w:vAlign w:val="bottom"/>
            <w:gridSpan w:val="3"/>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 OF COMPREHENSIVE INCOME - Three and nine months ended September 30, 2017 and 2016</w:t>
              </w:r>
            </w:hyperlink>
          </w:p>
        </w:tc>
        <w:tc>
          <w:tcPr>
            <w:tcW w:w="2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Nine months ended September 30, 2017 and 2016</w:t>
              </w:r>
            </w:hyperlink>
          </w:p>
        </w:tc>
        <w:tc>
          <w:tcPr>
            <w:tcW w:w="2060" w:type="dxa"/>
            <w:vAlign w:val="bottom"/>
            <w:gridSpan w:val="4"/>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20" w:type="dxa"/>
            <w:vAlign w:val="bottom"/>
            <w:gridSpan w:val="28"/>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STATEMENT OF CHANGES IN SHAREHOLDERS' EQUITY - Nine months ended September 30, 2017 and</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2016</w:t>
              </w:r>
            </w:hyperlink>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660" w:type="dxa"/>
            <w:vAlign w:val="bottom"/>
            <w:gridSpan w:val="14"/>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2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5"/>
          </w:tcPr>
          <w:p>
            <w:pPr>
              <w:spacing w:after="0"/>
              <w:rPr>
                <w:sz w:val="24"/>
                <w:szCs w:val="24"/>
                <w:color w:val="auto"/>
              </w:rPr>
            </w:pPr>
          </w:p>
        </w:tc>
        <w:tc>
          <w:tcPr>
            <w:tcW w:w="3240" w:type="dxa"/>
            <w:vAlign w:val="bottom"/>
            <w:gridSpan w:val="5"/>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Controls and Procedures.</w:t>
              </w:r>
            </w:hyperlink>
          </w:p>
        </w:tc>
        <w:tc>
          <w:tcPr>
            <w:tcW w:w="7900" w:type="dxa"/>
            <w:vAlign w:val="bottom"/>
            <w:gridSpan w:val="18"/>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2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90">
              <w:r>
                <w:rPr>
                  <w:rFonts w:ascii="Arial" w:cs="Arial" w:eastAsia="Arial" w:hAnsi="Arial"/>
                  <w:sz w:val="18"/>
                  <w:szCs w:val="18"/>
                  <w:color w:val="0000EE"/>
                  <w:w w:val="95"/>
                </w:rPr>
                <w:t>Part II. OTHER INFORMATION</w:t>
              </w:r>
            </w:hyperlink>
          </w:p>
        </w:tc>
        <w:tc>
          <w:tcPr>
            <w:tcW w:w="8560" w:type="dxa"/>
            <w:vAlign w:val="bottom"/>
            <w:gridSpan w:val="23"/>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Legal Proceedings.</w:t>
              </w:r>
            </w:hyperlink>
          </w:p>
        </w:tc>
        <w:tc>
          <w:tcPr>
            <w:tcW w:w="8340" w:type="dxa"/>
            <w:vAlign w:val="bottom"/>
            <w:gridSpan w:val="21"/>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20" w:type="dxa"/>
            <w:vAlign w:val="bottom"/>
            <w:gridSpan w:val="2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Risk Factors.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Unregistered Sales of Equity Securities and Use of Proceeds.</w:t>
              </w:r>
            </w:hyperlink>
          </w:p>
        </w:tc>
        <w:tc>
          <w:tcPr>
            <w:tcW w:w="5320" w:type="dxa"/>
            <w:vAlign w:val="bottom"/>
            <w:gridSpan w:val="11"/>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9720" w:type="dxa"/>
            <w:vAlign w:val="bottom"/>
            <w:gridSpan w:val="2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Defaults Upon Senior Securities.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360" w:type="dxa"/>
            <w:vAlign w:val="bottom"/>
            <w:gridSpan w:val="17"/>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Other Information.</w:t>
              </w:r>
            </w:hyperlink>
          </w:p>
        </w:tc>
        <w:tc>
          <w:tcPr>
            <w:tcW w:w="8360" w:type="dxa"/>
            <w:vAlign w:val="bottom"/>
            <w:gridSpan w:val="22"/>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18"/>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20" w:type="dxa"/>
            <w:vAlign w:val="bottom"/>
            <w:gridSpan w:val="28"/>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574"/>
        </w:trPr>
        <w:tc>
          <w:tcPr>
            <w:tcW w:w="1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9"/>
          </w:tcPr>
          <w:p>
            <w:pPr>
              <w:jc w:val="center"/>
              <w:ind w:left="3870"/>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r>
      <w:tr>
        <w:trPr>
          <w:trHeight w:val="161"/>
        </w:trPr>
        <w:tc>
          <w:tcPr>
            <w:tcW w:w="86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120" w:type="dxa"/>
            <w:vAlign w:val="bottom"/>
          </w:tcPr>
          <w:p>
            <w:pPr>
              <w:spacing w:after="0"/>
              <w:rPr>
                <w:sz w:val="13"/>
                <w:szCs w:val="13"/>
                <w:color w:val="auto"/>
              </w:rPr>
            </w:pPr>
          </w:p>
        </w:tc>
        <w:tc>
          <w:tcPr>
            <w:tcW w:w="102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2017</w:t>
            </w:r>
          </w:p>
        </w:tc>
        <w:tc>
          <w:tcPr>
            <w:tcW w:w="400" w:type="dxa"/>
            <w:vAlign w:val="bottom"/>
          </w:tcPr>
          <w:p>
            <w:pPr>
              <w:spacing w:after="0"/>
              <w:rPr>
                <w:sz w:val="13"/>
                <w:szCs w:val="13"/>
                <w:color w:val="auto"/>
              </w:rPr>
            </w:pPr>
          </w:p>
        </w:tc>
        <w:tc>
          <w:tcPr>
            <w:tcW w:w="114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3"/>
                <w:szCs w:val="13"/>
                <w:color w:val="auto"/>
              </w:rPr>
            </w:pPr>
          </w:p>
        </w:tc>
      </w:tr>
      <w:tr>
        <w:trPr>
          <w:trHeight w:val="162"/>
        </w:trPr>
        <w:tc>
          <w:tcPr>
            <w:tcW w:w="1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1180" w:type="dxa"/>
            <w:vAlign w:val="bottom"/>
            <w:shd w:val="clear" w:color="auto" w:fill="CFF0FC"/>
          </w:tcPr>
          <w:p>
            <w:pPr>
              <w:spacing w:after="0"/>
              <w:rPr>
                <w:sz w:val="20"/>
                <w:szCs w:val="20"/>
                <w:color w:val="auto"/>
              </w:rPr>
            </w:pPr>
            <w:r>
              <w:rPr>
                <w:rFonts w:ascii="Arial" w:cs="Arial" w:eastAsia="Arial" w:hAnsi="Arial"/>
                <w:sz w:val="15"/>
                <w:szCs w:val="15"/>
                <w:color w:val="auto"/>
              </w:rPr>
              <w:t>Assets</w:t>
            </w: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Cash and due from banks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1,368,252</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1,320,549</w:t>
            </w:r>
          </w:p>
        </w:tc>
        <w:tc>
          <w:tcPr>
            <w:tcW w:w="120" w:type="dxa"/>
            <w:vAlign w:val="bottom"/>
            <w:shd w:val="clear" w:color="auto" w:fill="CFF0FC"/>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Interest-bearing deposits at banks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6,306,484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5,000,638</w:t>
            </w: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spacing w:after="0"/>
              <w:rPr>
                <w:sz w:val="15"/>
                <w:szCs w:val="15"/>
                <w:color w:val="auto"/>
              </w:rPr>
            </w:pP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Trading account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170,516</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323,867</w:t>
            </w:r>
          </w:p>
        </w:tc>
        <w:tc>
          <w:tcPr>
            <w:tcW w:w="120" w:type="dxa"/>
            <w:vAlign w:val="bottom"/>
            <w:shd w:val="clear" w:color="auto" w:fill="CFF0FC"/>
          </w:tcPr>
          <w:p>
            <w:pPr>
              <w:spacing w:after="0"/>
              <w:rPr>
                <w:sz w:val="15"/>
                <w:szCs w:val="15"/>
                <w:color w:val="auto"/>
              </w:rPr>
            </w:pPr>
          </w:p>
        </w:tc>
      </w:tr>
      <w:tr>
        <w:trPr>
          <w:trHeight w:val="174"/>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600" w:type="dxa"/>
            <w:vAlign w:val="bottom"/>
          </w:tcPr>
          <w:p>
            <w:pPr>
              <w:spacing w:after="0"/>
              <w:rPr>
                <w:sz w:val="14"/>
                <w:szCs w:val="14"/>
                <w:color w:val="auto"/>
              </w:rPr>
            </w:pPr>
          </w:p>
        </w:tc>
        <w:tc>
          <w:tcPr>
            <w:tcW w:w="7020" w:type="dxa"/>
            <w:vAlign w:val="bottom"/>
          </w:tcPr>
          <w:p>
            <w:pPr>
              <w:ind w:left="460"/>
              <w:spacing w:after="0" w:line="164" w:lineRule="exact"/>
              <w:rPr>
                <w:sz w:val="20"/>
                <w:szCs w:val="20"/>
                <w:color w:val="auto"/>
              </w:rPr>
            </w:pPr>
            <w:r>
              <w:rPr>
                <w:rFonts w:ascii="Arial" w:cs="Arial" w:eastAsia="Arial" w:hAnsi="Arial"/>
                <w:sz w:val="15"/>
                <w:szCs w:val="15"/>
                <w:color w:val="auto"/>
              </w:rPr>
              <w:t>$488,200 at September 30, 2017; $1,203,473 at December 31, 2016)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600"/>
              <w:spacing w:after="0" w:line="162" w:lineRule="exact"/>
              <w:rPr>
                <w:sz w:val="20"/>
                <w:szCs w:val="20"/>
                <w:color w:val="auto"/>
              </w:rPr>
            </w:pPr>
            <w:r>
              <w:rPr>
                <w:rFonts w:ascii="Arial" w:cs="Arial" w:eastAsia="Arial" w:hAnsi="Arial"/>
                <w:sz w:val="15"/>
                <w:szCs w:val="15"/>
                <w:color w:val="auto"/>
              </w:rPr>
              <w:t>Available for sale (cost: $11,369,815 at September 30,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720"/>
              <w:spacing w:after="0"/>
              <w:rPr>
                <w:sz w:val="20"/>
                <w:szCs w:val="20"/>
                <w:color w:val="auto"/>
              </w:rPr>
            </w:pPr>
            <w:r>
              <w:rPr>
                <w:rFonts w:ascii="Arial" w:cs="Arial" w:eastAsia="Arial" w:hAnsi="Arial"/>
                <w:sz w:val="15"/>
                <w:szCs w:val="15"/>
                <w:color w:val="auto"/>
              </w:rPr>
              <w:t>$13,338,301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11,416,824</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13,332,072</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600"/>
              <w:spacing w:after="0" w:line="162" w:lineRule="exact"/>
              <w:rPr>
                <w:sz w:val="20"/>
                <w:szCs w:val="20"/>
                <w:color w:val="auto"/>
              </w:rPr>
            </w:pPr>
            <w:r>
              <w:rPr>
                <w:rFonts w:ascii="Arial" w:cs="Arial" w:eastAsia="Arial" w:hAnsi="Arial"/>
                <w:sz w:val="15"/>
                <w:szCs w:val="15"/>
                <w:color w:val="auto"/>
              </w:rPr>
              <w:t>Held to maturity (fair value: $3,247,954 at September 30,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720"/>
              <w:spacing w:after="0"/>
              <w:rPr>
                <w:sz w:val="20"/>
                <w:szCs w:val="20"/>
                <w:color w:val="auto"/>
              </w:rPr>
            </w:pPr>
            <w:r>
              <w:rPr>
                <w:rFonts w:ascii="Arial" w:cs="Arial" w:eastAsia="Arial" w:hAnsi="Arial"/>
                <w:sz w:val="15"/>
                <w:szCs w:val="15"/>
                <w:color w:val="auto"/>
              </w:rPr>
              <w:t>$2,451,222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3,242,124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2,457,278</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600"/>
              <w:spacing w:after="0" w:line="162" w:lineRule="exact"/>
              <w:rPr>
                <w:sz w:val="20"/>
                <w:szCs w:val="20"/>
                <w:color w:val="auto"/>
              </w:rPr>
            </w:pPr>
            <w:r>
              <w:rPr>
                <w:rFonts w:ascii="Arial" w:cs="Arial" w:eastAsia="Arial" w:hAnsi="Arial"/>
                <w:sz w:val="15"/>
                <w:szCs w:val="15"/>
                <w:color w:val="auto"/>
              </w:rPr>
              <w:t>Other (fair value: $414,978 at September 30,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720"/>
              <w:spacing w:after="0"/>
              <w:rPr>
                <w:sz w:val="20"/>
                <w:szCs w:val="20"/>
                <w:color w:val="auto"/>
              </w:rPr>
            </w:pPr>
            <w:r>
              <w:rPr>
                <w:rFonts w:ascii="Arial" w:cs="Arial" w:eastAsia="Arial" w:hAnsi="Arial"/>
                <w:sz w:val="15"/>
                <w:szCs w:val="15"/>
                <w:color w:val="auto"/>
              </w:rPr>
              <w:t>$461,118 at December 31, 2016)</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414,978</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461,118</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investment securities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15,073,926</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16,250,468</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9" w:lineRule="exact"/>
              <w:rPr>
                <w:sz w:val="20"/>
                <w:szCs w:val="20"/>
                <w:color w:val="auto"/>
              </w:rPr>
            </w:pPr>
            <w:r>
              <w:rPr>
                <w:rFonts w:ascii="Arial" w:cs="Arial" w:eastAsia="Arial" w:hAnsi="Arial"/>
                <w:sz w:val="15"/>
                <w:szCs w:val="15"/>
                <w:color w:val="auto"/>
              </w:rPr>
              <w:t>Loans and leases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88,171,225</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91,101,677</w:t>
            </w:r>
          </w:p>
        </w:tc>
        <w:tc>
          <w:tcPr>
            <w:tcW w:w="120" w:type="dxa"/>
            <w:vAlign w:val="bottom"/>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600"/>
              <w:spacing w:after="0"/>
              <w:rPr>
                <w:sz w:val="20"/>
                <w:szCs w:val="20"/>
                <w:color w:val="auto"/>
              </w:rPr>
            </w:pPr>
            <w:r>
              <w:rPr>
                <w:rFonts w:ascii="Arial" w:cs="Arial" w:eastAsia="Arial" w:hAnsi="Arial"/>
                <w:sz w:val="15"/>
                <w:szCs w:val="15"/>
                <w:color w:val="auto"/>
              </w:rPr>
              <w:t>Unearned discount</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(246,091)</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(248,261)</w:t>
            </w:r>
          </w:p>
        </w:tc>
      </w:tr>
      <w:tr>
        <w:trPr>
          <w:trHeight w:val="169"/>
        </w:trPr>
        <w:tc>
          <w:tcPr>
            <w:tcW w:w="1600" w:type="dxa"/>
            <w:vAlign w:val="bottom"/>
            <w:tcBorders>
              <w:top w:val="single" w:sz="8" w:color="CFF0FC"/>
            </w:tcBorders>
            <w:shd w:val="clear" w:color="auto" w:fill="CFF0FC"/>
          </w:tcPr>
          <w:p>
            <w:pPr>
              <w:spacing w:after="0"/>
              <w:rPr>
                <w:sz w:val="14"/>
                <w:szCs w:val="14"/>
                <w:color w:val="auto"/>
              </w:rPr>
            </w:pPr>
          </w:p>
        </w:tc>
        <w:tc>
          <w:tcPr>
            <w:tcW w:w="7020" w:type="dxa"/>
            <w:vAlign w:val="bottom"/>
            <w:tcBorders>
              <w:top w:val="single" w:sz="8" w:color="CFF0FC"/>
            </w:tcBorders>
            <w:shd w:val="clear" w:color="auto" w:fill="CFF0FC"/>
          </w:tcPr>
          <w:p>
            <w:pPr>
              <w:ind w:left="72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22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87,925,134</w:t>
            </w:r>
          </w:p>
        </w:tc>
        <w:tc>
          <w:tcPr>
            <w:tcW w:w="40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90,853,416</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600"/>
              <w:spacing w:after="0"/>
              <w:rPr>
                <w:sz w:val="20"/>
                <w:szCs w:val="20"/>
                <w:color w:val="auto"/>
              </w:rPr>
            </w:pPr>
            <w:r>
              <w:rPr>
                <w:rFonts w:ascii="Arial" w:cs="Arial" w:eastAsia="Arial" w:hAnsi="Arial"/>
                <w:sz w:val="15"/>
                <w:szCs w:val="15"/>
                <w:color w:val="auto"/>
              </w:rPr>
              <w:t>Allowance for credit losses</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(1,013,326)</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(988,997)</w:t>
            </w:r>
          </w:p>
        </w:tc>
      </w:tr>
      <w:tr>
        <w:trPr>
          <w:trHeight w:val="169"/>
        </w:trPr>
        <w:tc>
          <w:tcPr>
            <w:tcW w:w="1600" w:type="dxa"/>
            <w:vAlign w:val="bottom"/>
            <w:tcBorders>
              <w:top w:val="single" w:sz="8" w:color="CFF0FC"/>
            </w:tcBorders>
            <w:shd w:val="clear" w:color="auto" w:fill="CFF0FC"/>
          </w:tcPr>
          <w:p>
            <w:pPr>
              <w:spacing w:after="0"/>
              <w:rPr>
                <w:sz w:val="14"/>
                <w:szCs w:val="14"/>
                <w:color w:val="auto"/>
              </w:rPr>
            </w:pPr>
          </w:p>
        </w:tc>
        <w:tc>
          <w:tcPr>
            <w:tcW w:w="7020" w:type="dxa"/>
            <w:vAlign w:val="bottom"/>
            <w:tcBorders>
              <w:top w:val="single" w:sz="8" w:color="CFF0FC"/>
            </w:tcBorders>
            <w:shd w:val="clear" w:color="auto" w:fill="CFF0FC"/>
          </w:tcPr>
          <w:p>
            <w:pPr>
              <w:ind w:left="720"/>
              <w:spacing w:after="0" w:line="169" w:lineRule="exact"/>
              <w:rPr>
                <w:sz w:val="20"/>
                <w:szCs w:val="20"/>
                <w:color w:val="auto"/>
              </w:rPr>
            </w:pPr>
            <w:r>
              <w:rPr>
                <w:rFonts w:ascii="Arial" w:cs="Arial" w:eastAsia="Arial" w:hAnsi="Arial"/>
                <w:sz w:val="15"/>
                <w:szCs w:val="15"/>
                <w:color w:val="auto"/>
              </w:rPr>
              <w:t>Loans and leases, net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86,911,808</w:t>
            </w:r>
          </w:p>
        </w:tc>
        <w:tc>
          <w:tcPr>
            <w:tcW w:w="400" w:type="dxa"/>
            <w:vAlign w:val="bottom"/>
            <w:tcBorders>
              <w:top w:val="single" w:sz="8" w:color="CFF0FC"/>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89,864,419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7020" w:type="dxa"/>
            <w:vAlign w:val="bottom"/>
          </w:tcPr>
          <w:p>
            <w:pPr>
              <w:ind w:left="360"/>
              <w:spacing w:after="0" w:line="169" w:lineRule="exact"/>
              <w:rPr>
                <w:sz w:val="20"/>
                <w:szCs w:val="20"/>
                <w:color w:val="auto"/>
              </w:rPr>
            </w:pPr>
            <w:r>
              <w:rPr>
                <w:rFonts w:ascii="Arial" w:cs="Arial" w:eastAsia="Arial" w:hAnsi="Arial"/>
                <w:sz w:val="15"/>
                <w:szCs w:val="15"/>
                <w:color w:val="auto"/>
              </w:rPr>
              <w:t>Premises and equipment</w:t>
            </w: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656,713</w:t>
            </w:r>
          </w:p>
        </w:tc>
        <w:tc>
          <w:tcPr>
            <w:tcW w:w="4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675,263</w:t>
            </w:r>
          </w:p>
        </w:tc>
        <w:tc>
          <w:tcPr>
            <w:tcW w:w="120" w:type="dxa"/>
            <w:vAlign w:val="bottom"/>
          </w:tcPr>
          <w:p>
            <w:pPr>
              <w:spacing w:after="0"/>
              <w:rPr>
                <w:sz w:val="14"/>
                <w:szCs w:val="14"/>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Core deposit and other intangible assets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78,614</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97,655</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Accrued interest and other assets</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5,242,379</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5,323,235</w:t>
            </w:r>
          </w:p>
        </w:tc>
        <w:tc>
          <w:tcPr>
            <w:tcW w:w="120" w:type="dxa"/>
            <w:vAlign w:val="bottom"/>
            <w:shd w:val="clear" w:color="auto" w:fill="CFF0FC"/>
          </w:tcPr>
          <w:p>
            <w:pPr>
              <w:spacing w:after="0"/>
              <w:rPr>
                <w:sz w:val="15"/>
                <w:szCs w:val="15"/>
                <w:color w:val="auto"/>
              </w:rPr>
            </w:pPr>
          </w:p>
        </w:tc>
      </w:tr>
      <w:tr>
        <w:trPr>
          <w:trHeight w:val="209"/>
        </w:trPr>
        <w:tc>
          <w:tcPr>
            <w:tcW w:w="1600" w:type="dxa"/>
            <w:vAlign w:val="bottom"/>
            <w:tcBorders>
              <w:bottom w:val="single" w:sz="8" w:color="CFF0FC"/>
            </w:tcBorders>
          </w:tcPr>
          <w:p>
            <w:pPr>
              <w:spacing w:after="0"/>
              <w:rPr>
                <w:sz w:val="18"/>
                <w:szCs w:val="18"/>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120,401,804</w:t>
            </w:r>
          </w:p>
        </w:tc>
        <w:tc>
          <w:tcPr>
            <w:tcW w:w="40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123,449,206</w:t>
            </w:r>
          </w:p>
        </w:tc>
        <w:tc>
          <w:tcPr>
            <w:tcW w:w="120" w:type="dxa"/>
            <w:vAlign w:val="bottom"/>
            <w:tcBorders>
              <w:bottom w:val="single" w:sz="8" w:color="CFF0FC"/>
            </w:tcBorders>
          </w:tcPr>
          <w:p>
            <w:pPr>
              <w:spacing w:after="0"/>
              <w:rPr>
                <w:sz w:val="18"/>
                <w:szCs w:val="18"/>
                <w:color w:val="auto"/>
              </w:rPr>
            </w:pPr>
          </w:p>
        </w:tc>
      </w:tr>
      <w:tr>
        <w:trPr>
          <w:trHeight w:val="156"/>
        </w:trPr>
        <w:tc>
          <w:tcPr>
            <w:tcW w:w="1600" w:type="dxa"/>
            <w:vAlign w:val="bottom"/>
            <w:shd w:val="clear" w:color="auto" w:fill="CFF0FC"/>
          </w:tcPr>
          <w:p>
            <w:pPr>
              <w:spacing w:after="0"/>
              <w:rPr>
                <w:sz w:val="13"/>
                <w:szCs w:val="13"/>
                <w:color w:val="auto"/>
              </w:rPr>
            </w:pPr>
          </w:p>
        </w:tc>
        <w:tc>
          <w:tcPr>
            <w:tcW w:w="7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6"/>
        </w:trPr>
        <w:tc>
          <w:tcPr>
            <w:tcW w:w="1600" w:type="dxa"/>
            <w:vAlign w:val="bottom"/>
          </w:tcPr>
          <w:p>
            <w:pPr>
              <w:spacing w:after="0"/>
              <w:rPr>
                <w:sz w:val="20"/>
                <w:szCs w:val="20"/>
                <w:color w:val="auto"/>
              </w:rPr>
            </w:pPr>
            <w:r>
              <w:rPr>
                <w:rFonts w:ascii="Arial" w:cs="Arial" w:eastAsia="Arial" w:hAnsi="Arial"/>
                <w:sz w:val="15"/>
                <w:szCs w:val="15"/>
                <w:color w:val="auto"/>
              </w:rPr>
              <w:t>Liabilities</w:t>
            </w:r>
          </w:p>
        </w:tc>
        <w:tc>
          <w:tcPr>
            <w:tcW w:w="7020" w:type="dxa"/>
            <w:vAlign w:val="bottom"/>
          </w:tcPr>
          <w:p>
            <w:pPr>
              <w:ind w:left="360"/>
              <w:spacing w:after="0"/>
              <w:rPr>
                <w:sz w:val="20"/>
                <w:szCs w:val="20"/>
                <w:color w:val="auto"/>
              </w:rPr>
            </w:pPr>
            <w:r>
              <w:rPr>
                <w:rFonts w:ascii="Arial" w:cs="Arial" w:eastAsia="Arial" w:hAnsi="Arial"/>
                <w:sz w:val="15"/>
                <w:szCs w:val="15"/>
                <w:color w:val="auto"/>
              </w:rPr>
              <w:t>Noninterest-bearing deposits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33,111,246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32,813,896</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Savings and interest-checking deposits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52,936,615</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52,346,207</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Time deposits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7,233,518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10,131,846</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Deposits at Cayman Islands office</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232,014</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201,927</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deposits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93,513,393</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95,493,876</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9" w:lineRule="exact"/>
              <w:rPr>
                <w:sz w:val="20"/>
                <w:szCs w:val="20"/>
                <w:color w:val="auto"/>
              </w:rPr>
            </w:pPr>
            <w:r>
              <w:rPr>
                <w:rFonts w:ascii="Arial" w:cs="Arial" w:eastAsia="Arial" w:hAnsi="Arial"/>
                <w:sz w:val="15"/>
                <w:szCs w:val="15"/>
                <w:color w:val="auto"/>
              </w:rPr>
              <w:t>Federal funds purchased and agreements to repurchase securities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200,768</w:t>
            </w: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163,442</w:t>
            </w:r>
          </w:p>
        </w:tc>
        <w:tc>
          <w:tcPr>
            <w:tcW w:w="120" w:type="dxa"/>
            <w:vAlign w:val="bottom"/>
            <w:shd w:val="clear" w:color="auto" w:fill="CFF0FC"/>
          </w:tcPr>
          <w:p>
            <w:pPr>
              <w:spacing w:after="0"/>
              <w:rPr>
                <w:sz w:val="14"/>
                <w:szCs w:val="14"/>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Accrued interest and other liabilities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1,791,946</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1,811,431</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Long-term borrowings</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8,577,645</w:t>
            </w:r>
          </w:p>
        </w:tc>
        <w:tc>
          <w:tcPr>
            <w:tcW w:w="400" w:type="dxa"/>
            <w:vAlign w:val="bottom"/>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9,493,835</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liabilities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104,083,752</w:t>
            </w:r>
          </w:p>
        </w:tc>
        <w:tc>
          <w:tcPr>
            <w:tcW w:w="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106,962,584</w:t>
            </w:r>
          </w:p>
        </w:tc>
        <w:tc>
          <w:tcPr>
            <w:tcW w:w="120" w:type="dxa"/>
            <w:vAlign w:val="bottom"/>
            <w:tcBorders>
              <w:bottom w:val="single" w:sz="8" w:color="CFF0FC"/>
            </w:tcBorders>
          </w:tcPr>
          <w:p>
            <w:pPr>
              <w:spacing w:after="0"/>
              <w:rPr>
                <w:sz w:val="14"/>
                <w:szCs w:val="14"/>
                <w:color w:val="auto"/>
              </w:rPr>
            </w:pPr>
          </w:p>
        </w:tc>
      </w:tr>
      <w:tr>
        <w:trPr>
          <w:trHeight w:val="156"/>
        </w:trPr>
        <w:tc>
          <w:tcPr>
            <w:tcW w:w="16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Shareholders' equity</w:t>
            </w:r>
          </w:p>
        </w:tc>
        <w:tc>
          <w:tcPr>
            <w:tcW w:w="7020" w:type="dxa"/>
            <w:vAlign w:val="bottom"/>
            <w:shd w:val="clear" w:color="auto" w:fill="CFF0FC"/>
          </w:tcPr>
          <w:p>
            <w:pPr>
              <w:ind w:left="360"/>
              <w:spacing w:after="0" w:line="156" w:lineRule="exact"/>
              <w:rPr>
                <w:sz w:val="20"/>
                <w:szCs w:val="20"/>
                <w:color w:val="auto"/>
              </w:rPr>
            </w:pPr>
            <w:r>
              <w:rPr>
                <w:rFonts w:ascii="Arial" w:cs="Arial" w:eastAsia="Arial" w:hAnsi="Arial"/>
                <w:sz w:val="15"/>
                <w:szCs w:val="15"/>
                <w:color w:val="auto"/>
              </w:rPr>
              <w:t>Preferred stock, $1.00 par, 1,000,000 shares authorized;</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share: shares 731,500 at September 30, 2017 and December 31,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2016; Liquidation preference of $10,000 per share: 50,000</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shares at September 30, 2017 and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360"/>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460"/>
              <w:spacing w:after="0" w:line="162" w:lineRule="exact"/>
              <w:rPr>
                <w:sz w:val="20"/>
                <w:szCs w:val="20"/>
                <w:color w:val="auto"/>
              </w:rPr>
            </w:pPr>
            <w:r>
              <w:rPr>
                <w:rFonts w:ascii="Arial" w:cs="Arial" w:eastAsia="Arial" w:hAnsi="Arial"/>
                <w:sz w:val="15"/>
                <w:szCs w:val="15"/>
                <w:color w:val="auto"/>
              </w:rPr>
              <w:t>159,819,892 shares issued at September 30, 2017;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460"/>
              <w:spacing w:after="0"/>
              <w:rPr>
                <w:sz w:val="20"/>
                <w:szCs w:val="20"/>
                <w:color w:val="auto"/>
              </w:rPr>
            </w:pPr>
            <w:r>
              <w:rPr>
                <w:rFonts w:ascii="Arial" w:cs="Arial" w:eastAsia="Arial" w:hAnsi="Arial"/>
                <w:sz w:val="15"/>
                <w:szCs w:val="15"/>
                <w:color w:val="auto"/>
              </w:rPr>
              <w:t>159,945,678 shares issued at December 31, 2016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79,910</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79,973</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Common stock issuable, 27,019 shares at September 30,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32,403 shares at December 31, 2016</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1,827</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2,145</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6,598,048</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6,676,948</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9,909,415</w:t>
            </w:r>
          </w:p>
        </w:tc>
        <w:tc>
          <w:tcPr>
            <w:tcW w:w="4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9,222,488</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Accumulated other comprehensive income (loss), net</w:t>
            </w:r>
          </w:p>
        </w:tc>
        <w:tc>
          <w:tcPr>
            <w:tcW w:w="2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5"/>
                <w:szCs w:val="15"/>
                <w:color w:val="auto"/>
              </w:rPr>
              <w:t>(247,915)</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(294,636)</w:t>
            </w: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Treasury stock — common, at cost — 8,555,636 shares at September 30, 2017;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3,764,742 shares at December 31, 2016</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360"/>
              <w:spacing w:after="0"/>
              <w:rPr>
                <w:sz w:val="20"/>
                <w:szCs w:val="20"/>
                <w:color w:val="auto"/>
              </w:rPr>
            </w:pPr>
            <w:r>
              <w:rPr>
                <w:rFonts w:ascii="Arial" w:cs="Arial" w:eastAsia="Arial" w:hAnsi="Arial"/>
                <w:sz w:val="15"/>
                <w:szCs w:val="15"/>
                <w:color w:val="auto"/>
              </w:rPr>
              <w:t>(1,254,733)</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(431,796)</w:t>
            </w: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720"/>
              <w:spacing w:after="0" w:line="169" w:lineRule="exact"/>
              <w:rPr>
                <w:sz w:val="20"/>
                <w:szCs w:val="20"/>
                <w:color w:val="auto"/>
              </w:rPr>
            </w:pPr>
            <w:r>
              <w:rPr>
                <w:rFonts w:ascii="Arial" w:cs="Arial" w:eastAsia="Arial" w:hAnsi="Arial"/>
                <w:sz w:val="15"/>
                <w:szCs w:val="15"/>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16,318,052</w:t>
            </w:r>
          </w:p>
        </w:tc>
        <w:tc>
          <w:tcPr>
            <w:tcW w:w="400" w:type="dxa"/>
            <w:vAlign w:val="bottom"/>
            <w:tcBorders>
              <w:bottom w:val="single" w:sz="8" w:color="CFF0F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16,486,622</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tcBorders>
              <w:bottom w:val="single" w:sz="8" w:color="CFF0FC"/>
            </w:tcBorders>
            <w:shd w:val="clear" w:color="auto" w:fill="CFF0FC"/>
          </w:tcPr>
          <w:p>
            <w:pPr>
              <w:spacing w:after="0"/>
              <w:rPr>
                <w:sz w:val="14"/>
                <w:szCs w:val="14"/>
                <w:color w:val="auto"/>
              </w:rPr>
            </w:pPr>
          </w:p>
        </w:tc>
        <w:tc>
          <w:tcPr>
            <w:tcW w:w="7020" w:type="dxa"/>
            <w:vAlign w:val="bottom"/>
            <w:tcBorders>
              <w:bottom w:val="single" w:sz="8" w:color="CFF0FC"/>
            </w:tcBorders>
            <w:shd w:val="clear" w:color="auto" w:fill="CFF0FC"/>
          </w:tcPr>
          <w:p>
            <w:pPr>
              <w:ind w:left="72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2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120,401,804</w:t>
            </w:r>
          </w:p>
        </w:tc>
        <w:tc>
          <w:tcPr>
            <w:tcW w:w="40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123,449,206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INCOME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color w:val="auto"/>
                <w:w w:val="94"/>
              </w:rPr>
              <w:t>Three Months Ended September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color w:val="auto"/>
                <w:w w:val="90"/>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6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w w:val="95"/>
              </w:rPr>
              <w:t>In thousands, except per share</w:t>
            </w:r>
          </w:p>
        </w:tc>
        <w:tc>
          <w:tcPr>
            <w:tcW w:w="4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50"/>
              <w:spacing w:after="0" w:line="154" w:lineRule="exact"/>
              <w:rPr>
                <w:sz w:val="20"/>
                <w:szCs w:val="20"/>
                <w:color w:val="auto"/>
              </w:rPr>
            </w:pPr>
            <w:r>
              <w:rPr>
                <w:rFonts w:ascii="Arial" w:cs="Arial" w:eastAsia="Arial" w:hAnsi="Arial"/>
                <w:sz w:val="14"/>
                <w:szCs w:val="14"/>
                <w:color w:val="auto"/>
              </w:rPr>
              <w:t>2017</w:t>
            </w:r>
          </w:p>
        </w:tc>
        <w:tc>
          <w:tcPr>
            <w:tcW w:w="280" w:type="dxa"/>
            <w:vAlign w:val="bottom"/>
          </w:tcPr>
          <w:p>
            <w:pPr>
              <w:spacing w:after="0"/>
              <w:rPr>
                <w:sz w:val="13"/>
                <w:szCs w:val="13"/>
                <w:color w:val="auto"/>
              </w:rPr>
            </w:pPr>
          </w:p>
        </w:tc>
        <w:tc>
          <w:tcPr>
            <w:tcW w:w="960" w:type="dxa"/>
            <w:vAlign w:val="bottom"/>
          </w:tcPr>
          <w:p>
            <w:pPr>
              <w:jc w:val="right"/>
              <w:ind w:right="250"/>
              <w:spacing w:after="0" w:line="154" w:lineRule="exact"/>
              <w:rPr>
                <w:sz w:val="20"/>
                <w:szCs w:val="20"/>
                <w:color w:val="auto"/>
              </w:rPr>
            </w:pPr>
            <w:r>
              <w:rPr>
                <w:rFonts w:ascii="Arial" w:cs="Arial" w:eastAsia="Arial" w:hAnsi="Arial"/>
                <w:sz w:val="14"/>
                <w:szCs w:val="14"/>
                <w:color w:val="auto"/>
              </w:rPr>
              <w:t>2016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2017</w:t>
            </w:r>
          </w:p>
        </w:tc>
        <w:tc>
          <w:tcPr>
            <w:tcW w:w="280" w:type="dxa"/>
            <w:vAlign w:val="bottom"/>
          </w:tcPr>
          <w:p>
            <w:pPr>
              <w:spacing w:after="0"/>
              <w:rPr>
                <w:sz w:val="13"/>
                <w:szCs w:val="13"/>
                <w:color w:val="auto"/>
              </w:rPr>
            </w:pPr>
          </w:p>
        </w:tc>
        <w:tc>
          <w:tcPr>
            <w:tcW w:w="86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Loans and leases, including fees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953,662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871,345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2,776,340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2,602,208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Fully taxable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84,893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276,057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274,092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Exempt from federal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Deposits at banks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income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1,057,210</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969,515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3,093,656</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2,912,970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4540" w:type="dxa"/>
            <w:vAlign w:val="bottom"/>
          </w:tcPr>
          <w:p>
            <w:pPr>
              <w:ind w:left="80"/>
              <w:spacing w:after="0"/>
              <w:rPr>
                <w:sz w:val="20"/>
                <w:szCs w:val="20"/>
                <w:color w:val="auto"/>
              </w:rPr>
            </w:pPr>
            <w:r>
              <w:rPr>
                <w:rFonts w:ascii="Arial" w:cs="Arial" w:eastAsia="Arial" w:hAnsi="Arial"/>
                <w:sz w:val="18"/>
                <w:szCs w:val="18"/>
                <w:color w:val="auto"/>
              </w:rPr>
              <w:t>Savings and interest-checking deposits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37,714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93,891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Time deposits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Deposits at Cayman Islands office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Short-term borrowings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Long-term borrowings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47,506</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expense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100,076</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111,175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284,062</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i w:val="1"/>
                <w:iCs w:val="1"/>
                <w:color w:val="auto"/>
              </w:rPr>
              <w:t>Net interest income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957,134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858,340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2,809,594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2,594,123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Provision for credit losses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Net interest income after provision for credit losses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927,134</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811,340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2,672,594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2,466,123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Mortgage banking revenues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96,737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267,592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Service charges on deposit accounts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109,356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107,935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319,589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Trust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124,900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371,712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Brokerage services income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14,676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Trading account and foreign exchange gains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Gain (loss) on bank investment securities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28,480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60" w:type="dxa"/>
            <w:vAlign w:val="bottom"/>
          </w:tcPr>
          <w:p>
            <w:pPr>
              <w:jc w:val="right"/>
              <w:spacing w:after="0"/>
              <w:rPr>
                <w:sz w:val="20"/>
                <w:szCs w:val="20"/>
                <w:color w:val="auto"/>
              </w:rPr>
            </w:pPr>
            <w:r>
              <w:rPr>
                <w:rFonts w:ascii="Arial" w:cs="Arial" w:eastAsia="Arial" w:hAnsi="Arial"/>
                <w:sz w:val="18"/>
                <w:szCs w:val="18"/>
                <w:color w:val="auto"/>
              </w:rPr>
              <w:t>28,748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revenues from operations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106,702</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103,866</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334,704</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580"/>
              <w:spacing w:after="0"/>
              <w:rPr>
                <w:sz w:val="20"/>
                <w:szCs w:val="20"/>
                <w:color w:val="auto"/>
              </w:rPr>
            </w:pPr>
            <w:r>
              <w:rPr>
                <w:rFonts w:ascii="Arial" w:cs="Arial" w:eastAsia="Arial" w:hAnsi="Arial"/>
                <w:sz w:val="18"/>
                <w:szCs w:val="18"/>
                <w:color w:val="auto"/>
              </w:rPr>
              <w:t>Total other income</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459,429</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491,350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1,367,090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1,360,537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Salaries and employee benefits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399,089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399,786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1,247,851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1,230,246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Equipment and net occupancy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75,558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223,721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Outside data processing and software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134,637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FDIC assessments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23,969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78,149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Advertising and marketing</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49,837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Printing, postage and supplies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27,397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Amortization of core deposit and other intangible assets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54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 costs of operations</w:t>
            </w:r>
          </w:p>
        </w:tc>
        <w:tc>
          <w:tcPr>
            <w:tcW w:w="4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227,705</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165,251</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558,579</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488,063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other expense</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806,025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752,392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2,344,512</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2,278,382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Income before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580,538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550,298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1,695,172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1,548,278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224,615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200,314</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609,269</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540" w:type="dxa"/>
            <w:vAlign w:val="bottom"/>
            <w:tcBorders>
              <w:bottom w:val="single" w:sz="8" w:color="CFF0FC"/>
            </w:tcBorders>
          </w:tcPr>
          <w:p>
            <w:pPr>
              <w:ind w:left="80"/>
              <w:spacing w:after="0"/>
              <w:rPr>
                <w:sz w:val="20"/>
                <w:szCs w:val="20"/>
                <w:color w:val="auto"/>
              </w:rPr>
            </w:pPr>
            <w:r>
              <w:rPr>
                <w:rFonts w:ascii="Arial" w:cs="Arial" w:eastAsia="Arial" w:hAnsi="Arial"/>
                <w:sz w:val="18"/>
                <w:szCs w:val="18"/>
                <w:i w:val="1"/>
                <w:iCs w:val="1"/>
                <w:color w:val="auto"/>
              </w:rPr>
              <w:t>Net income</w:t>
            </w:r>
          </w:p>
        </w:tc>
        <w:tc>
          <w:tcPr>
            <w:tcW w:w="4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355,923</w:t>
            </w:r>
          </w:p>
        </w:tc>
        <w:tc>
          <w:tcPr>
            <w:tcW w:w="2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349,984</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1,085,903</w:t>
            </w:r>
          </w:p>
        </w:tc>
        <w:tc>
          <w:tcPr>
            <w:tcW w:w="2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984,543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Net income available to common shareholders</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335,801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326,992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1,025,011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915,670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335,804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326,998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1,025,023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Net income per common share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 dividends per common share</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Average common shares outstanding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5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151,347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155,493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ind w:left="58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151,691</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153,293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157,843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ind w:left="3700"/>
              <w:spacing w:after="0"/>
              <w:rPr>
                <w:sz w:val="20"/>
                <w:szCs w:val="20"/>
                <w:color w:val="auto"/>
              </w:rPr>
            </w:pPr>
            <w:r>
              <w:rPr>
                <w:rFonts w:ascii="Arial" w:cs="Arial" w:eastAsia="Arial" w:hAnsi="Arial"/>
                <w:sz w:val="18"/>
                <w:szCs w:val="18"/>
                <w:color w:val="auto"/>
              </w:rPr>
              <w:t>- 4 -</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color w:val="auto"/>
                <w:w w:val="94"/>
              </w:rPr>
              <w:t>Three Months Ended September 30</w:t>
            </w:r>
          </w:p>
        </w:tc>
        <w:tc>
          <w:tcPr>
            <w:tcW w:w="140" w:type="dxa"/>
            <w:vAlign w:val="bottom"/>
          </w:tcPr>
          <w:p>
            <w:pPr>
              <w:spacing w:after="0"/>
              <w:rPr>
                <w:sz w:val="14"/>
                <w:szCs w:val="14"/>
                <w:color w:val="auto"/>
              </w:rPr>
            </w:pPr>
          </w:p>
        </w:tc>
        <w:tc>
          <w:tcPr>
            <w:tcW w:w="2120" w:type="dxa"/>
            <w:vAlign w:val="bottom"/>
            <w:gridSpan w:val="4"/>
          </w:tcPr>
          <w:p>
            <w:pPr>
              <w:jc w:val="right"/>
              <w:ind w:right="120"/>
              <w:spacing w:after="0"/>
              <w:rPr>
                <w:sz w:val="20"/>
                <w:szCs w:val="20"/>
                <w:color w:val="auto"/>
              </w:rPr>
            </w:pPr>
            <w:r>
              <w:rPr>
                <w:rFonts w:ascii="Arial" w:cs="Arial" w:eastAsia="Arial" w:hAnsi="Arial"/>
                <w:sz w:val="14"/>
                <w:szCs w:val="14"/>
                <w:color w:val="auto"/>
                <w:w w:val="92"/>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2"/>
              <w:spacing w:after="0" w:line="154"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3"/>
                <w:szCs w:val="13"/>
                <w:color w:val="auto"/>
              </w:rPr>
            </w:pPr>
          </w:p>
        </w:tc>
        <w:tc>
          <w:tcPr>
            <w:tcW w:w="940" w:type="dxa"/>
            <w:vAlign w:val="bottom"/>
          </w:tcPr>
          <w:p>
            <w:pPr>
              <w:jc w:val="right"/>
              <w:ind w:right="252"/>
              <w:spacing w:after="0" w:line="154" w:lineRule="exact"/>
              <w:rPr>
                <w:sz w:val="20"/>
                <w:szCs w:val="20"/>
                <w:color w:val="auto"/>
              </w:rPr>
            </w:pPr>
            <w:r>
              <w:rPr>
                <w:rFonts w:ascii="Arial" w:cs="Arial" w:eastAsia="Arial" w:hAnsi="Arial"/>
                <w:sz w:val="14"/>
                <w:szCs w:val="14"/>
                <w:color w:val="auto"/>
              </w:rPr>
              <w:t>2016</w:t>
            </w:r>
          </w:p>
        </w:tc>
        <w:tc>
          <w:tcPr>
            <w:tcW w:w="180" w:type="dxa"/>
            <w:vAlign w:val="bottom"/>
          </w:tcPr>
          <w:p>
            <w:pPr>
              <w:spacing w:after="0"/>
              <w:rPr>
                <w:sz w:val="13"/>
                <w:szCs w:val="13"/>
                <w:color w:val="auto"/>
              </w:rPr>
            </w:pPr>
          </w:p>
        </w:tc>
        <w:tc>
          <w:tcPr>
            <w:tcW w:w="1000" w:type="dxa"/>
            <w:vAlign w:val="bottom"/>
            <w:gridSpan w:val="2"/>
          </w:tcPr>
          <w:p>
            <w:pPr>
              <w:jc w:val="right"/>
              <w:ind w:right="216"/>
              <w:spacing w:after="0" w:line="154" w:lineRule="exact"/>
              <w:rPr>
                <w:sz w:val="20"/>
                <w:szCs w:val="20"/>
                <w:color w:val="auto"/>
              </w:rPr>
            </w:pPr>
            <w:r>
              <w:rPr>
                <w:rFonts w:ascii="Arial" w:cs="Arial" w:eastAsia="Arial" w:hAnsi="Arial"/>
                <w:sz w:val="14"/>
                <w:szCs w:val="14"/>
                <w:color w:val="auto"/>
              </w:rPr>
              <w:t>2017</w:t>
            </w:r>
          </w:p>
        </w:tc>
        <w:tc>
          <w:tcPr>
            <w:tcW w:w="320" w:type="dxa"/>
            <w:vAlign w:val="bottom"/>
          </w:tcPr>
          <w:p>
            <w:pPr>
              <w:spacing w:after="0"/>
              <w:rPr>
                <w:sz w:val="13"/>
                <w:szCs w:val="13"/>
                <w:color w:val="auto"/>
              </w:rPr>
            </w:pPr>
          </w:p>
        </w:tc>
        <w:tc>
          <w:tcPr>
            <w:tcW w:w="840" w:type="dxa"/>
            <w:vAlign w:val="bottom"/>
          </w:tcPr>
          <w:p>
            <w:pPr>
              <w:jc w:val="right"/>
              <w:ind w:right="192"/>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355,923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349,984</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$ 1,085,903</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984,543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 investment securities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(17,133)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33,834</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Cash flow hedges adjustments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(2,098)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3,847</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12,496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(13,538)</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46,721</w:t>
            </w:r>
          </w:p>
        </w:tc>
        <w:tc>
          <w:tcPr>
            <w:tcW w:w="3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137,068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480"/>
              <w:spacing w:after="0"/>
              <w:rPr>
                <w:sz w:val="20"/>
                <w:szCs w:val="20"/>
                <w:color w:val="auto"/>
              </w:rPr>
            </w:pPr>
            <w:r>
              <w:rPr>
                <w:rFonts w:ascii="Arial" w:cs="Arial" w:eastAsia="Arial" w:hAnsi="Arial"/>
                <w:sz w:val="18"/>
                <w:szCs w:val="18"/>
                <w:i w:val="1"/>
                <w:iCs w:val="1"/>
                <w:color w:val="auto"/>
              </w:rPr>
              <w:t>Total comprehensive income</w:t>
            </w:r>
          </w:p>
        </w:tc>
        <w:tc>
          <w:tcPr>
            <w:tcW w:w="13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378,089</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$ 1,132,624</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1,121,611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60" w:type="dxa"/>
            <w:vAlign w:val="bottom"/>
            <w:vMerge w:val="restart"/>
          </w:tcPr>
          <w:p>
            <w:pPr>
              <w:jc w:val="right"/>
              <w:ind w:right="830"/>
              <w:spacing w:after="0"/>
              <w:rPr>
                <w:sz w:val="20"/>
                <w:szCs w:val="20"/>
                <w:color w:val="auto"/>
              </w:rPr>
            </w:pPr>
            <w:r>
              <w:rPr>
                <w:rFonts w:ascii="Arial" w:cs="Arial" w:eastAsia="Arial" w:hAnsi="Arial"/>
                <w:sz w:val="18"/>
                <w:szCs w:val="18"/>
                <w:color w:val="auto"/>
              </w:rPr>
              <w:t>- 5 -</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color w:val="auto"/>
                <w:w w:val="94"/>
              </w:rPr>
              <w:t>Nine Months Ended September 30</w:t>
            </w:r>
          </w:p>
        </w:tc>
        <w:tc>
          <w:tcPr>
            <w:tcW w:w="0" w:type="dxa"/>
            <w:vAlign w:val="bottom"/>
          </w:tcPr>
          <w:p>
            <w:pPr>
              <w:spacing w:after="0"/>
              <w:rPr>
                <w:sz w:val="1"/>
                <w:szCs w:val="1"/>
                <w:color w:val="auto"/>
              </w:rPr>
            </w:pPr>
          </w:p>
        </w:tc>
      </w:tr>
      <w:tr>
        <w:trPr>
          <w:trHeight w:val="154"/>
        </w:trPr>
        <w:tc>
          <w:tcPr>
            <w:tcW w:w="228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6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28"/>
              <w:spacing w:after="0" w:line="154" w:lineRule="exact"/>
              <w:rPr>
                <w:sz w:val="20"/>
                <w:szCs w:val="20"/>
                <w:color w:val="auto"/>
              </w:rPr>
            </w:pPr>
            <w:r>
              <w:rPr>
                <w:rFonts w:ascii="Arial" w:cs="Arial" w:eastAsia="Arial" w:hAnsi="Arial"/>
                <w:sz w:val="14"/>
                <w:szCs w:val="14"/>
                <w:color w:val="auto"/>
              </w:rPr>
              <w:t>2017</w:t>
            </w:r>
          </w:p>
        </w:tc>
        <w:tc>
          <w:tcPr>
            <w:tcW w:w="340" w:type="dxa"/>
            <w:vAlign w:val="bottom"/>
          </w:tcPr>
          <w:p>
            <w:pPr>
              <w:spacing w:after="0"/>
              <w:rPr>
                <w:sz w:val="13"/>
                <w:szCs w:val="13"/>
                <w:color w:val="auto"/>
              </w:rPr>
            </w:pPr>
          </w:p>
        </w:tc>
        <w:tc>
          <w:tcPr>
            <w:tcW w:w="900" w:type="dxa"/>
            <w:vAlign w:val="bottom"/>
          </w:tcPr>
          <w:p>
            <w:pPr>
              <w:jc w:val="right"/>
              <w:ind w:right="248"/>
              <w:spacing w:after="0" w:line="154"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280" w:type="dxa"/>
            <w:vAlign w:val="bottom"/>
            <w:gridSpan w:val="2"/>
          </w:tcPr>
          <w:p>
            <w:pPr>
              <w:spacing w:after="0"/>
              <w:rPr>
                <w:sz w:val="20"/>
                <w:szCs w:val="20"/>
                <w:color w:val="auto"/>
              </w:rPr>
            </w:pPr>
            <w:r>
              <w:rPr>
                <w:rFonts w:ascii="Arial" w:cs="Arial" w:eastAsia="Arial" w:hAnsi="Arial"/>
                <w:sz w:val="14"/>
                <w:szCs w:val="14"/>
                <w:color w:val="auto"/>
              </w:rPr>
              <w:t>Cash flows from operating</w:t>
            </w:r>
          </w:p>
        </w:tc>
        <w:tc>
          <w:tcPr>
            <w:tcW w:w="6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1,085,903</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984,543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Provision for credit losses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137,000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Depreciation and amortization of premises and equipment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84,631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Amortization of capitalized servicing rights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41,475</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37,979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Amortization of core deposit and other intangible assets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24,341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Provision for deferred income taxes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9,926</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109,274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Asset write-downs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10,878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Net gain on sales of assets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(27,967)</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(46,732)</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Net change in accrued interest receivable, payable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(23,059)</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(13,833)</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Net change in other accrued income and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110,138</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Net change in loans originated for sale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523,895</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(285,824)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Net change in trading account assets and liabilities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88,705</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(82,837)</w:t>
            </w:r>
          </w:p>
        </w:tc>
        <w:tc>
          <w:tcPr>
            <w:tcW w:w="0" w:type="dxa"/>
            <w:vAlign w:val="bottom"/>
          </w:tcPr>
          <w:p>
            <w:pPr>
              <w:spacing w:after="0"/>
              <w:rPr>
                <w:sz w:val="1"/>
                <w:szCs w:val="1"/>
                <w:color w:val="auto"/>
              </w:rPr>
            </w:pPr>
          </w:p>
        </w:tc>
      </w:tr>
      <w:tr>
        <w:trPr>
          <w:trHeight w:val="156"/>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6920" w:type="dxa"/>
            <w:vAlign w:val="bottom"/>
            <w:tcBorders>
              <w:top w:val="single" w:sz="8" w:color="CFF0FC"/>
            </w:tcBorders>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2,065,866</w:t>
            </w:r>
          </w:p>
        </w:tc>
        <w:tc>
          <w:tcPr>
            <w:tcW w:w="3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1,072,090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investing</w:t>
            </w:r>
          </w:p>
        </w:tc>
        <w:tc>
          <w:tcPr>
            <w:tcW w:w="6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512,143</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178,244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maturities of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1,650,258</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1,690,665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Held to maturity</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390,278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459,399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Purchases of investment securities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(248,705)</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(1,150,523)</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Held to maturity</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(1,175,608)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(15,806)</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(132,104)</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Net decrease (increase) in loans and leases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2,259,049</w:t>
            </w:r>
          </w:p>
        </w:tc>
        <w:tc>
          <w:tcPr>
            <w:tcW w:w="3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(2,021,004)</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interest-bearing deposits at banks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(1,305,846)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(3,183,286)</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Capital expenditures, net</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(62,515)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(65,277)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decrease in loan servicing advances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47,786</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66,357</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provided (used) by investing activities</w:t>
            </w: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2,179,337</w:t>
            </w:r>
          </w:p>
        </w:tc>
        <w:tc>
          <w:tcPr>
            <w:tcW w:w="3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(3,998,198)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financing</w:t>
            </w:r>
          </w:p>
        </w:tc>
        <w:tc>
          <w:tcPr>
            <w:tcW w:w="6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increase (decrease) in deposits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(1,976,237)</w:t>
            </w:r>
          </w:p>
        </w:tc>
        <w:tc>
          <w:tcPr>
            <w:tcW w:w="900" w:type="dxa"/>
            <w:vAlign w:val="bottom"/>
          </w:tcPr>
          <w:p>
            <w:pPr>
              <w:jc w:val="right"/>
              <w:spacing w:after="0"/>
              <w:rPr>
                <w:sz w:val="20"/>
                <w:szCs w:val="20"/>
                <w:color w:val="auto"/>
              </w:rPr>
            </w:pPr>
            <w:r>
              <w:rPr>
                <w:rFonts w:ascii="Arial" w:cs="Arial" w:eastAsia="Arial" w:hAnsi="Arial"/>
                <w:sz w:val="14"/>
                <w:szCs w:val="14"/>
                <w:color w:val="auto"/>
              </w:rPr>
              <w:t>6,195,511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(decrease) in short-term borrowings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37,326</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(1,886,701)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Proceeds from long-term borrowings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2,145,950</w:t>
            </w:r>
          </w:p>
        </w:tc>
        <w:tc>
          <w:tcPr>
            <w:tcW w:w="3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on long-term borrowings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(3,029,320)</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(427,035)</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Purchases of treasury stock</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(981,691)</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(604,000)</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Dividends paid — common</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(345,166)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(333,042)</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Dividends paid — preferred</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(53,842)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(58,003)</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5,480</w:t>
            </w:r>
          </w:p>
        </w:tc>
        <w:tc>
          <w:tcPr>
            <w:tcW w:w="3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6920" w:type="dxa"/>
            <w:vAlign w:val="bottom"/>
            <w:tcBorders>
              <w:bottom w:val="single" w:sz="8" w:color="CFF0FC"/>
            </w:tcBorders>
          </w:tcPr>
          <w:p>
            <w:pPr>
              <w:ind w:left="540"/>
              <w:spacing w:after="0" w:line="155" w:lineRule="exact"/>
              <w:rPr>
                <w:sz w:val="20"/>
                <w:szCs w:val="20"/>
                <w:color w:val="auto"/>
              </w:rPr>
            </w:pPr>
            <w:r>
              <w:rPr>
                <w:rFonts w:ascii="Arial" w:cs="Arial" w:eastAsia="Arial" w:hAnsi="Arial"/>
                <w:sz w:val="14"/>
                <w:szCs w:val="14"/>
                <w:color w:val="auto"/>
              </w:rPr>
              <w:t>Net cash provided (used) by financing activities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(4,197,500)</w:t>
            </w: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2,890,270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47,703</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(35,838)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1,320,549</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1,368,040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shd w:val="clear" w:color="auto" w:fill="CFF0FC"/>
          </w:tcPr>
          <w:p>
            <w:pPr>
              <w:spacing w:after="0"/>
              <w:rPr>
                <w:sz w:val="13"/>
                <w:szCs w:val="13"/>
                <w:color w:val="auto"/>
              </w:rPr>
            </w:pPr>
          </w:p>
        </w:tc>
        <w:tc>
          <w:tcPr>
            <w:tcW w:w="1540" w:type="dxa"/>
            <w:vAlign w:val="bottom"/>
            <w:tcBorders>
              <w:bottom w:val="single" w:sz="8" w:color="CFF0FC"/>
            </w:tcBorders>
            <w:shd w:val="clear" w:color="auto" w:fill="CFF0FC"/>
          </w:tcPr>
          <w:p>
            <w:pPr>
              <w:spacing w:after="0"/>
              <w:rPr>
                <w:sz w:val="13"/>
                <w:szCs w:val="13"/>
                <w:color w:val="auto"/>
              </w:rPr>
            </w:pPr>
          </w:p>
        </w:tc>
        <w:tc>
          <w:tcPr>
            <w:tcW w:w="692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1,368,252</w:t>
            </w:r>
          </w:p>
        </w:tc>
        <w:tc>
          <w:tcPr>
            <w:tcW w:w="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1,332,202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w:t>
            </w: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80" w:type="dxa"/>
            <w:vAlign w:val="bottom"/>
            <w:gridSpan w:val="2"/>
            <w:vMerge w:val="continue"/>
          </w:tcPr>
          <w:p>
            <w:pPr>
              <w:spacing w:after="0"/>
              <w:rPr>
                <w:sz w:val="10"/>
                <w:szCs w:val="10"/>
                <w:color w:val="auto"/>
              </w:rPr>
            </w:pPr>
          </w:p>
        </w:tc>
        <w:tc>
          <w:tcPr>
            <w:tcW w:w="6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flow information</w:t>
            </w:r>
          </w:p>
        </w:tc>
        <w:tc>
          <w:tcPr>
            <w:tcW w:w="6920" w:type="dxa"/>
            <w:vAlign w:val="bottom"/>
          </w:tcPr>
          <w:p>
            <w:pPr>
              <w:ind w:left="300"/>
              <w:spacing w:after="0"/>
              <w:rPr>
                <w:sz w:val="20"/>
                <w:szCs w:val="20"/>
                <w:color w:val="auto"/>
              </w:rPr>
            </w:pPr>
            <w:r>
              <w:rPr>
                <w:rFonts w:ascii="Arial" w:cs="Arial" w:eastAsia="Arial" w:hAnsi="Arial"/>
                <w:sz w:val="14"/>
                <w:szCs w:val="14"/>
                <w:color w:val="auto"/>
              </w:rPr>
              <w:t>Interest received during the period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3,088,042</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2,923,278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paid during the period</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310,640</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387,695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spacing w:after="0"/>
              <w:rPr>
                <w:sz w:val="17"/>
                <w:szCs w:val="17"/>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Income taxes paid during the period</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462,163</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138,375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gridSpan w:val="2"/>
            <w:shd w:val="clear" w:color="auto" w:fill="CFF0FC"/>
          </w:tcPr>
          <w:p>
            <w:pPr>
              <w:spacing w:after="0" w:line="124" w:lineRule="exact"/>
              <w:rPr>
                <w:sz w:val="20"/>
                <w:szCs w:val="20"/>
                <w:color w:val="auto"/>
              </w:rPr>
            </w:pPr>
            <w:r>
              <w:rPr>
                <w:rFonts w:ascii="Arial" w:cs="Arial" w:eastAsia="Arial" w:hAnsi="Arial"/>
                <w:sz w:val="14"/>
                <w:szCs w:val="14"/>
                <w:color w:val="auto"/>
              </w:rPr>
              <w:t>Supplemental schedule of</w:t>
            </w:r>
          </w:p>
        </w:tc>
        <w:tc>
          <w:tcPr>
            <w:tcW w:w="6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noncash investing and financing</w:t>
            </w:r>
          </w:p>
        </w:tc>
        <w:tc>
          <w:tcPr>
            <w:tcW w:w="6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Real estate acquired in settlement of loans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Securitization of residential mortgage loans allocated to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Available-for-sale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22,527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Capitalized servicing rights</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262</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Common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Common</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Stock</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Income</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Treasury</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6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10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1"/>
              </w:rPr>
              <w:t>Stock</w:t>
            </w:r>
          </w:p>
        </w:tc>
        <w:tc>
          <w:tcPr>
            <w:tcW w:w="82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Stock</w:t>
            </w:r>
          </w:p>
        </w:tc>
        <w:tc>
          <w:tcPr>
            <w:tcW w:w="8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88"/>
              </w:rPr>
              <w:t>Issuable</w:t>
            </w:r>
          </w:p>
        </w:tc>
        <w:tc>
          <w:tcPr>
            <w:tcW w:w="104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Capital</w:t>
            </w:r>
          </w:p>
        </w:tc>
        <w:tc>
          <w:tcPr>
            <w:tcW w:w="96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5"/>
                <w:szCs w:val="15"/>
                <w:color w:val="auto"/>
              </w:rPr>
            </w:pPr>
          </w:p>
        </w:tc>
        <w:tc>
          <w:tcPr>
            <w:tcW w:w="11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3"/>
              </w:rPr>
              <w:t>(Loss), Net</w:t>
            </w:r>
          </w:p>
        </w:tc>
        <w:tc>
          <w:tcPr>
            <w:tcW w:w="11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Stock</w:t>
            </w:r>
          </w:p>
        </w:tc>
        <w:tc>
          <w:tcPr>
            <w:tcW w:w="102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Balance — January 1, 2016</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79,782</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6,680,768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8,430,502</w:t>
            </w:r>
          </w:p>
        </w:tc>
        <w:tc>
          <w:tcPr>
            <w:tcW w:w="14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(251,627)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16,173,289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984,543</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137,068</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(60,953)</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5,320 Series A stock</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warrants into 1,983 shares of</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(604,000)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7,315</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10,319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$2.10 per share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(332,057)</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(332,057)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2016</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79,975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6,689,812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9,021,965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16,340,976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79,973</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6,676,948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9,222,488</w:t>
            </w: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(294,636)</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(431,796)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16,486,622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1,085,903</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46,721</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1,132,624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(54,604)</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8"/>
                <w:szCs w:val="18"/>
                <w:color w:val="auto"/>
              </w:rPr>
              <w:t>Exercise of 304,436 Series A stock</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warrants into 165,498 shares of</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(22,992)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22,992</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(981,691)</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(981,691)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(51,606)</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57,685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(6,722)</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68,014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(318)</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(368)</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$2.25 per share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(344,307)</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(344,307)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6,598,048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9,909,415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(247,915)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(1,254,733</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16,318,052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- 7 -</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2016 (“2016 Annual Report”), except that effective January 2017 the Company adopted amended accounting guidance that is discussed in note 16 herein. The most significant of those changes related to the accounting for excess tax benefits or deficiencies associated with share-based compensation whereby beginning in 2017 those amounts are recognized in income tax expense. Previously, tax effects resulting from changes in M&amp;T’s share price subsequent to the grant date were recorded through shareholders’ equity. The adoption of this new accounting guidance resulted in a reduction of income tax expense for the three months ended March 31, 2017 of $18 million, or $.12 of diluted earnings per common share. The impact on income tax expense and diluted earnings per common share in the second and third quarters of 2017 was not significant. In the opinion of management, all adjustments necessary for a fair statement have been made and were all of a normal recurring nature.</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Acquisitions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connection with the acquisition of Hudson City Bancorp, Inc. (“Hudson City”) on November 1, 2015 the Company incurred merger-related expenses related to systems conversions and other costs of integrating and conforming acquired operations with and into the Company. Those expenses consisted largely of professional services and other temporary help fees associated with systems conversions and/or integration of operations; costs related to termination of existing contractual arrangements for various services; initial marketing and promotion expenses designed to introduce the Company to its new customers; severance (for former Hudson City employees); travel costs; and other costs of completing the transaction and commencing operations in new markets and offices.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 summary of merger-related expenses included in the consolidated statement of income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September 30, 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Salaries and employee benefits</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Outside data processing and software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costs of operations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400" w:firstLine="518"/>
        <w:spacing w:after="0" w:line="264" w:lineRule="auto"/>
        <w:rPr>
          <w:sz w:val="20"/>
          <w:szCs w:val="20"/>
          <w:color w:val="auto"/>
        </w:rPr>
      </w:pPr>
      <w:r>
        <w:rPr>
          <w:rFonts w:ascii="Arial" w:cs="Arial" w:eastAsia="Arial" w:hAnsi="Arial"/>
          <w:sz w:val="21"/>
          <w:szCs w:val="21"/>
          <w:color w:val="auto"/>
        </w:rPr>
        <w:t>There were no merger-related expenses during the three-month or nine-month periods ended September 30, 2017 or during the three-month period ended September 30, 2016.</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Gross</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8"/>
              </w:rPr>
              <w:t>Amortized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Estimated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Cost</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Gains</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632"/>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2,017,901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2,007,117</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9,155,485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92,915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9,184,483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136,769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128,530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37,427</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93,986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11,369,815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133,165</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86,156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11,416,824</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32,445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32,554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3,063,164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41,849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3,097,866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112,449</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5,085</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3,242,124</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43,792</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3,247,954</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414,978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414,978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15,026,917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15,079,756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1,912,110</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10,980,507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88,343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113,989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10,954,861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134,105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118,516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307,964</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45,073</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352,466</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13,338,301</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141,515</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13,332,072</w:t>
            </w:r>
          </w:p>
        </w:tc>
        <w:tc>
          <w:tcPr>
            <w:tcW w:w="12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60,901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2,233,173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37,498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2,263,297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157,704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121,481</w:t>
            </w:r>
          </w:p>
        </w:tc>
        <w:tc>
          <w:tcPr>
            <w:tcW w:w="1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5,543</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2,457,278</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38,662</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2,451,222</w:t>
            </w: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461,118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461,118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16,256,697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16,244,412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51"/>
              <w:spacing w:after="0"/>
              <w:rPr>
                <w:sz w:val="20"/>
                <w:szCs w:val="20"/>
                <w:color w:val="auto"/>
              </w:rPr>
            </w:pPr>
            <w:r>
              <w:rPr>
                <w:rFonts w:ascii="Arial" w:cs="Arial" w:eastAsia="Arial" w:hAnsi="Arial"/>
                <w:sz w:val="18"/>
                <w:szCs w:val="18"/>
                <w:color w:val="auto"/>
                <w:w w:val="93"/>
              </w:rPr>
              <w:t>- 9 -</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right="20" w:firstLine="518"/>
        <w:spacing w:after="0" w:line="247"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three-month and nine-month periods ended September 30, 2017. During the three months ended September 30, 2016, the Company sold substantially all of its collateralized debt obligations held in the available-for-sale investment securities portfolio for a gain of $28 million. There were no other significant gross realized gains or losses from the sale of investment securities for the three-month and nine-month periods ended September 30, 2016.</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At September 30, 2017, the amortized cost and estimated fair value of debt securities by contractual maturity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Amortized</w:t>
            </w: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Estimated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Cost</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Fair Value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3"/>
          </w:tcPr>
          <w:p>
            <w:pPr>
              <w:jc w:val="right"/>
              <w:ind w:right="65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393,453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392,506</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1,632,143</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1,622,447</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72,508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72,854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50,518</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2,157,291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2,138,325</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9,155,515</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9,184,513</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FF0FC"/>
            </w:tcBorders>
          </w:tcPr>
          <w:p>
            <w:pPr>
              <w:spacing w:after="0"/>
              <w:rPr>
                <w:sz w:val="22"/>
                <w:szCs w:val="22"/>
                <w:color w:val="auto"/>
              </w:rPr>
            </w:pPr>
          </w:p>
        </w:tc>
        <w:tc>
          <w:tcPr>
            <w:tcW w:w="23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11,312,806</w:t>
            </w:r>
          </w:p>
        </w:tc>
        <w:tc>
          <w:tcPr>
            <w:tcW w:w="3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11,322,838</w:t>
            </w:r>
          </w:p>
        </w:tc>
        <w:tc>
          <w:tcPr>
            <w:tcW w:w="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18,640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18,738</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13,612</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13,619</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37,530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37,639</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held to maturity</w:t>
            </w:r>
          </w:p>
        </w:tc>
        <w:tc>
          <w:tcPr>
            <w:tcW w:w="2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3,204,594</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3,210,315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3,242,124</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3,247,954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80" w:type="dxa"/>
            <w:vAlign w:val="bottom"/>
            <w:vMerge w:val="restart"/>
          </w:tcPr>
          <w:p>
            <w:pPr>
              <w:jc w:val="right"/>
              <w:ind w:right="790"/>
              <w:spacing w:after="0"/>
              <w:rPr>
                <w:sz w:val="20"/>
                <w:szCs w:val="20"/>
                <w:color w:val="auto"/>
              </w:rPr>
            </w:pPr>
            <w:r>
              <w:rPr>
                <w:rFonts w:ascii="Arial" w:cs="Arial" w:eastAsia="Arial" w:hAnsi="Arial"/>
                <w:sz w:val="18"/>
                <w:szCs w:val="18"/>
                <w:color w:val="auto"/>
              </w:rPr>
              <w:t>- 10 -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116"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A summary of investment securities that as of September 30, 2017 and December 31, 2016 had been in a continuous unrealized loss position for less than twelve months and those that had been in a continuous unrealized loss position for twelve months or longer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4"/>
          </w:tcPr>
          <w:p>
            <w:pPr>
              <w:jc w:val="right"/>
              <w:ind w:right="800"/>
              <w:spacing w:after="0"/>
              <w:rPr>
                <w:sz w:val="20"/>
                <w:szCs w:val="20"/>
                <w:color w:val="auto"/>
              </w:rPr>
            </w:pPr>
            <w:r>
              <w:rPr>
                <w:rFonts w:ascii="Arial" w:cs="Arial" w:eastAsia="Arial" w:hAnsi="Arial"/>
                <w:sz w:val="14"/>
                <w:szCs w:val="14"/>
                <w:color w:val="auto"/>
              </w:rPr>
              <w:t>Less Than 12 Months</w:t>
            </w:r>
          </w:p>
        </w:tc>
        <w:tc>
          <w:tcPr>
            <w:tcW w:w="2320" w:type="dxa"/>
            <w:vAlign w:val="bottom"/>
            <w:gridSpan w:val="4"/>
          </w:tcPr>
          <w:p>
            <w:pPr>
              <w:jc w:val="right"/>
              <w:ind w:right="6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color w:val="auto"/>
                <w:w w:val="99"/>
              </w:rPr>
              <w:t>Fair</w:t>
            </w:r>
          </w:p>
        </w:tc>
        <w:tc>
          <w:tcPr>
            <w:tcW w:w="920" w:type="dxa"/>
            <w:vAlign w:val="bottom"/>
            <w:tcBorders>
              <w:top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7" w:lineRule="exact"/>
              <w:rPr>
                <w:sz w:val="20"/>
                <w:szCs w:val="20"/>
                <w:color w:val="auto"/>
              </w:rPr>
            </w:pPr>
            <w:r>
              <w:rPr>
                <w:rFonts w:ascii="Arial" w:cs="Arial" w:eastAsia="Arial" w:hAnsi="Arial"/>
                <w:sz w:val="14"/>
                <w:szCs w:val="14"/>
                <w:color w:val="auto"/>
                <w:w w:val="99"/>
              </w:rPr>
              <w:t>Fair</w:t>
            </w:r>
          </w:p>
        </w:tc>
        <w:tc>
          <w:tcPr>
            <w:tcW w:w="960" w:type="dxa"/>
            <w:vAlign w:val="bottom"/>
            <w:tcBorders>
              <w:top w:val="single" w:sz="8" w:color="auto"/>
            </w:tcBorders>
          </w:tcPr>
          <w:p>
            <w:pPr>
              <w:jc w:val="right"/>
              <w:ind w:right="91"/>
              <w:spacing w:after="0" w:line="137"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Value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color w:val="auto"/>
              </w:rPr>
              <w:t>Losses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1,576,717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(8,002)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373,852</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2,854,982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(32,123)</w:t>
            </w:r>
          </w:p>
        </w:tc>
        <w:tc>
          <w:tcPr>
            <w:tcW w:w="920" w:type="dxa"/>
            <w:vAlign w:val="bottom"/>
          </w:tcPr>
          <w:p>
            <w:pPr>
              <w:jc w:val="right"/>
              <w:spacing w:after="0"/>
              <w:rPr>
                <w:sz w:val="20"/>
                <w:szCs w:val="20"/>
                <w:color w:val="auto"/>
              </w:rPr>
            </w:pPr>
            <w:r>
              <w:rPr>
                <w:rFonts w:ascii="Arial" w:cs="Arial" w:eastAsia="Arial" w:hAnsi="Arial"/>
                <w:sz w:val="18"/>
                <w:szCs w:val="18"/>
                <w:color w:val="auto"/>
              </w:rPr>
              <w:t>1,298,054</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60,518</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18,185</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4,451,384</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(40,431)</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1,733,051</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920" w:type="dxa"/>
            <w:vAlign w:val="bottom"/>
          </w:tcPr>
          <w:p>
            <w:pPr>
              <w:jc w:val="right"/>
              <w:spacing w:after="0"/>
              <w:rPr>
                <w:sz w:val="20"/>
                <w:szCs w:val="20"/>
                <w:color w:val="auto"/>
              </w:rPr>
            </w:pPr>
            <w:r>
              <w:rPr>
                <w:rFonts w:ascii="Arial" w:cs="Arial" w:eastAsia="Arial" w:hAnsi="Arial"/>
                <w:sz w:val="18"/>
                <w:szCs w:val="18"/>
                <w:color w:val="auto"/>
              </w:rPr>
              <w:t>7,093</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638,863</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(2,832)</w:t>
            </w:r>
          </w:p>
        </w:tc>
        <w:tc>
          <w:tcPr>
            <w:tcW w:w="920" w:type="dxa"/>
            <w:vAlign w:val="bottom"/>
          </w:tcPr>
          <w:p>
            <w:pPr>
              <w:jc w:val="right"/>
              <w:spacing w:after="0"/>
              <w:rPr>
                <w:sz w:val="20"/>
                <w:szCs w:val="20"/>
                <w:color w:val="auto"/>
              </w:rPr>
            </w:pPr>
            <w:r>
              <w:rPr>
                <w:rFonts w:ascii="Arial" w:cs="Arial" w:eastAsia="Arial" w:hAnsi="Arial"/>
                <w:sz w:val="18"/>
                <w:szCs w:val="18"/>
                <w:color w:val="auto"/>
              </w:rPr>
              <w:t>157,923</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53,631</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643,795</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218,647</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5,095,179</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(43,294)</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1,951,698</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1,710,241</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(9,950)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6,730,829</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(113,374)</w:t>
            </w:r>
          </w:p>
        </w:tc>
        <w:tc>
          <w:tcPr>
            <w:tcW w:w="920" w:type="dxa"/>
            <w:vAlign w:val="bottom"/>
          </w:tcPr>
          <w:p>
            <w:pPr>
              <w:jc w:val="right"/>
              <w:spacing w:after="0"/>
              <w:rPr>
                <w:sz w:val="20"/>
                <w:szCs w:val="20"/>
                <w:color w:val="auto"/>
              </w:rPr>
            </w:pPr>
            <w:r>
              <w:rPr>
                <w:rFonts w:ascii="Arial" w:cs="Arial" w:eastAsia="Arial" w:hAnsi="Arial"/>
                <w:sz w:val="18"/>
                <w:szCs w:val="18"/>
                <w:color w:val="auto"/>
              </w:rPr>
              <w:t>81,003</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85,400</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8,458,946</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(123,747)</w:t>
            </w:r>
          </w:p>
        </w:tc>
        <w:tc>
          <w:tcPr>
            <w:tcW w:w="920" w:type="dxa"/>
            <w:vAlign w:val="bottom"/>
          </w:tcPr>
          <w:p>
            <w:pPr>
              <w:jc w:val="right"/>
              <w:spacing w:after="0"/>
              <w:rPr>
                <w:sz w:val="20"/>
                <w:szCs w:val="20"/>
                <w:color w:val="auto"/>
              </w:rPr>
            </w:pPr>
            <w:r>
              <w:rPr>
                <w:rFonts w:ascii="Arial" w:cs="Arial" w:eastAsia="Arial" w:hAnsi="Arial"/>
                <w:sz w:val="18"/>
                <w:szCs w:val="18"/>
                <w:color w:val="auto"/>
              </w:rPr>
              <w:t>169,469</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top w:val="single" w:sz="8" w:color="CFF0FC"/>
            </w:tcBorders>
            <w:shd w:val="clear" w:color="auto" w:fill="CFF0FC"/>
          </w:tcPr>
          <w:p>
            <w:pPr>
              <w:spacing w:after="0"/>
              <w:rPr>
                <w:sz w:val="20"/>
                <w:szCs w:val="20"/>
                <w:color w:val="auto"/>
              </w:rPr>
            </w:pPr>
          </w:p>
        </w:tc>
        <w:tc>
          <w:tcPr>
            <w:tcW w:w="16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17,988</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618,832</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(6,842)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17,911</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(1,222)</w:t>
            </w:r>
          </w:p>
        </w:tc>
        <w:tc>
          <w:tcPr>
            <w:tcW w:w="920" w:type="dxa"/>
            <w:vAlign w:val="bottom"/>
          </w:tcPr>
          <w:p>
            <w:pPr>
              <w:jc w:val="right"/>
              <w:spacing w:after="0"/>
              <w:rPr>
                <w:sz w:val="20"/>
                <w:szCs w:val="20"/>
                <w:color w:val="auto"/>
              </w:rPr>
            </w:pPr>
            <w:r>
              <w:rPr>
                <w:rFonts w:ascii="Arial" w:cs="Arial" w:eastAsia="Arial" w:hAnsi="Arial"/>
                <w:sz w:val="18"/>
                <w:szCs w:val="18"/>
                <w:color w:val="auto"/>
              </w:rPr>
              <w:t>57,016</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654,731</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(8,190)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86,388</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(36,528)</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9,113,677</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(131,937)</w:t>
            </w:r>
          </w:p>
        </w:tc>
        <w:tc>
          <w:tcPr>
            <w:tcW w:w="920" w:type="dxa"/>
            <w:vAlign w:val="bottom"/>
          </w:tcPr>
          <w:p>
            <w:pPr>
              <w:jc w:val="right"/>
              <w:spacing w:after="0"/>
              <w:rPr>
                <w:sz w:val="20"/>
                <w:szCs w:val="20"/>
                <w:color w:val="auto"/>
              </w:rPr>
            </w:pPr>
            <w:r>
              <w:rPr>
                <w:rFonts w:ascii="Arial" w:cs="Arial" w:eastAsia="Arial" w:hAnsi="Arial"/>
                <w:sz w:val="18"/>
                <w:szCs w:val="18"/>
                <w:color w:val="auto"/>
              </w:rPr>
              <w:t>255,857</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The Company owned 939 individual investment securities with aggregate gross unrealized losses of $124 million at September 30, 2017. Based on a review of each of the securities in the investment securities portfolio at September 30, 2017, the Company concluded that it expected to recover the amortized cost basis of its investment. As of September 30, 2017, the Company does not intend to sell nor is it anticipated that it would be required to sell any of its impaired investment securities at a loss. At September 30, 2017, the Company has not identified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Investment securities, continued</w:t>
      </w:r>
    </w:p>
    <w:p>
      <w:pPr>
        <w:spacing w:after="0" w:line="318"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events or changes in circumstances which may have a significant adverse effect on the carrying value of the $415 million of cost method investment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September 30, 2017 and December 31, 2016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Accruing</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Loans</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9"/>
              </w:rPr>
              <w:t>Accruing</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Acquired at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Loans Past</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a Discount</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Due 90</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0"/>
              </w:rPr>
              <w:t>Past Due</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30-89 Days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Days or</w:t>
            </w: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90 days</w:t>
            </w: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Purchased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Past Due</w:t>
            </w: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More (a)</w:t>
            </w: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8"/>
              </w:rPr>
              <w:t>or More (b)</w:t>
            </w:r>
          </w:p>
        </w:tc>
        <w:tc>
          <w:tcPr>
            <w:tcW w:w="1280" w:type="dxa"/>
            <w:vAlign w:val="bottom"/>
            <w:gridSpan w:val="3"/>
          </w:tcPr>
          <w:p>
            <w:pPr>
              <w:jc w:val="center"/>
              <w:spacing w:after="0"/>
              <w:rPr>
                <w:sz w:val="20"/>
                <w:szCs w:val="20"/>
                <w:color w:val="auto"/>
              </w:rPr>
            </w:pPr>
            <w:r>
              <w:rPr>
                <w:rFonts w:ascii="Arial" w:cs="Arial" w:eastAsia="Arial" w:hAnsi="Arial"/>
                <w:sz w:val="14"/>
                <w:szCs w:val="14"/>
                <w:color w:val="auto"/>
                <w:w w:val="96"/>
              </w:rPr>
              <w:t>Impaired (c)</w:t>
            </w:r>
          </w:p>
        </w:tc>
        <w:tc>
          <w:tcPr>
            <w:tcW w:w="720" w:type="dxa"/>
            <w:vAlign w:val="bottom"/>
          </w:tcPr>
          <w:p>
            <w:pPr>
              <w:jc w:val="right"/>
              <w:spacing w:after="0"/>
              <w:rPr>
                <w:sz w:val="20"/>
                <w:szCs w:val="20"/>
                <w:color w:val="auto"/>
              </w:rPr>
            </w:pPr>
            <w:r>
              <w:rPr>
                <w:rFonts w:ascii="Arial" w:cs="Arial" w:eastAsia="Arial" w:hAnsi="Arial"/>
                <w:sz w:val="14"/>
                <w:szCs w:val="14"/>
                <w:color w:val="auto"/>
                <w:w w:val="93"/>
              </w:rPr>
              <w:t>Nonaccrual</w:t>
            </w:r>
          </w:p>
        </w:tc>
        <w:tc>
          <w:tcPr>
            <w:tcW w:w="28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tcPr>
          <w:p>
            <w:pPr>
              <w:jc w:val="right"/>
              <w:spacing w:after="0"/>
              <w:rPr>
                <w:sz w:val="20"/>
                <w:szCs w:val="20"/>
                <w:color w:val="auto"/>
              </w:rPr>
            </w:pPr>
            <w:r>
              <w:rPr>
                <w:rFonts w:ascii="Arial" w:cs="Arial" w:eastAsia="Arial" w:hAnsi="Arial"/>
                <w:sz w:val="18"/>
                <w:szCs w:val="18"/>
                <w:color w:val="auto"/>
                <w:w w:val="85"/>
              </w:rPr>
              <w:t>$ 21,486,942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48,159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203,996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$ 21,743,251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24,724,768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273,539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20,509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200,193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25,228,242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1,604,095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4,413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10,717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1,647,823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5,952,636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51,132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1,220</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13,972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6,038,223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15,868,656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458,066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249,983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10,025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307,529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236,363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17,130,622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40" w:type="dxa"/>
            <w:vAlign w:val="bottom"/>
          </w:tcPr>
          <w:p>
            <w:pPr>
              <w:jc w:val="right"/>
              <w:spacing w:after="0"/>
              <w:rPr>
                <w:sz w:val="20"/>
                <w:szCs w:val="20"/>
                <w:color w:val="auto"/>
              </w:rPr>
            </w:pPr>
            <w:r>
              <w:rPr>
                <w:rFonts w:ascii="Arial" w:cs="Arial" w:eastAsia="Arial" w:hAnsi="Arial"/>
                <w:sz w:val="18"/>
                <w:szCs w:val="18"/>
                <w:color w:val="auto"/>
              </w:rPr>
              <w:t>2,829,667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88,814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114,141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3,134,540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40" w:type="dxa"/>
            <w:vAlign w:val="bottom"/>
          </w:tcPr>
          <w:p>
            <w:pPr>
              <w:jc w:val="right"/>
              <w:spacing w:after="0"/>
              <w:rPr>
                <w:sz w:val="20"/>
                <w:szCs w:val="20"/>
                <w:color w:val="auto"/>
              </w:rPr>
            </w:pPr>
            <w:r>
              <w:rPr>
                <w:rFonts w:ascii="Arial" w:cs="Arial" w:eastAsia="Arial" w:hAnsi="Arial"/>
                <w:sz w:val="18"/>
                <w:szCs w:val="18"/>
                <w:color w:val="auto"/>
              </w:rPr>
              <w:t>5,275,572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34,878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9,856</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75,584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5,396,662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3,327,148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67,280</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3,415,696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4,120,712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33,070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24,038</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4,190,075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85,190,196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1,081,120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261,288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869,362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87,925,134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tcPr>
          <w:p>
            <w:pPr>
              <w:jc w:val="right"/>
              <w:spacing w:after="0"/>
              <w:rPr>
                <w:sz w:val="20"/>
                <w:szCs w:val="20"/>
                <w:color w:val="auto"/>
              </w:rPr>
            </w:pPr>
            <w:r>
              <w:rPr>
                <w:rFonts w:ascii="Arial" w:cs="Arial" w:eastAsia="Arial" w:hAnsi="Arial"/>
                <w:sz w:val="18"/>
                <w:szCs w:val="18"/>
                <w:color w:val="auto"/>
                <w:w w:val="85"/>
              </w:rPr>
              <w:t>$ 22,287,857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53,503</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261,434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$ 22,610,047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25,076,684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183,531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31,404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176,201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25,487,744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1,884,989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14,006</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5,985,118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77,701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14,274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17,631,377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485,468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281,298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11,537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378,549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229,242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19,017,471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40" w:type="dxa"/>
            <w:vAlign w:val="bottom"/>
          </w:tcPr>
          <w:p>
            <w:pPr>
              <w:jc w:val="right"/>
              <w:spacing w:after="0"/>
              <w:rPr>
                <w:sz w:val="20"/>
                <w:szCs w:val="20"/>
                <w:color w:val="auto"/>
              </w:rPr>
            </w:pPr>
            <w:r>
              <w:rPr>
                <w:rFonts w:ascii="Arial" w:cs="Arial" w:eastAsia="Arial" w:hAnsi="Arial"/>
                <w:sz w:val="18"/>
                <w:szCs w:val="18"/>
                <w:color w:val="auto"/>
              </w:rPr>
              <w:t>3,239,344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88,366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139,158</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40" w:type="dxa"/>
            <w:vAlign w:val="bottom"/>
          </w:tcPr>
          <w:p>
            <w:pPr>
              <w:jc w:val="right"/>
              <w:spacing w:after="0"/>
              <w:rPr>
                <w:sz w:val="20"/>
                <w:szCs w:val="20"/>
                <w:color w:val="auto"/>
              </w:rPr>
            </w:pPr>
            <w:r>
              <w:rPr>
                <w:rFonts w:ascii="Arial" w:cs="Arial" w:eastAsia="Arial" w:hAnsi="Arial"/>
                <w:sz w:val="18"/>
                <w:szCs w:val="18"/>
                <w:color w:val="auto"/>
              </w:rPr>
              <w:t>5,502,091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44,565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12,678</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81,815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5,641,149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2,869,232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2,944,065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3,491,629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31,286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21,491</w:t>
            </w:r>
          </w:p>
        </w:tc>
        <w:tc>
          <w:tcPr>
            <w:tcW w:w="2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3,560,849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87,968,321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1,025,245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920,015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90,853,416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9" w:lineRule="exact"/>
        <w:rPr>
          <w:rFonts w:ascii="Arial" w:cs="Arial" w:eastAsia="Arial" w:hAnsi="Arial"/>
          <w:sz w:val="18"/>
          <w:szCs w:val="18"/>
          <w:i w:val="1"/>
          <w:iCs w:val="1"/>
          <w:color w:val="auto"/>
        </w:rPr>
      </w:pPr>
    </w:p>
    <w:p>
      <w:pPr>
        <w:ind w:left="460" w:right="20" w:hanging="452"/>
        <w:spacing w:after="0" w:line="250"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One-to-four family residential mortgage loans held for sale were $347 million and $414 million at September 30, 2017 and December 31, 2016, respectively. Commercial real estate loans held for sale were $224 million at September 30, 2017 and $643 million at December 31, 2016.</w:t>
      </w:r>
    </w:p>
    <w:p>
      <w:pPr>
        <w:spacing w:after="0" w:line="7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September 30,</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r>
      <w:tr>
        <w:trPr>
          <w:trHeight w:val="167"/>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176"/>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3"/>
          </w:tcPr>
          <w:p>
            <w:pPr>
              <w:jc w:val="right"/>
              <w:ind w:right="654"/>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5"/>
                <w:szCs w:val="15"/>
                <w:color w:val="auto"/>
              </w:rPr>
            </w:pPr>
          </w:p>
        </w:tc>
      </w:tr>
      <w:tr>
        <w:trPr>
          <w:trHeight w:val="439"/>
        </w:trPr>
        <w:tc>
          <w:tcPr>
            <w:tcW w:w="678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1,584,126</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2,311,699</w:t>
            </w:r>
          </w:p>
        </w:tc>
        <w:tc>
          <w:tcPr>
            <w:tcW w:w="80" w:type="dxa"/>
            <w:vAlign w:val="bottom"/>
          </w:tcPr>
          <w:p>
            <w:pPr>
              <w:spacing w:after="0"/>
              <w:rPr>
                <w:sz w:val="24"/>
                <w:szCs w:val="24"/>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42,878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59,928</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308,426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456,820</w:t>
            </w: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665,278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799,802</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127,919</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487,721</w:t>
            </w:r>
          </w:p>
        </w:tc>
        <w:tc>
          <w:tcPr>
            <w:tcW w:w="8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1,144,501</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1,804,271</w:t>
            </w: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9"/>
          <w:szCs w:val="19"/>
          <w:color w:val="auto"/>
        </w:rPr>
        <w:t>Purchased impaired loans included in the table above totaled $467 million at September 30, 2017 and $578 million at December 31, 2016, representing less than 1% of the Company’s assets as of each date. A summary of changes in the accretable yield for loans acquired at a discount for the three months and nine months ended September 30, 2017 and 2016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6"/>
          </w:tcPr>
          <w:p>
            <w:pPr>
              <w:jc w:val="center"/>
              <w:ind w:right="20"/>
              <w:spacing w:after="0"/>
              <w:rPr>
                <w:sz w:val="20"/>
                <w:szCs w:val="20"/>
                <w:color w:val="auto"/>
              </w:rPr>
            </w:pPr>
            <w:r>
              <w:rPr>
                <w:rFonts w:ascii="Arial" w:cs="Arial" w:eastAsia="Arial" w:hAnsi="Arial"/>
                <w:sz w:val="14"/>
                <w:szCs w:val="14"/>
                <w:color w:val="auto"/>
                <w:w w:val="91"/>
              </w:rPr>
              <w:t>Three Months Ended 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8"/>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center"/>
              <w:spacing w:after="0" w:line="151" w:lineRule="exact"/>
              <w:rPr>
                <w:sz w:val="20"/>
                <w:szCs w:val="20"/>
                <w:color w:val="auto"/>
              </w:rPr>
            </w:pPr>
            <w:r>
              <w:rPr>
                <w:rFonts w:ascii="Arial" w:cs="Arial" w:eastAsia="Arial" w:hAnsi="Arial"/>
                <w:sz w:val="14"/>
                <w:szCs w:val="14"/>
                <w:color w:val="auto"/>
                <w:w w:val="96"/>
              </w:rPr>
              <w:t>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4"/>
                <w:szCs w:val="14"/>
                <w:color w:val="auto"/>
                <w:w w:val="95"/>
              </w:rPr>
              <w:t>Impaired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Acquired</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Impaired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color w:val="auto"/>
                <w:w w:val="93"/>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133,532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163,099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162,023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(10,815)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(20,064)</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(12,784)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w:t>
            </w:r>
          </w:p>
        </w:tc>
        <w:tc>
          <w:tcPr>
            <w:tcW w:w="100" w:type="dxa"/>
            <w:vAlign w:val="bottom"/>
          </w:tcPr>
          <w:p>
            <w:pPr>
              <w:spacing w:after="0"/>
              <w:rPr>
                <w:sz w:val="19"/>
                <w:szCs w:val="19"/>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Nine Months Ended September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8"/>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center"/>
              <w:spacing w:after="0" w:line="151" w:lineRule="exact"/>
              <w:rPr>
                <w:sz w:val="20"/>
                <w:szCs w:val="20"/>
                <w:color w:val="auto"/>
              </w:rPr>
            </w:pPr>
            <w:r>
              <w:rPr>
                <w:rFonts w:ascii="Arial" w:cs="Arial" w:eastAsia="Arial" w:hAnsi="Arial"/>
                <w:sz w:val="14"/>
                <w:szCs w:val="14"/>
                <w:color w:val="auto"/>
                <w:w w:val="96"/>
              </w:rPr>
              <w:t>Other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400"/>
              <w:spacing w:after="0" w:line="151" w:lineRule="exact"/>
              <w:rPr>
                <w:sz w:val="20"/>
                <w:szCs w:val="20"/>
                <w:color w:val="auto"/>
              </w:rPr>
            </w:pPr>
            <w:r>
              <w:rPr>
                <w:rFonts w:ascii="Arial" w:cs="Arial" w:eastAsia="Arial" w:hAnsi="Arial"/>
                <w:sz w:val="14"/>
                <w:szCs w:val="14"/>
                <w:color w:val="auto"/>
                <w:w w:val="89"/>
              </w:rPr>
              <w:t>Purchased</w:t>
            </w:r>
          </w:p>
        </w:tc>
        <w:tc>
          <w:tcPr>
            <w:tcW w:w="86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4"/>
                <w:szCs w:val="14"/>
                <w:color w:val="auto"/>
                <w:w w:val="95"/>
              </w:rPr>
              <w:t>Impaired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Acquired</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Impaired</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color w:val="auto"/>
                <w:w w:val="93"/>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154,233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184,618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8"/>
                <w:szCs w:val="18"/>
                <w:color w:val="auto"/>
              </w:rPr>
              <w:t>(32,546)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(66,505)</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(40,906)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w:t>
            </w:r>
          </w:p>
        </w:tc>
        <w:tc>
          <w:tcPr>
            <w:tcW w:w="100" w:type="dxa"/>
            <w:vAlign w:val="bottom"/>
          </w:tcPr>
          <w:p>
            <w:pPr>
              <w:spacing w:after="0"/>
              <w:rPr>
                <w:sz w:val="19"/>
                <w:szCs w:val="19"/>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00" w:lineRule="exact"/>
        <w:rPr>
          <w:rFonts w:ascii="Arial" w:cs="Arial" w:eastAsia="Arial" w:hAnsi="Arial"/>
          <w:sz w:val="18"/>
          <w:szCs w:val="18"/>
          <w:i w:val="1"/>
          <w:iCs w:val="1"/>
          <w:color w:val="auto"/>
        </w:rPr>
      </w:pPr>
    </w:p>
    <w:p>
      <w:pPr>
        <w:spacing w:after="0" w:line="241" w:lineRule="exact"/>
        <w:rPr>
          <w:rFonts w:ascii="Arial" w:cs="Arial" w:eastAsia="Arial" w:hAnsi="Arial"/>
          <w:sz w:val="18"/>
          <w:szCs w:val="18"/>
          <w:i w:val="1"/>
          <w:iCs w:val="1"/>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September 30, 2017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Arial" w:cs="Arial" w:eastAsia="Arial" w:hAnsi="Arial"/>
                <w:sz w:val="14"/>
                <w:szCs w:val="14"/>
                <w:color w:val="auto"/>
                <w:w w:val="90"/>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4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496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$ 339,314</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366,229</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66,006</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158,559</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78,117</w:t>
            </w:r>
          </w:p>
        </w:tc>
        <w:tc>
          <w:tcPr>
            <w:tcW w:w="320" w:type="dxa"/>
            <w:vAlign w:val="bottom"/>
          </w:tcPr>
          <w:p>
            <w:pPr>
              <w:spacing w:after="0"/>
              <w:rPr>
                <w:sz w:val="24"/>
                <w:szCs w:val="24"/>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1,008,225</w:t>
            </w:r>
          </w:p>
        </w:tc>
        <w:tc>
          <w:tcPr>
            <w:tcW w:w="120" w:type="dxa"/>
            <w:vAlign w:val="bottom"/>
          </w:tcPr>
          <w:p>
            <w:pPr>
              <w:spacing w:after="0"/>
              <w:rPr>
                <w:sz w:val="24"/>
                <w:szCs w:val="24"/>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(7,699)</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(9,714)</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(258)</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(4,206)</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(32,874)</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(47,052)</w:t>
            </w: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740" w:type="dxa"/>
            <w:vAlign w:val="bottom"/>
          </w:tcPr>
          <w:p>
            <w:pPr>
              <w:jc w:val="right"/>
              <w:spacing w:after="0"/>
              <w:rPr>
                <w:sz w:val="20"/>
                <w:szCs w:val="20"/>
                <w:color w:val="auto"/>
              </w:rPr>
            </w:pPr>
            <w:r>
              <w:rPr>
                <w:rFonts w:ascii="Arial" w:cs="Arial" w:eastAsia="Arial" w:hAnsi="Arial"/>
                <w:sz w:val="18"/>
                <w:szCs w:val="18"/>
                <w:color w:val="auto"/>
              </w:rPr>
              <w:t>4,423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9,807</w:t>
            </w:r>
          </w:p>
        </w:tc>
        <w:tc>
          <w:tcPr>
            <w:tcW w:w="3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22,153</w:t>
            </w:r>
          </w:p>
        </w:tc>
        <w:tc>
          <w:tcPr>
            <w:tcW w:w="12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5,637</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(23,067)</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$ 336,474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364,167</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1,013,326</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September 30, 2016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Arial" w:cs="Arial" w:eastAsia="Arial" w:hAnsi="Arial"/>
                <w:sz w:val="14"/>
                <w:szCs w:val="14"/>
                <w:color w:val="auto"/>
                <w:w w:val="90"/>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49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496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$ 316,079</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349,674</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69,660</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157,361</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77,722</w:t>
            </w:r>
          </w:p>
        </w:tc>
        <w:tc>
          <w:tcPr>
            <w:tcW w:w="320" w:type="dxa"/>
            <w:vAlign w:val="bottom"/>
          </w:tcPr>
          <w:p>
            <w:pPr>
              <w:spacing w:after="0"/>
              <w:rPr>
                <w:sz w:val="24"/>
                <w:szCs w:val="24"/>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970,496</w:t>
            </w:r>
          </w:p>
        </w:tc>
        <w:tc>
          <w:tcPr>
            <w:tcW w:w="120" w:type="dxa"/>
            <w:vAlign w:val="bottom"/>
          </w:tcPr>
          <w:p>
            <w:pPr>
              <w:spacing w:after="0"/>
              <w:rPr>
                <w:sz w:val="24"/>
                <w:szCs w:val="24"/>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9,963</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(6,232)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(21,075)</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(1,564)</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(6,754)</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(29,882)</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(59,275)</w:t>
            </w: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740" w:type="dxa"/>
            <w:vAlign w:val="bottom"/>
          </w:tcPr>
          <w:p>
            <w:pPr>
              <w:jc w:val="right"/>
              <w:spacing w:after="0"/>
              <w:rPr>
                <w:sz w:val="20"/>
                <w:szCs w:val="20"/>
                <w:color w:val="auto"/>
              </w:rPr>
            </w:pPr>
            <w:r>
              <w:rPr>
                <w:rFonts w:ascii="Arial" w:cs="Arial" w:eastAsia="Arial" w:hAnsi="Arial"/>
                <w:sz w:val="18"/>
                <w:szCs w:val="18"/>
                <w:color w:val="auto"/>
              </w:rPr>
              <w:t>6,958</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1,919</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7,319</w:t>
            </w:r>
          </w:p>
        </w:tc>
        <w:tc>
          <w:tcPr>
            <w:tcW w:w="3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17,900</w:t>
            </w:r>
          </w:p>
        </w:tc>
        <w:tc>
          <w:tcPr>
            <w:tcW w:w="120" w:type="dxa"/>
            <w:vAlign w:val="bottom"/>
          </w:tcPr>
          <w:p>
            <w:pPr>
              <w:spacing w:after="0"/>
              <w:rPr>
                <w:sz w:val="19"/>
                <w:szCs w:val="19"/>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(14,117)</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3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(22,563)</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$ 328,184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359,777</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58,593</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976,121</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7"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2017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Arial" w:cs="Arial" w:eastAsia="Arial" w:hAnsi="Arial"/>
                <w:sz w:val="14"/>
                <w:szCs w:val="14"/>
                <w:color w:val="auto"/>
                <w:w w:val="90"/>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Consumer</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4"/>
              </w:rPr>
              <w:t>Unallocated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Beginning balance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$ 330,833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78,030</w:t>
            </w: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charge-offs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(51,318)</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(7,556)</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(16,364)</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(96,060)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Recoveries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7,803</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32,242</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(39,001)</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(10,099)</w:t>
            </w:r>
          </w:p>
        </w:tc>
        <w:tc>
          <w:tcPr>
            <w:tcW w:w="3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(63,818)</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(112,671)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$ 336,474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364,167</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65,095</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169,378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78,212</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1,013,326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- 14 -</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nine months ended September 30, 2016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40" w:type="dxa"/>
            <w:vAlign w:val="bottom"/>
            <w:gridSpan w:val="3"/>
          </w:tcPr>
          <w:p>
            <w:pPr>
              <w:jc w:val="center"/>
              <w:ind w:left="1154"/>
              <w:spacing w:after="0"/>
              <w:rPr>
                <w:sz w:val="20"/>
                <w:szCs w:val="20"/>
                <w:color w:val="auto"/>
              </w:rPr>
            </w:pPr>
            <w:r>
              <w:rPr>
                <w:rFonts w:ascii="Arial" w:cs="Arial" w:eastAsia="Arial" w:hAnsi="Arial"/>
                <w:sz w:val="14"/>
                <w:szCs w:val="14"/>
                <w:color w:val="auto"/>
                <w:w w:val="96"/>
              </w:rPr>
              <w:t>Commercial,</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Financial,</w:t>
            </w:r>
          </w:p>
        </w:tc>
        <w:tc>
          <w:tcPr>
            <w:tcW w:w="2100" w:type="dxa"/>
            <w:vAlign w:val="bottom"/>
            <w:gridSpan w:val="4"/>
          </w:tcPr>
          <w:p>
            <w:pPr>
              <w:jc w:val="right"/>
              <w:ind w:right="800"/>
              <w:spacing w:after="0"/>
              <w:rPr>
                <w:sz w:val="20"/>
                <w:szCs w:val="20"/>
                <w:color w:val="auto"/>
              </w:rPr>
            </w:pPr>
            <w:r>
              <w:rPr>
                <w:rFonts w:ascii="Arial" w:cs="Arial" w:eastAsia="Arial" w:hAnsi="Arial"/>
                <w:sz w:val="14"/>
                <w:szCs w:val="14"/>
                <w:color w:val="auto"/>
              </w:rPr>
              <w:t>Real Estate</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8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0"/>
              </w:rPr>
              <w:t>Leasing, etc.</w:t>
            </w:r>
          </w:p>
        </w:tc>
        <w:tc>
          <w:tcPr>
            <w:tcW w:w="104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color w:val="auto"/>
                <w:w w:val="93"/>
              </w:rPr>
              <w:t>Commercial</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Residential</w:t>
            </w:r>
          </w:p>
        </w:tc>
        <w:tc>
          <w:tcPr>
            <w:tcW w:w="300" w:type="dxa"/>
            <w:vAlign w:val="bottom"/>
          </w:tcPr>
          <w:p>
            <w:pPr>
              <w:spacing w:after="0"/>
              <w:rPr>
                <w:sz w:val="13"/>
                <w:szCs w:val="13"/>
                <w:color w:val="auto"/>
              </w:rPr>
            </w:pPr>
          </w:p>
        </w:tc>
        <w:tc>
          <w:tcPr>
            <w:tcW w:w="11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Consumer</w:t>
            </w: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72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Beginning balance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$ 300,404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326,831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72,238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178,320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78,199</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955,992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39,667</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29,799</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59,113</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charge-offs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26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(34,711)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(3,569)</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(18,816)</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(107,761)</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(164,857)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8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22,824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5,781</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21,665</w:t>
            </w:r>
          </w:p>
        </w:tc>
        <w:tc>
          <w:tcPr>
            <w:tcW w:w="3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5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320" w:type="dxa"/>
            <w:vAlign w:val="bottom"/>
            <w:tcBorders>
              <w:top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(13,035</w:t>
            </w:r>
          </w:p>
        </w:tc>
        <w:tc>
          <w:tcPr>
            <w:tcW w:w="300" w:type="dxa"/>
            <w:vAlign w:val="bottom"/>
            <w:tcBorders>
              <w:top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(86,096</w:t>
            </w:r>
          </w:p>
        </w:tc>
        <w:tc>
          <w:tcPr>
            <w:tcW w:w="320" w:type="dxa"/>
            <w:vAlign w:val="bottom"/>
            <w:tcBorders>
              <w:top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(107,871</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5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$ 328,184</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58,593</w:t>
            </w: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151,337</w:t>
            </w:r>
          </w:p>
        </w:tc>
        <w:tc>
          <w:tcPr>
            <w:tcW w:w="3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976,121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w:t>
      </w:r>
    </w:p>
    <w:p>
      <w:pPr>
        <w:spacing w:after="0" w:line="171"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credit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loans and residential real estate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right="20" w:firstLine="518"/>
        <w:spacing w:after="0" w:line="289" w:lineRule="auto"/>
        <w:rPr>
          <w:sz w:val="20"/>
          <w:szCs w:val="20"/>
          <w:color w:val="auto"/>
        </w:rPr>
      </w:pPr>
      <w:r>
        <w:rPr>
          <w:rFonts w:ascii="Arial" w:cs="Arial" w:eastAsia="Arial" w:hAnsi="Arial"/>
          <w:sz w:val="20"/>
          <w:szCs w:val="20"/>
          <w:color w:val="auto"/>
        </w:rPr>
        <w:t>The following tables provide information with respect to loans and leases that were considered impaired as of September 30, 2017 and December 31, 2016 and for the three-month and nine-month periods ended September 30, 2017 and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September 30, 2017</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December 31, 2016</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4"/>
              </w:rPr>
              <w:t>Unpaid</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9"/>
              </w:rPr>
              <w:t>Unpaid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Principal</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Principal</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Balance</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Allowance</w:t>
            </w:r>
          </w:p>
        </w:tc>
        <w:tc>
          <w:tcPr>
            <w:tcW w:w="20" w:type="dxa"/>
            <w:vAlign w:val="bottom"/>
          </w:tcPr>
          <w:p>
            <w:pPr>
              <w:spacing w:after="0"/>
              <w:rPr>
                <w:sz w:val="14"/>
                <w:szCs w:val="14"/>
                <w:color w:val="auto"/>
              </w:rPr>
            </w:pPr>
          </w:p>
        </w:tc>
      </w:tr>
      <w:tr>
        <w:trPr>
          <w:trHeight w:val="156"/>
        </w:trPr>
        <w:tc>
          <w:tcPr>
            <w:tcW w:w="4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$ 148,747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179,120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168,072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184,432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73,144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81,244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86,666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1,785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97,483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118,030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105,944</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79,030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94,194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97,718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48,231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52,975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3,176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472,199</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556,566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80,674</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484,498</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558,385</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80,952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97,073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100,805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124,786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148,733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158,815</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121,846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21,124</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17,850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37,237</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35,281</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17,312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23,291</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24,161</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11,091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18,480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24,590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277,112</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336,070</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276,634</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351,788</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229,699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276,193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49,447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268,877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309,218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221,877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240,059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185,138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208,512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29,485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19,476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39,022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114,795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141,321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130,105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90,121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112,674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122,308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48,231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52,975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48,965</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16,743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3,176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$ 749,311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892,636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761,132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910,173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1820" w:type="dxa"/>
            <w:vAlign w:val="bottom"/>
            <w:gridSpan w:val="2"/>
          </w:tcPr>
          <w:p>
            <w:pPr>
              <w:jc w:val="right"/>
              <w:ind w:right="157"/>
              <w:spacing w:after="0"/>
              <w:rPr>
                <w:sz w:val="20"/>
                <w:szCs w:val="20"/>
                <w:color w:val="auto"/>
              </w:rPr>
            </w:pPr>
            <w:r>
              <w:rPr>
                <w:rFonts w:ascii="Arial" w:cs="Arial" w:eastAsia="Arial" w:hAnsi="Arial"/>
                <w:sz w:val="18"/>
                <w:szCs w:val="18"/>
                <w:color w:val="auto"/>
              </w:rPr>
              <w:t>- 16 -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318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 September 30, 2017</w:t>
            </w:r>
          </w:p>
        </w:tc>
        <w:tc>
          <w:tcPr>
            <w:tcW w:w="3040" w:type="dxa"/>
            <w:vAlign w:val="bottom"/>
            <w:gridSpan w:val="7"/>
          </w:tcPr>
          <w:p>
            <w:pPr>
              <w:jc w:val="center"/>
              <w:ind w:right="120"/>
              <w:spacing w:after="0"/>
              <w:rPr>
                <w:sz w:val="20"/>
                <w:szCs w:val="20"/>
                <w:color w:val="auto"/>
              </w:rPr>
            </w:pPr>
            <w:r>
              <w:rPr>
                <w:rFonts w:ascii="Arial" w:cs="Arial" w:eastAsia="Arial" w:hAnsi="Arial"/>
                <w:sz w:val="14"/>
                <w:szCs w:val="14"/>
                <w:color w:val="auto"/>
                <w:w w:val="91"/>
              </w:rPr>
              <w:t>Three Months Ended September 30,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color w:val="auto"/>
                <w:w w:val="91"/>
              </w:rPr>
              <w:t>Recognized</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3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color w:val="auto"/>
                <w:w w:val="91"/>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1"/>
              </w:rPr>
              <w:t>Cash</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w w:val="87"/>
              </w:rPr>
              <w:t>Basis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$ 224,526</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262,796</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60" w:type="dxa"/>
            <w:vAlign w:val="bottom"/>
          </w:tcPr>
          <w:p>
            <w:pPr>
              <w:jc w:val="right"/>
              <w:spacing w:after="0"/>
              <w:rPr>
                <w:sz w:val="20"/>
                <w:szCs w:val="20"/>
                <w:color w:val="auto"/>
              </w:rPr>
            </w:pPr>
            <w:r>
              <w:rPr>
                <w:rFonts w:ascii="Arial" w:cs="Arial" w:eastAsia="Arial" w:hAnsi="Arial"/>
                <w:sz w:val="18"/>
                <w:szCs w:val="18"/>
                <w:color w:val="auto"/>
              </w:rPr>
              <w:t>233,572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175,256</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16,578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21,500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113,892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96,961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760" w:type="dxa"/>
            <w:vAlign w:val="bottom"/>
          </w:tcPr>
          <w:p>
            <w:pPr>
              <w:jc w:val="right"/>
              <w:spacing w:after="0"/>
              <w:rPr>
                <w:sz w:val="20"/>
                <w:szCs w:val="20"/>
                <w:color w:val="auto"/>
              </w:rPr>
            </w:pPr>
            <w:r>
              <w:rPr>
                <w:rFonts w:ascii="Arial" w:cs="Arial" w:eastAsia="Arial" w:hAnsi="Arial"/>
                <w:sz w:val="18"/>
                <w:szCs w:val="18"/>
                <w:color w:val="auto"/>
              </w:rPr>
              <w:t>91,974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101,877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760" w:type="dxa"/>
            <w:vAlign w:val="bottom"/>
          </w:tcPr>
          <w:p>
            <w:pPr>
              <w:jc w:val="right"/>
              <w:spacing w:after="0"/>
              <w:rPr>
                <w:sz w:val="20"/>
                <w:szCs w:val="20"/>
                <w:color w:val="auto"/>
              </w:rPr>
            </w:pPr>
            <w:r>
              <w:rPr>
                <w:rFonts w:ascii="Arial" w:cs="Arial" w:eastAsia="Arial" w:hAnsi="Arial"/>
                <w:sz w:val="18"/>
                <w:szCs w:val="18"/>
                <w:color w:val="auto"/>
              </w:rPr>
              <w:t>47,831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41,740</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18,571</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$ 754,780</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w:t>
            </w: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749,774</w:t>
            </w: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3180" w:type="dxa"/>
            <w:vAlign w:val="bottom"/>
            <w:gridSpan w:val="7"/>
          </w:tcPr>
          <w:p>
            <w:pPr>
              <w:jc w:val="center"/>
              <w:ind w:right="300"/>
              <w:spacing w:after="0"/>
              <w:rPr>
                <w:sz w:val="20"/>
                <w:szCs w:val="20"/>
                <w:color w:val="auto"/>
              </w:rPr>
            </w:pPr>
            <w:r>
              <w:rPr>
                <w:rFonts w:ascii="Arial" w:cs="Arial" w:eastAsia="Arial" w:hAnsi="Arial"/>
                <w:sz w:val="14"/>
                <w:szCs w:val="14"/>
                <w:color w:val="auto"/>
                <w:w w:val="93"/>
              </w:rPr>
              <w:t>Nine Months Ended September 30, 2017</w:t>
            </w:r>
          </w:p>
        </w:tc>
        <w:tc>
          <w:tcPr>
            <w:tcW w:w="3040" w:type="dxa"/>
            <w:vAlign w:val="bottom"/>
            <w:gridSpan w:val="7"/>
          </w:tcPr>
          <w:p>
            <w:pPr>
              <w:jc w:val="center"/>
              <w:ind w:right="120"/>
              <w:spacing w:after="0"/>
              <w:rPr>
                <w:sz w:val="20"/>
                <w:szCs w:val="20"/>
                <w:color w:val="auto"/>
              </w:rPr>
            </w:pPr>
            <w:r>
              <w:rPr>
                <w:rFonts w:ascii="Arial" w:cs="Arial" w:eastAsia="Arial" w:hAnsi="Arial"/>
                <w:sz w:val="14"/>
                <w:szCs w:val="14"/>
                <w:color w:val="auto"/>
                <w:w w:val="93"/>
              </w:rPr>
              <w:t>Nine Months Ended September 30,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3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color w:val="auto"/>
                <w:w w:val="91"/>
              </w:rPr>
              <w:t>Recognized</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3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color w:val="auto"/>
                <w:w w:val="91"/>
              </w:rPr>
              <w:t>Recognized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1"/>
              </w:rPr>
              <w:t>Cash</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860" w:type="dxa"/>
            <w:vAlign w:val="bottom"/>
            <w:gridSpan w:val="2"/>
          </w:tcPr>
          <w:p>
            <w:pPr>
              <w:jc w:val="right"/>
              <w:ind w:right="540"/>
              <w:spacing w:after="0"/>
              <w:rPr>
                <w:sz w:val="20"/>
                <w:szCs w:val="20"/>
                <w:color w:val="auto"/>
              </w:rPr>
            </w:pPr>
            <w:r>
              <w:rPr>
                <w:rFonts w:ascii="Arial" w:cs="Arial" w:eastAsia="Arial" w:hAnsi="Arial"/>
                <w:sz w:val="14"/>
                <w:szCs w:val="14"/>
                <w:color w:val="auto"/>
                <w:w w:val="87"/>
              </w:rPr>
              <w:t>Basis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30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$ 242,410</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1,674</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283,783</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60" w:type="dxa"/>
            <w:vAlign w:val="bottom"/>
          </w:tcPr>
          <w:p>
            <w:pPr>
              <w:jc w:val="right"/>
              <w:spacing w:after="0"/>
              <w:rPr>
                <w:sz w:val="20"/>
                <w:szCs w:val="20"/>
                <w:color w:val="auto"/>
              </w:rPr>
            </w:pPr>
            <w:r>
              <w:rPr>
                <w:rFonts w:ascii="Arial" w:cs="Arial" w:eastAsia="Arial" w:hAnsi="Arial"/>
                <w:sz w:val="18"/>
                <w:szCs w:val="18"/>
                <w:color w:val="auto"/>
              </w:rPr>
              <w:t>205,814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3,213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177,579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30,832</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15,474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19,774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108,741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97,229</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760" w:type="dxa"/>
            <w:vAlign w:val="bottom"/>
          </w:tcPr>
          <w:p>
            <w:pPr>
              <w:jc w:val="right"/>
              <w:spacing w:after="0"/>
              <w:rPr>
                <w:sz w:val="20"/>
                <w:szCs w:val="20"/>
                <w:color w:val="auto"/>
              </w:rPr>
            </w:pPr>
            <w:r>
              <w:rPr>
                <w:rFonts w:ascii="Arial" w:cs="Arial" w:eastAsia="Arial" w:hAnsi="Arial"/>
                <w:sz w:val="18"/>
                <w:szCs w:val="18"/>
                <w:color w:val="auto"/>
              </w:rPr>
              <w:t>94,680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1,292</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104,382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760" w:type="dxa"/>
            <w:vAlign w:val="bottom"/>
          </w:tcPr>
          <w:p>
            <w:pPr>
              <w:jc w:val="right"/>
              <w:spacing w:after="0"/>
              <w:rPr>
                <w:sz w:val="20"/>
                <w:szCs w:val="20"/>
                <w:color w:val="auto"/>
              </w:rPr>
            </w:pPr>
            <w:r>
              <w:rPr>
                <w:rFonts w:ascii="Arial" w:cs="Arial" w:eastAsia="Arial" w:hAnsi="Arial"/>
                <w:sz w:val="18"/>
                <w:szCs w:val="18"/>
                <w:color w:val="auto"/>
              </w:rPr>
              <w:t>46,829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33,998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20,358</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3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$ 747,412</w:t>
            </w:r>
          </w:p>
        </w:tc>
        <w:tc>
          <w:tcPr>
            <w:tcW w:w="3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19,468</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11,573</w:t>
            </w: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778,922</w:t>
            </w: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16,688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- 17 -</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right="20" w:firstLine="518"/>
        <w:spacing w:after="0" w:line="271" w:lineRule="auto"/>
        <w:rPr>
          <w:sz w:val="20"/>
          <w:szCs w:val="20"/>
          <w:color w:val="auto"/>
        </w:rPr>
      </w:pPr>
      <w:r>
        <w:rPr>
          <w:rFonts w:ascii="Arial" w:cs="Arial" w:eastAsia="Arial" w:hAnsi="Arial"/>
          <w:sz w:val="19"/>
          <w:szCs w:val="19"/>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loans and commercial real estate loans are individually reviewed by centralized credit personnel each quarter to determine the appropriateness of the assigned loan grade, including whether the loan should be reported as accruing or nonaccruing. Smaller-balance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6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The following table summarizes the loan grades applied to the various classes of the Company’s commercial loans and commercial real estate loans.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4"/>
              </w:rPr>
              <w:t>Commercial,</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1"/>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Residential</w:t>
            </w:r>
          </w:p>
        </w:tc>
        <w:tc>
          <w:tcPr>
            <w:tcW w:w="9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Financial,</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Builder and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Commercial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Leasing, etc.</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Commercial</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Developer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Construction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3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Pass</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$ 20,561,077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24,309,923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1,580,763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5,830,122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978,178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718,126</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64,644</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Criticized nonaccrual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203,996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200,193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21,743,251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25,228,242</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1,647,823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6,038,223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$ 21,398,581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24,570,269</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1,789,071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5,912,351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Criticized accrual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950,032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741,274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116,548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165,862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3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261,434</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176,201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22,610,047</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25,487,744</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1,922,326</w:t>
            </w: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6,096,324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40" w:type="dxa"/>
            <w:vAlign w:val="bottom"/>
            <w:vMerge w:val="restart"/>
          </w:tcPr>
          <w:p>
            <w:pPr>
              <w:jc w:val="right"/>
              <w:ind w:right="590"/>
              <w:spacing w:after="0"/>
              <w:rPr>
                <w:sz w:val="20"/>
                <w:szCs w:val="20"/>
                <w:color w:val="auto"/>
              </w:rPr>
            </w:pPr>
            <w:r>
              <w:rPr>
                <w:rFonts w:ascii="Arial" w:cs="Arial" w:eastAsia="Arial" w:hAnsi="Arial"/>
                <w:sz w:val="18"/>
                <w:szCs w:val="18"/>
                <w:color w:val="auto"/>
              </w:rPr>
              <w:t>- 18 -</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collectability on a loan-by-loan basis giving consideration to estimated collateral values. The carrying value of residential real estate loans and home equity loans and lines of credit for which a partial charge-off has been recognized totaled $39 million and $27 million, respectively, at September 30, 2017 and $44 million and $32 million, respectively, at December 31, 2016. Residential real estate loans and home equity loans and lines of credit that were more than 150 days past due but did not require a partial charge-off because the net realizable value of the collateral exceeded the outstanding customer balance were $19 million and $33 million, respectively, at September 30, 2017 and $16 million and $39 million, respectively, at December 31, 2016.</w:t>
      </w:r>
    </w:p>
    <w:p>
      <w:pPr>
        <w:spacing w:after="0" w:line="17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allocation of the allowance for credit losses summarized on the basis of the Company’s impairment methodology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Financial,</w:t>
            </w:r>
          </w:p>
        </w:tc>
        <w:tc>
          <w:tcPr>
            <w:tcW w:w="226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120" w:type="dxa"/>
            <w:vAlign w:val="bottom"/>
            <w:gridSpan w:val="3"/>
          </w:tcPr>
          <w:p>
            <w:pPr>
              <w:jc w:val="center"/>
              <w:ind w:right="340"/>
              <w:spacing w:after="0" w:line="155" w:lineRule="exact"/>
              <w:rPr>
                <w:sz w:val="20"/>
                <w:szCs w:val="20"/>
                <w:color w:val="auto"/>
              </w:rPr>
            </w:pPr>
            <w:r>
              <w:rPr>
                <w:rFonts w:ascii="Arial" w:cs="Arial" w:eastAsia="Arial" w:hAnsi="Arial"/>
                <w:sz w:val="14"/>
                <w:szCs w:val="14"/>
                <w:color w:val="auto"/>
                <w:w w:val="93"/>
              </w:rPr>
              <w:t>Leasing, etc.</w:t>
            </w:r>
          </w:p>
        </w:tc>
        <w:tc>
          <w:tcPr>
            <w:tcW w:w="11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8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3"/>
                <w:szCs w:val="13"/>
                <w:color w:val="auto"/>
              </w:rPr>
            </w:pPr>
          </w:p>
        </w:tc>
        <w:tc>
          <w:tcPr>
            <w:tcW w:w="8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49,447</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10,780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12,372</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287,027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353,387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157,006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9,346</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364,167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65,095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935,114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78,212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1,013,326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282,353</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348,301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47,993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143,745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822,392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330,833</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61,127</w:t>
            </w:r>
          </w:p>
        </w:tc>
        <w:tc>
          <w:tcPr>
            <w:tcW w:w="3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156,288</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7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910,967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Financial,</w:t>
            </w:r>
          </w:p>
        </w:tc>
        <w:tc>
          <w:tcPr>
            <w:tcW w:w="2480" w:type="dxa"/>
            <w:vAlign w:val="bottom"/>
            <w:gridSpan w:val="4"/>
          </w:tcPr>
          <w:p>
            <w:pPr>
              <w:ind w:left="740"/>
              <w:spacing w:after="0"/>
              <w:rPr>
                <w:sz w:val="20"/>
                <w:szCs w:val="20"/>
                <w:color w:val="auto"/>
              </w:rPr>
            </w:pPr>
            <w:r>
              <w:rPr>
                <w:rFonts w:ascii="Arial" w:cs="Arial" w:eastAsia="Arial" w:hAnsi="Arial"/>
                <w:sz w:val="14"/>
                <w:szCs w:val="14"/>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3"/>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229,699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249,064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204,916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65,632</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749,311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21,513,477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32,620,026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19,638,576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12,936,801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86,708,880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45,198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421,670</w:t>
            </w:r>
          </w:p>
        </w:tc>
        <w:tc>
          <w:tcPr>
            <w:tcW w:w="3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21,743,251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32,914,288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20,265,162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13,002,433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87,925,134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December 31, 2016</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224,630</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65,466</w:t>
            </w:r>
          </w:p>
        </w:tc>
        <w:tc>
          <w:tcPr>
            <w:tcW w:w="3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22,340,529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33,222,080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21,871,726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12,080,597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89,514,932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59,684</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517,707</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22,610,047</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33,506,394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22,590,912</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12,146,063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90,853,416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The tables that follow summarize the Company’s loan modification activities that were considered troubled debt restructurings for the three-month and nine-month periods ended September 30, 2017 and 2016: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color w:val="auto"/>
                <w:w w:val="90"/>
              </w:rPr>
              <w:t>Pre-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color w:val="auto"/>
              </w:rPr>
              <w:t>Post-modification (a)</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modification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Combination 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4"/>
              </w:rPr>
              <w:t>recorded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3"/>
              <w:spacing w:after="0" w:line="149" w:lineRule="exact"/>
              <w:rPr>
                <w:sz w:val="20"/>
                <w:szCs w:val="20"/>
                <w:color w:val="auto"/>
              </w:rPr>
            </w:pPr>
            <w:r>
              <w:rPr>
                <w:rFonts w:ascii="Arial" w:cs="Arial" w:eastAsia="Arial" w:hAnsi="Arial"/>
                <w:sz w:val="14"/>
                <w:szCs w:val="14"/>
                <w:color w:val="auto"/>
                <w:w w:val="96"/>
              </w:rPr>
              <w:t>Principal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Concession</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September 30, 2017</w:t>
            </w:r>
          </w:p>
        </w:tc>
        <w:tc>
          <w:tcPr>
            <w:tcW w:w="1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4"/>
              </w:rPr>
              <w:t>investment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Deferral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color w:val="auto"/>
                <w:w w:val="89"/>
              </w:rPr>
              <w:t>Types</w:t>
            </w:r>
          </w:p>
        </w:tc>
        <w:tc>
          <w:tcPr>
            <w:tcW w:w="2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center"/>
              <w:ind w:left="153"/>
              <w:spacing w:after="0" w:line="142" w:lineRule="exact"/>
              <w:rPr>
                <w:sz w:val="20"/>
                <w:szCs w:val="20"/>
                <w:color w:val="auto"/>
              </w:rPr>
            </w:pPr>
            <w:r>
              <w:rPr>
                <w:rFonts w:ascii="Arial" w:cs="Arial" w:eastAsia="Arial" w:hAnsi="Arial"/>
                <w:sz w:val="14"/>
                <w:szCs w:val="14"/>
                <w:color w:val="auto"/>
                <w:w w:val="93"/>
              </w:rPr>
              <w:t>(Dollars in thousands)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4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5,888</w:t>
            </w:r>
          </w:p>
        </w:tc>
        <w:tc>
          <w:tcPr>
            <w:tcW w:w="40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$ 15,236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1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$ 29,857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Three Months Ended September 30, 2016</w:t>
            </w:r>
          </w:p>
        </w:tc>
        <w:tc>
          <w:tcPr>
            <w:tcW w:w="13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top w:val="single" w:sz="8" w:color="auto"/>
            </w:tcBorders>
            <w:shd w:val="clear" w:color="auto" w:fill="CFF0FC"/>
          </w:tcPr>
          <w:p>
            <w:pPr>
              <w:spacing w:after="0"/>
              <w:rPr>
                <w:sz w:val="5"/>
                <w:szCs w:val="5"/>
                <w:color w:val="auto"/>
              </w:rPr>
            </w:pPr>
          </w:p>
        </w:tc>
        <w:tc>
          <w:tcPr>
            <w:tcW w:w="182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86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40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$ 59,985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26,424</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$ 83,898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0" w:type="dxa"/>
            <w:vAlign w:val="bottom"/>
            <w:gridSpan w:val="2"/>
          </w:tcPr>
          <w:p>
            <w:pPr>
              <w:jc w:val="right"/>
              <w:ind w:right="56"/>
              <w:spacing w:after="0"/>
              <w:rPr>
                <w:sz w:val="20"/>
                <w:szCs w:val="20"/>
                <w:color w:val="auto"/>
              </w:rPr>
            </w:pPr>
            <w:r>
              <w:rPr>
                <w:rFonts w:ascii="Arial" w:cs="Arial" w:eastAsia="Arial" w:hAnsi="Arial"/>
                <w:sz w:val="18"/>
                <w:szCs w:val="18"/>
                <w:color w:val="auto"/>
              </w:rPr>
              <w:t>- 21 -</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center"/>
              <w:ind w:right="52"/>
              <w:spacing w:after="0"/>
              <w:rPr>
                <w:sz w:val="20"/>
                <w:szCs w:val="20"/>
                <w:color w:val="auto"/>
              </w:rPr>
            </w:pPr>
            <w:r>
              <w:rPr>
                <w:rFonts w:ascii="Arial" w:cs="Arial" w:eastAsia="Arial" w:hAnsi="Arial"/>
                <w:sz w:val="14"/>
                <w:szCs w:val="14"/>
                <w:color w:val="auto"/>
                <w:w w:val="90"/>
              </w:rPr>
              <w:t>Pre-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Post-modification (a)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modification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Combination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90"/>
              </w:rPr>
              <w:t>recorded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Principal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Concession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20" w:type="dxa"/>
            <w:vAlign w:val="bottom"/>
            <w:gridSpan w:val="3"/>
            <w:vMerge w:val="restart"/>
          </w:tcPr>
          <w:p>
            <w:pPr>
              <w:spacing w:after="0"/>
              <w:rPr>
                <w:sz w:val="20"/>
                <w:szCs w:val="20"/>
                <w:color w:val="auto"/>
              </w:rPr>
            </w:pPr>
            <w:r>
              <w:rPr>
                <w:rFonts w:ascii="Arial" w:cs="Arial" w:eastAsia="Arial" w:hAnsi="Arial"/>
                <w:sz w:val="14"/>
                <w:szCs w:val="14"/>
                <w:color w:val="auto"/>
              </w:rPr>
              <w:t>Nine Months Ended September 30, 2017</w:t>
            </w:r>
          </w:p>
        </w:tc>
        <w:tc>
          <w:tcPr>
            <w:tcW w:w="720" w:type="dxa"/>
            <w:vAlign w:val="bottom"/>
            <w:gridSpan w:val="2"/>
          </w:tcPr>
          <w:p>
            <w:pPr>
              <w:spacing w:after="0"/>
              <w:rPr>
                <w:sz w:val="20"/>
                <w:szCs w:val="20"/>
                <w:color w:val="auto"/>
              </w:rPr>
            </w:pPr>
            <w:r>
              <w:rPr>
                <w:rFonts w:ascii="Arial" w:cs="Arial" w:eastAsia="Arial" w:hAnsi="Arial"/>
                <w:sz w:val="14"/>
                <w:szCs w:val="14"/>
                <w:color w:val="auto"/>
              </w:rPr>
              <w:t>Number</w:t>
            </w: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w w:val="91"/>
              </w:rPr>
              <w:t>investment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Deferral</w:t>
            </w:r>
          </w:p>
        </w:tc>
        <w:tc>
          <w:tcPr>
            <w:tcW w:w="16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Types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93,346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18,449</w:t>
            </w: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47,211</w:t>
            </w:r>
          </w:p>
        </w:tc>
        <w:tc>
          <w:tcPr>
            <w:tcW w:w="24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158,912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Nine Months Ended September 30, 2016</w:t>
            </w:r>
          </w:p>
        </w:tc>
        <w:tc>
          <w:tcPr>
            <w:tcW w:w="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40" w:type="dxa"/>
            <w:vAlign w:val="bottom"/>
            <w:tcBorders>
              <w:top w:val="single" w:sz="8" w:color="auto"/>
            </w:tcBorders>
            <w:shd w:val="clear" w:color="auto" w:fill="CFF0FC"/>
          </w:tcPr>
          <w:p>
            <w:pPr>
              <w:spacing w:after="0"/>
              <w:rPr>
                <w:sz w:val="5"/>
                <w:szCs w:val="5"/>
                <w:color w:val="auto"/>
              </w:rPr>
            </w:pPr>
          </w:p>
        </w:tc>
        <w:tc>
          <w:tcPr>
            <w:tcW w:w="3160" w:type="dxa"/>
            <w:vAlign w:val="bottom"/>
            <w:tcBorders>
              <w:top w:val="single" w:sz="8" w:color="CFF0FC"/>
            </w:tcBorders>
            <w:shd w:val="clear" w:color="auto" w:fill="CFF0FC"/>
          </w:tcPr>
          <w:p>
            <w:pPr>
              <w:spacing w:after="0"/>
              <w:rPr>
                <w:sz w:val="5"/>
                <w:szCs w:val="5"/>
                <w:color w:val="auto"/>
              </w:rPr>
            </w:pPr>
          </w:p>
        </w:tc>
        <w:tc>
          <w:tcPr>
            <w:tcW w:w="48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4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860" w:type="dxa"/>
            <w:vAlign w:val="bottom"/>
            <w:tcBorders>
              <w:top w:val="single" w:sz="8" w:color="CFF0FC"/>
            </w:tcBorders>
            <w:shd w:val="clear" w:color="auto" w:fill="CFF0FC"/>
          </w:tcPr>
          <w:p>
            <w:pPr>
              <w:spacing w:after="0"/>
              <w:rPr>
                <w:sz w:val="5"/>
                <w:szCs w:val="5"/>
                <w:color w:val="auto"/>
              </w:rPr>
            </w:pPr>
          </w:p>
        </w:tc>
        <w:tc>
          <w:tcPr>
            <w:tcW w:w="240" w:type="dxa"/>
            <w:vAlign w:val="bottom"/>
            <w:tcBorders>
              <w:top w:val="single" w:sz="8" w:color="CFF0FC"/>
            </w:tcBorders>
            <w:shd w:val="clear" w:color="auto" w:fill="CFF0FC"/>
          </w:tcPr>
          <w:p>
            <w:pPr>
              <w:spacing w:after="0"/>
              <w:rPr>
                <w:sz w:val="5"/>
                <w:szCs w:val="5"/>
                <w:color w:val="auto"/>
              </w:rPr>
            </w:pPr>
          </w:p>
        </w:tc>
        <w:tc>
          <w:tcPr>
            <w:tcW w:w="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148,204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39,971</w:t>
            </w:r>
          </w:p>
        </w:tc>
        <w:tc>
          <w:tcPr>
            <w:tcW w:w="2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138,532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3"/>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235,214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right="20" w:hanging="472"/>
        <w:spacing w:after="0" w:line="277" w:lineRule="auto"/>
        <w:tabs>
          <w:tab w:leader="none" w:pos="4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2017 and 2016 and for which there was a subsequent payment default during the nine-month periods ended September 30, 2017 and 2016, respectively, were not material.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Loans and leases and the allowance for credit losses, continued</w:t>
      </w:r>
    </w:p>
    <w:p>
      <w:pPr>
        <w:spacing w:after="0" w:line="116" w:lineRule="exact"/>
        <w:rPr>
          <w:sz w:val="20"/>
          <w:szCs w:val="20"/>
          <w:color w:val="auto"/>
        </w:rPr>
      </w:pPr>
    </w:p>
    <w:p>
      <w:pPr>
        <w:jc w:val="both"/>
        <w:ind w:firstLine="518"/>
        <w:spacing w:after="0" w:line="304" w:lineRule="auto"/>
        <w:rPr>
          <w:sz w:val="20"/>
          <w:szCs w:val="20"/>
          <w:color w:val="auto"/>
        </w:rPr>
      </w:pPr>
      <w:r>
        <w:rPr>
          <w:rFonts w:ascii="Arial" w:cs="Arial" w:eastAsia="Arial" w:hAnsi="Arial"/>
          <w:sz w:val="18"/>
          <w:szCs w:val="18"/>
          <w:color w:val="auto"/>
        </w:rPr>
        <w:t>The amount of foreclosed residential real estate property held by the Company totaled $106 million and $129 million at September 30, 2017 and December 31, 2016, respectively. There were $545 million and $506 million at September 30, 2017 and December 31, 2016, respectively, in loans secured by residential real estate that were in the process of foreclosure. Of all loans in the process of foreclosure at September 30, 2017, approximately 48% were classified as purchased impaired and 20% were government guaranteed.</w:t>
      </w:r>
    </w:p>
    <w:p>
      <w:pPr>
        <w:spacing w:after="0" w:line="3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During May 2017, M&amp;T Bank, the principal bank subsidiary of M&amp;T, issued $900 million of senior notes that mature in May 2022 pursuant to a Bank Note Program, of which $650 million have a 2.50% fixed interest rate and $250 million have a variable rate paid quarterly at rates that are indexed to the three-month London Interbank Offered Rate (“LIBOR”). During June 2017, M&amp;T Bank redeemed $750 million of 1.40% fixed rate senior notes. The notes had a maturity date of July 25, 2017 and were redeemable on or after the 30</w:t>
      </w:r>
      <w:r>
        <w:rPr>
          <w:rFonts w:ascii="Arial" w:cs="Arial" w:eastAsia="Arial" w:hAnsi="Arial"/>
          <w:sz w:val="15"/>
          <w:szCs w:val="15"/>
          <w:color w:val="auto"/>
        </w:rPr>
        <w:t>th</w:t>
      </w:r>
      <w:r>
        <w:rPr>
          <w:rFonts w:ascii="Arial" w:cs="Arial" w:eastAsia="Arial" w:hAnsi="Arial"/>
          <w:sz w:val="19"/>
          <w:szCs w:val="19"/>
          <w:color w:val="auto"/>
        </w:rPr>
        <w:t xml:space="preserve"> day prior to the maturity date. During August 2017, M&amp;T Bank issued $750 million of three-year 2.05% fixed rate senior notes due August 2020 and $500 million of ten-year 3.40% fixed rate subordinated notes due August 2027.</w:t>
      </w:r>
    </w:p>
    <w:p>
      <w:pPr>
        <w:spacing w:after="0" w:line="54"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M&amp;T had $519 million of fixed and variable rate junior subordinated deferrable interest debentures ("Junior Subordinated Debentures") outstanding at September 30, 2017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Borrowings, continued</w:t>
      </w:r>
    </w:p>
    <w:p>
      <w:pPr>
        <w:spacing w:after="0" w:line="11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Also included in long-term borrowings are agreements to repurchase securities of $425 million and $1.1 billion at September 30, 2017 and December 31, 2016,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$445 million and $1.1 billion at September 30, 2017 and December 31, 2016, respectively</w:t>
      </w:r>
      <w:r>
        <w:rPr>
          <w:rFonts w:ascii="Arial" w:cs="Arial" w:eastAsia="Arial" w:hAnsi="Arial"/>
          <w:sz w:val="16"/>
          <w:szCs w:val="16"/>
          <w:color w:val="auto"/>
        </w:rPr>
        <w:t>.</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6. Shareholders' equity</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Issued and outstanding preferred stock of M&amp;T as of September 30, 2017 and December 31, 2016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7"/>
              </w:rPr>
              <w:t>Issued and</w:t>
            </w:r>
          </w:p>
        </w:tc>
        <w:tc>
          <w:tcPr>
            <w:tcW w:w="2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Carrying</w:t>
            </w:r>
          </w:p>
        </w:tc>
      </w:tr>
      <w:tr>
        <w:trPr>
          <w:trHeight w:val="167"/>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156"/>
        </w:trPr>
        <w:tc>
          <w:tcPr>
            <w:tcW w:w="7040" w:type="dxa"/>
            <w:vAlign w:val="bottom"/>
          </w:tcPr>
          <w:p>
            <w:pPr>
              <w:spacing w:after="0"/>
              <w:rPr>
                <w:sz w:val="13"/>
                <w:szCs w:val="13"/>
                <w:color w:val="auto"/>
              </w:rPr>
            </w:pPr>
          </w:p>
        </w:tc>
        <w:tc>
          <w:tcPr>
            <w:tcW w:w="2000" w:type="dxa"/>
            <w:vAlign w:val="bottom"/>
            <w:tcBorders>
              <w:top w:val="single" w:sz="8" w:color="auto"/>
            </w:tcBorders>
            <w:gridSpan w:val="3"/>
          </w:tcPr>
          <w:p>
            <w:pPr>
              <w:ind w:left="36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3"/>
                <w:szCs w:val="13"/>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230,000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230,000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 $1,000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151,500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151,500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350,000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500,000</w:t>
            </w:r>
          </w:p>
        </w:tc>
        <w:tc>
          <w:tcPr>
            <w:tcW w:w="100" w:type="dxa"/>
            <w:vAlign w:val="bottom"/>
          </w:tcPr>
          <w:p>
            <w:pPr>
              <w:spacing w:after="0"/>
              <w:rPr>
                <w:sz w:val="20"/>
                <w:szCs w:val="20"/>
                <w:color w:val="auto"/>
              </w:rPr>
            </w:pPr>
          </w:p>
        </w:tc>
      </w:tr>
    </w:tbl>
    <w:p>
      <w:pPr>
        <w:spacing w:after="0" w:line="53" w:lineRule="exact"/>
        <w:rPr>
          <w:sz w:val="20"/>
          <w:szCs w:val="20"/>
          <w:color w:val="auto"/>
        </w:rPr>
      </w:pPr>
    </w:p>
    <w:p>
      <w:pPr>
        <w:ind w:left="520" w:hanging="512"/>
        <w:spacing w:after="0" w:line="258"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$73.79 per share issued in connection with the Series A preferred stock expire in 2018 and totaled 327,358 at September 30, 2017.</w:t>
      </w:r>
    </w:p>
    <w:p>
      <w:pPr>
        <w:spacing w:after="0" w:line="1" w:lineRule="exact"/>
        <w:rPr>
          <w:rFonts w:ascii="Arial" w:cs="Arial" w:eastAsia="Arial" w:hAnsi="Arial"/>
          <w:sz w:val="18"/>
          <w:szCs w:val="18"/>
          <w:i w:val="1"/>
          <w:iCs w:val="1"/>
          <w:color w:val="auto"/>
        </w:rPr>
      </w:pPr>
    </w:p>
    <w:p>
      <w:pPr>
        <w:jc w:val="both"/>
        <w:ind w:left="520" w:hanging="512"/>
        <w:spacing w:after="0" w:line="254"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jc w:val="both"/>
        <w:ind w:left="520" w:hanging="512"/>
        <w:spacing w:after="0" w:line="254" w:lineRule="auto"/>
        <w:tabs>
          <w:tab w:leader="none" w:pos="5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9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 addition to the Series A warrants mentioned in (a) above, a warrant to purchase 95,472 shares of M&amp;T common stock at $518.47 per share was outstanding at September 30, 2017. The obligation under that warrant was assumed by M&amp;T in an acquisition and expires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left="517"/>
              <w:spacing w:after="0"/>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8"/>
              </w:rPr>
              <w:t>Pension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60" w:type="dxa"/>
            <w:vAlign w:val="bottom"/>
            <w:gridSpan w:val="7"/>
          </w:tcPr>
          <w:p>
            <w:pPr>
              <w:jc w:val="center"/>
              <w:ind w:right="180"/>
              <w:spacing w:after="0" w:line="151" w:lineRule="exact"/>
              <w:rPr>
                <w:sz w:val="20"/>
                <w:szCs w:val="20"/>
                <w:color w:val="auto"/>
              </w:rPr>
            </w:pPr>
            <w:r>
              <w:rPr>
                <w:rFonts w:ascii="Arial" w:cs="Arial" w:eastAsia="Arial" w:hAnsi="Arial"/>
                <w:sz w:val="14"/>
                <w:szCs w:val="14"/>
                <w:color w:val="auto"/>
                <w:w w:val="91"/>
              </w:rPr>
              <w:t>Three Months Ended September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176"/>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center"/>
              <w:ind w:right="60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5,048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6,259</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4"/>
                <w:szCs w:val="24"/>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(27,131)</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(27,118)</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(807)</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7,536</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6"/>
        </w:trPr>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left="517"/>
              <w:spacing w:after="0"/>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4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8"/>
              </w:rPr>
              <w:t>Pension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Benefits</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60" w:type="dxa"/>
            <w:vAlign w:val="bottom"/>
            <w:gridSpan w:val="7"/>
          </w:tcPr>
          <w:p>
            <w:pPr>
              <w:jc w:val="center"/>
              <w:ind w:right="180"/>
              <w:spacing w:after="0" w:line="151" w:lineRule="exact"/>
              <w:rPr>
                <w:sz w:val="20"/>
                <w:szCs w:val="20"/>
                <w:color w:val="auto"/>
              </w:rPr>
            </w:pPr>
            <w:r>
              <w:rPr>
                <w:rFonts w:ascii="Arial" w:cs="Arial" w:eastAsia="Arial" w:hAnsi="Arial"/>
                <w:sz w:val="14"/>
                <w:szCs w:val="14"/>
                <w:color w:val="auto"/>
                <w:w w:val="93"/>
              </w:rPr>
              <w:t>Nine Months Ended September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7"/>
        </w:trPr>
        <w:tc>
          <w:tcPr>
            <w:tcW w:w="4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176"/>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center"/>
              <w:ind w:right="60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71"/>
        </w:trPr>
        <w:tc>
          <w:tcPr>
            <w:tcW w:w="462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15,145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18,778</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4"/>
                <w:szCs w:val="24"/>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62,558</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8"/>
              <w:spacing w:after="0"/>
              <w:rPr>
                <w:sz w:val="20"/>
                <w:szCs w:val="20"/>
                <w:color w:val="auto"/>
              </w:rPr>
            </w:pPr>
            <w:r>
              <w:rPr>
                <w:rFonts w:ascii="Arial" w:cs="Arial" w:eastAsia="Arial" w:hAnsi="Arial"/>
                <w:sz w:val="18"/>
                <w:szCs w:val="18"/>
                <w:color w:val="auto"/>
                <w:w w:val="98"/>
              </w:rPr>
              <w:t>(81,393)</w:t>
            </w: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(81,355)</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(2,421)</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(1,019)</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(1,019)</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22,609</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Expense incurred in connection with the Company's defined contribution pension and retirement savings plans totaled $16,085,000 and $14,783,000 for the three months ended September 30, 2017 and 2016, respectively, and $53,127,000 and $47,747,000 for the nine months ended September 30, 2017 and 2016,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color w:val="auto"/>
              </w:rPr>
              <w:t>Three Months Ended</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Arial" w:cs="Arial" w:eastAsia="Arial" w:hAnsi="Arial"/>
                <w:sz w:val="14"/>
                <w:szCs w:val="14"/>
                <w:color w:val="auto"/>
              </w:rPr>
              <w:t>September 30</w:t>
            </w:r>
          </w:p>
        </w:tc>
        <w:tc>
          <w:tcPr>
            <w:tcW w:w="2220" w:type="dxa"/>
            <w:vAlign w:val="bottom"/>
            <w:gridSpan w:val="4"/>
          </w:tcPr>
          <w:p>
            <w:pPr>
              <w:jc w:val="right"/>
              <w:ind w:right="180"/>
              <w:spacing w:after="0"/>
              <w:rPr>
                <w:sz w:val="20"/>
                <w:szCs w:val="20"/>
                <w:color w:val="auto"/>
              </w:rPr>
            </w:pPr>
            <w:r>
              <w:rPr>
                <w:rFonts w:ascii="Arial" w:cs="Arial" w:eastAsia="Arial" w:hAnsi="Arial"/>
                <w:sz w:val="14"/>
                <w:szCs w:val="14"/>
                <w:color w:val="auto"/>
                <w:w w:val="94"/>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gridSpan w:val="4"/>
          </w:tcPr>
          <w:p>
            <w:pPr>
              <w:jc w:val="right"/>
              <w:ind w:right="460"/>
              <w:spacing w:after="0" w:line="155" w:lineRule="exact"/>
              <w:rPr>
                <w:sz w:val="20"/>
                <w:szCs w:val="20"/>
                <w:color w:val="auto"/>
              </w:rPr>
            </w:pPr>
            <w:r>
              <w:rPr>
                <w:rFonts w:ascii="Arial" w:cs="Arial" w:eastAsia="Arial" w:hAnsi="Arial"/>
                <w:sz w:val="14"/>
                <w:szCs w:val="14"/>
                <w:color w:val="auto"/>
                <w:w w:val="96"/>
              </w:rPr>
              <w:t>(In thousands, except per share)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355,923</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349,984</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1,085,903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984,543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Preferred stock dividends (a)</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(18,130)</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(20,318)</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(54,604)</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337,793</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329,666</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1,031,299</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 awards</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(1,992)</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(2,674)</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(6,288)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335,801</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326,992</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1,025,011</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issuable) and unvested stock-based compensation awards</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152,245</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156,767</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153,814</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(898)</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(1,274)</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(948)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151,347</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155,493</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152,866</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20" w:hanging="867"/>
        <w:spacing w:after="0"/>
        <w:tabs>
          <w:tab w:leader="none" w:pos="9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4"/>
                <w:szCs w:val="14"/>
                <w:color w:val="auto"/>
              </w:rPr>
              <w:t>Three Months Ended</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right"/>
              <w:ind w:right="980"/>
              <w:spacing w:after="0"/>
              <w:rPr>
                <w:sz w:val="20"/>
                <w:szCs w:val="20"/>
                <w:color w:val="auto"/>
              </w:rPr>
            </w:pPr>
            <w:r>
              <w:rPr>
                <w:rFonts w:ascii="Arial" w:cs="Arial" w:eastAsia="Arial" w:hAnsi="Arial"/>
                <w:sz w:val="14"/>
                <w:szCs w:val="14"/>
                <w:color w:val="auto"/>
              </w:rPr>
              <w:t>September 30</w:t>
            </w:r>
          </w:p>
        </w:tc>
        <w:tc>
          <w:tcPr>
            <w:tcW w:w="2220" w:type="dxa"/>
            <w:vAlign w:val="bottom"/>
            <w:gridSpan w:val="4"/>
          </w:tcPr>
          <w:p>
            <w:pPr>
              <w:jc w:val="right"/>
              <w:ind w:right="180"/>
              <w:spacing w:after="0"/>
              <w:rPr>
                <w:sz w:val="20"/>
                <w:szCs w:val="20"/>
                <w:color w:val="auto"/>
              </w:rPr>
            </w:pPr>
            <w:r>
              <w:rPr>
                <w:rFonts w:ascii="Arial" w:cs="Arial" w:eastAsia="Arial" w:hAnsi="Arial"/>
                <w:sz w:val="14"/>
                <w:szCs w:val="14"/>
                <w:color w:val="auto"/>
                <w:w w:val="94"/>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right"/>
              <w:ind w:right="460"/>
              <w:spacing w:after="0"/>
              <w:rPr>
                <w:sz w:val="20"/>
                <w:szCs w:val="20"/>
                <w:color w:val="auto"/>
              </w:rPr>
            </w:pPr>
            <w:r>
              <w:rPr>
                <w:rFonts w:ascii="Arial" w:cs="Arial" w:eastAsia="Arial" w:hAnsi="Arial"/>
                <w:sz w:val="14"/>
                <w:szCs w:val="14"/>
                <w:color w:val="auto"/>
                <w:w w:val="96"/>
              </w:rPr>
              <w:t>(In thousands, except per share)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337,793</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329,666</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1,031,299</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923,590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 awards</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(1,989)</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(2,668)</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(6,276)</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335,804</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326,998</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1,025,023</w:t>
            </w:r>
          </w:p>
        </w:tc>
        <w:tc>
          <w:tcPr>
            <w:tcW w:w="3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152,245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156,767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153,814</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(898)</w:t>
            </w: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(1,274)</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(948)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stock-based compensation awards and warrants to</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purchase common stock</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6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151,691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156,026</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153,293</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6"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Stock-based compensation awards and warrants to purchase common stock of M&amp;T representing 408,657 and 2,015,870 common shares during the three-month periods ended September 30, 2017 and 2016, respectively, and 404,487 and 2,513,288 common shares during the nine-month periods ended September 30, 2017 and 2016, respectively, were not included in the computations of diluted earnings per common share because the effect on those periods would have been antidilutive.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Defined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59"/>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88"/>
              <w:spacing w:after="0" w:line="159" w:lineRule="exact"/>
              <w:rPr>
                <w:sz w:val="20"/>
                <w:szCs w:val="20"/>
                <w:color w:val="auto"/>
              </w:rPr>
            </w:pPr>
            <w:r>
              <w:rPr>
                <w:rFonts w:ascii="Arial" w:cs="Arial" w:eastAsia="Arial" w:hAnsi="Arial"/>
                <w:sz w:val="14"/>
                <w:szCs w:val="14"/>
                <w:color w:val="auto"/>
              </w:rPr>
              <w:t>Investment Securities</w:t>
            </w:r>
          </w:p>
        </w:tc>
        <w:tc>
          <w:tcPr>
            <w:tcW w:w="240" w:type="dxa"/>
            <w:vAlign w:val="bottom"/>
            <w:gridSpan w:val="2"/>
          </w:tcPr>
          <w:p>
            <w:pPr>
              <w:spacing w:after="0"/>
              <w:rPr>
                <w:sz w:val="13"/>
                <w:szCs w:val="13"/>
                <w:color w:val="auto"/>
              </w:rPr>
            </w:pPr>
          </w:p>
        </w:tc>
        <w:tc>
          <w:tcPr>
            <w:tcW w:w="76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1"/>
              </w:rPr>
              <w:t>Benefit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59"/>
              <w:spacing w:after="0" w:line="159" w:lineRule="exact"/>
              <w:rPr>
                <w:sz w:val="20"/>
                <w:szCs w:val="20"/>
                <w:color w:val="auto"/>
              </w:rPr>
            </w:pPr>
            <w:r>
              <w:rPr>
                <w:rFonts w:ascii="Arial" w:cs="Arial" w:eastAsia="Arial" w:hAnsi="Arial"/>
                <w:sz w:val="14"/>
                <w:szCs w:val="14"/>
                <w:color w:val="auto"/>
                <w:w w:val="91"/>
              </w:rPr>
              <w:t>Amount</w:t>
            </w:r>
          </w:p>
        </w:tc>
        <w:tc>
          <w:tcPr>
            <w:tcW w:w="340" w:type="dxa"/>
            <w:vAlign w:val="bottom"/>
          </w:tcPr>
          <w:p>
            <w:pPr>
              <w:spacing w:after="0"/>
              <w:rPr>
                <w:sz w:val="13"/>
                <w:szCs w:val="13"/>
                <w:color w:val="auto"/>
              </w:rPr>
            </w:pPr>
          </w:p>
        </w:tc>
        <w:tc>
          <w:tcPr>
            <w:tcW w:w="900" w:type="dxa"/>
            <w:vAlign w:val="bottom"/>
            <w:gridSpan w:val="2"/>
          </w:tcPr>
          <w:p>
            <w:pPr>
              <w:jc w:val="right"/>
              <w:ind w:right="308"/>
              <w:spacing w:after="0" w:line="159"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1"/>
              </w:rPr>
              <w:t>With OTTI (a)</w:t>
            </w:r>
          </w:p>
        </w:tc>
        <w:tc>
          <w:tcPr>
            <w:tcW w:w="90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All Other</w:t>
            </w:r>
          </w:p>
        </w:tc>
        <w:tc>
          <w:tcPr>
            <w:tcW w:w="760" w:type="dxa"/>
            <w:vAlign w:val="bottom"/>
            <w:gridSpan w:val="2"/>
          </w:tcPr>
          <w:p>
            <w:pPr>
              <w:jc w:val="center"/>
              <w:ind w:right="120"/>
              <w:spacing w:after="0" w:line="155" w:lineRule="exact"/>
              <w:rPr>
                <w:sz w:val="20"/>
                <w:szCs w:val="20"/>
                <w:color w:val="auto"/>
              </w:rPr>
            </w:pPr>
            <w:r>
              <w:rPr>
                <w:rFonts w:ascii="Arial" w:cs="Arial" w:eastAsia="Arial" w:hAnsi="Arial"/>
                <w:sz w:val="14"/>
                <w:szCs w:val="14"/>
                <w:color w:val="auto"/>
                <w:w w:val="79"/>
              </w:rPr>
              <w:t>Plans</w:t>
            </w: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840" w:type="dxa"/>
            <w:vAlign w:val="bottom"/>
            <w:gridSpan w:val="3"/>
          </w:tcPr>
          <w:p>
            <w:pPr>
              <w:jc w:val="center"/>
              <w:ind w:right="39"/>
              <w:spacing w:after="0" w:line="155" w:lineRule="exact"/>
              <w:rPr>
                <w:sz w:val="20"/>
                <w:szCs w:val="20"/>
                <w:color w:val="auto"/>
              </w:rPr>
            </w:pPr>
            <w:r>
              <w:rPr>
                <w:rFonts w:ascii="Arial" w:cs="Arial" w:eastAsia="Arial" w:hAnsi="Arial"/>
                <w:sz w:val="14"/>
                <w:szCs w:val="14"/>
                <w:color w:val="auto"/>
                <w:w w:val="87"/>
              </w:rPr>
              <w:t>Before Tax</w:t>
            </w:r>
          </w:p>
        </w:tc>
        <w:tc>
          <w:tcPr>
            <w:tcW w:w="340" w:type="dxa"/>
            <w:vAlign w:val="bottom"/>
          </w:tcPr>
          <w:p>
            <w:pPr>
              <w:spacing w:after="0"/>
              <w:rPr>
                <w:sz w:val="13"/>
                <w:szCs w:val="13"/>
                <w:color w:val="auto"/>
              </w:rPr>
            </w:pPr>
          </w:p>
        </w:tc>
        <w:tc>
          <w:tcPr>
            <w:tcW w:w="900" w:type="dxa"/>
            <w:vAlign w:val="bottom"/>
            <w:gridSpan w:val="2"/>
          </w:tcPr>
          <w:p>
            <w:pPr>
              <w:jc w:val="right"/>
              <w:ind w:right="408"/>
              <w:spacing w:after="0" w:line="155" w:lineRule="exact"/>
              <w:rPr>
                <w:sz w:val="20"/>
                <w:szCs w:val="20"/>
                <w:color w:val="auto"/>
              </w:rPr>
            </w:pPr>
            <w:r>
              <w:rPr>
                <w:rFonts w:ascii="Arial" w:cs="Arial" w:eastAsia="Arial" w:hAnsi="Arial"/>
                <w:sz w:val="14"/>
                <w:szCs w:val="14"/>
                <w:color w:val="auto"/>
              </w:rPr>
              <w:t>Tax</w:t>
            </w:r>
          </w:p>
        </w:tc>
        <w:tc>
          <w:tcPr>
            <w:tcW w:w="120" w:type="dxa"/>
            <w:vAlign w:val="bottom"/>
          </w:tcPr>
          <w:p>
            <w:pPr>
              <w:spacing w:after="0"/>
              <w:rPr>
                <w:sz w:val="13"/>
                <w:szCs w:val="13"/>
                <w:color w:val="auto"/>
              </w:rPr>
            </w:pPr>
          </w:p>
        </w:tc>
        <w:tc>
          <w:tcPr>
            <w:tcW w:w="700" w:type="dxa"/>
            <w:vAlign w:val="bottom"/>
            <w:gridSpan w:val="2"/>
          </w:tcPr>
          <w:p>
            <w:pPr>
              <w:jc w:val="right"/>
              <w:ind w:right="339"/>
              <w:spacing w:after="0" w:line="15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40" w:type="dxa"/>
            <w:vAlign w:val="bottom"/>
            <w:gridSpan w:val="2"/>
          </w:tcPr>
          <w:p>
            <w:pPr>
              <w:spacing w:after="0"/>
              <w:rPr>
                <w:sz w:val="20"/>
                <w:szCs w:val="20"/>
                <w:color w:val="auto"/>
              </w:rPr>
            </w:pPr>
            <w:r>
              <w:rPr>
                <w:rFonts w:ascii="Arial" w:cs="Arial" w:eastAsia="Arial" w:hAnsi="Arial"/>
                <w:sz w:val="14"/>
                <w:szCs w:val="14"/>
                <w:color w:val="auto"/>
              </w:rPr>
              <w:t>Balance — January 1, 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46,725</w:t>
            </w:r>
          </w:p>
        </w:tc>
        <w:tc>
          <w:tcPr>
            <w:tcW w:w="2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(73,785)</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(449,917)</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(8,268)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(485,245)</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190,609</w:t>
            </w:r>
          </w:p>
        </w:tc>
        <w:tc>
          <w:tcPr>
            <w:tcW w:w="240" w:type="dxa"/>
            <w:vAlign w:val="bottom"/>
          </w:tcPr>
          <w:p>
            <w:pPr>
              <w:spacing w:after="0"/>
              <w:rPr>
                <w:sz w:val="24"/>
                <w:szCs w:val="2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Unrealized holding gains (losses), net</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(7,365)</w:t>
            </w:r>
          </w:p>
        </w:tc>
        <w:tc>
          <w:tcPr>
            <w:tcW w:w="660" w:type="dxa"/>
            <w:vAlign w:val="bottom"/>
          </w:tcPr>
          <w:p>
            <w:pPr>
              <w:jc w:val="right"/>
              <w:spacing w:after="0"/>
              <w:rPr>
                <w:sz w:val="20"/>
                <w:szCs w:val="20"/>
                <w:color w:val="auto"/>
              </w:rPr>
            </w:pPr>
            <w:r>
              <w:rPr>
                <w:rFonts w:ascii="Arial" w:cs="Arial" w:eastAsia="Arial" w:hAnsi="Arial"/>
                <w:sz w:val="14"/>
                <w:szCs w:val="14"/>
                <w:color w:val="auto"/>
              </w:rPr>
              <w:t>60,586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53,221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(20,934)</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32,287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3,829</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Unrealized losses on cash flow hedges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(1,076)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(1,076)</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2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(loss) before</w:t>
            </w:r>
          </w:p>
        </w:tc>
        <w:tc>
          <w:tcPr>
            <w:tcW w:w="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reclassifications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(7,365)</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60,586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55,974</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(21,850)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34,124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640" w:type="dxa"/>
            <w:vAlign w:val="bottom"/>
            <w:gridSpan w:val="2"/>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held-to-maturity (“HTM”) securities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(b)</w:t>
            </w: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(998)</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(Gains) losses realized in net income</w:t>
            </w: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(50)</w:t>
            </w:r>
          </w:p>
        </w:tc>
        <w:tc>
          <w:tcPr>
            <w:tcW w:w="6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hedges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(109) (d)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tcPr>
          <w:p>
            <w:pPr>
              <w:ind w:left="240"/>
              <w:spacing w:after="0" w:line="143" w:lineRule="exact"/>
              <w:rPr>
                <w:sz w:val="20"/>
                <w:szCs w:val="20"/>
                <w:color w:val="auto"/>
              </w:rPr>
            </w:pPr>
            <w:r>
              <w:rPr>
                <w:rFonts w:ascii="Arial" w:cs="Arial" w:eastAsia="Arial" w:hAnsi="Arial"/>
                <w:sz w:val="14"/>
                <w:szCs w:val="14"/>
                <w:color w:val="auto"/>
              </w:rPr>
              <w:t>Net yield adjustment from cash flow hedges currently in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340"/>
              <w:spacing w:after="0"/>
              <w:rPr>
                <w:sz w:val="20"/>
                <w:szCs w:val="20"/>
                <w:color w:val="auto"/>
              </w:rPr>
            </w:pPr>
            <w:r>
              <w:rPr>
                <w:rFonts w:ascii="Arial" w:cs="Arial" w:eastAsia="Arial" w:hAnsi="Arial"/>
                <w:sz w:val="14"/>
                <w:szCs w:val="14"/>
                <w:color w:val="auto"/>
              </w:rPr>
              <w:t>effect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(2,275)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68"/>
              <w:spacing w:after="0"/>
              <w:rPr>
                <w:sz w:val="20"/>
                <w:szCs w:val="20"/>
                <w:color w:val="auto"/>
              </w:rPr>
            </w:pPr>
            <w:r>
              <w:rPr>
                <w:rFonts w:ascii="Arial" w:cs="Arial" w:eastAsia="Arial" w:hAnsi="Arial"/>
                <w:sz w:val="14"/>
                <w:szCs w:val="14"/>
                <w:color w:val="auto"/>
              </w:rPr>
              <w:t>(2,275) (b)</w:t>
            </w:r>
          </w:p>
        </w:tc>
        <w:tc>
          <w:tcPr>
            <w:tcW w:w="660" w:type="dxa"/>
            <w:vAlign w:val="bottom"/>
          </w:tcPr>
          <w:p>
            <w:pPr>
              <w:jc w:val="right"/>
              <w:spacing w:after="0"/>
              <w:rPr>
                <w:sz w:val="20"/>
                <w:szCs w:val="20"/>
                <w:color w:val="auto"/>
              </w:rPr>
            </w:pPr>
            <w:r>
              <w:rPr>
                <w:rFonts w:ascii="Arial" w:cs="Arial" w:eastAsia="Arial" w:hAnsi="Arial"/>
                <w:sz w:val="14"/>
                <w:szCs w:val="14"/>
                <w:color w:val="auto"/>
              </w:rPr>
              <w:t>895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prior service credit</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(601)</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Amortization of actuarial losses</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21,206</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(e)</w:t>
            </w: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(8,345)</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reclassifications</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2,602</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20,605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20,773</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(8,176)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12,597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(7,415)</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63,188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20,605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76,747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(30,026</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46,721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September 30, 2017</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39,310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(10,597)</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(429,312)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(7,899)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(408,498</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160,583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(247,915</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2016</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16,359</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62,849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(489,660)</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(4,093)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(414,545)</w:t>
            </w: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162,918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(251,627)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holding gains, net</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234,438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235,666</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(92,714)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142,952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(2,836)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(2,836)</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2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8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reclassifications</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234,438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(2,836)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232,830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(91,725)</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640" w:type="dxa"/>
            <w:vAlign w:val="bottom"/>
            <w:gridSpan w:val="2"/>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HTM securities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93"/>
              </w:rPr>
              <w:t>(b)</w:t>
            </w: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Gains realized in net income</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(28,748)</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88"/>
              <w:spacing w:after="0"/>
              <w:rPr>
                <w:sz w:val="20"/>
                <w:szCs w:val="20"/>
                <w:color w:val="auto"/>
              </w:rPr>
            </w:pPr>
            <w:r>
              <w:rPr>
                <w:rFonts w:ascii="Arial" w:cs="Arial" w:eastAsia="Arial" w:hAnsi="Arial"/>
                <w:sz w:val="14"/>
                <w:szCs w:val="14"/>
                <w:color w:val="auto"/>
              </w:rPr>
              <w:t>(28,748) (c)</w:t>
            </w:r>
          </w:p>
        </w:tc>
        <w:tc>
          <w:tcPr>
            <w:tcW w:w="660" w:type="dxa"/>
            <w:vAlign w:val="bottom"/>
          </w:tcPr>
          <w:p>
            <w:pPr>
              <w:jc w:val="right"/>
              <w:spacing w:after="0"/>
              <w:rPr>
                <w:sz w:val="20"/>
                <w:szCs w:val="20"/>
                <w:color w:val="auto"/>
              </w:rPr>
            </w:pPr>
            <w:r>
              <w:rPr>
                <w:rFonts w:ascii="Arial" w:cs="Arial" w:eastAsia="Arial" w:hAnsi="Arial"/>
                <w:sz w:val="14"/>
                <w:szCs w:val="14"/>
                <w:color w:val="auto"/>
              </w:rPr>
              <w:t>11,309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(17,439)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Accretion of net gain on terminated cash flow</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hedges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88"/>
              <w:spacing w:after="0"/>
              <w:rPr>
                <w:sz w:val="20"/>
                <w:szCs w:val="20"/>
                <w:color w:val="auto"/>
              </w:rPr>
            </w:pPr>
            <w:r>
              <w:rPr>
                <w:rFonts w:ascii="Arial" w:cs="Arial" w:eastAsia="Arial" w:hAnsi="Arial"/>
                <w:sz w:val="14"/>
                <w:szCs w:val="14"/>
                <w:color w:val="auto"/>
              </w:rPr>
              <w:t>(116) (d)</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(3,440)</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88"/>
              <w:spacing w:after="0"/>
              <w:rPr>
                <w:sz w:val="20"/>
                <w:szCs w:val="20"/>
                <w:color w:val="auto"/>
              </w:rPr>
            </w:pPr>
            <w:r>
              <w:rPr>
                <w:rFonts w:ascii="Arial" w:cs="Arial" w:eastAsia="Arial" w:hAnsi="Arial"/>
                <w:sz w:val="14"/>
                <w:szCs w:val="14"/>
                <w:color w:val="auto"/>
              </w:rPr>
              <w:t>(3,440) (e)</w:t>
            </w:r>
          </w:p>
        </w:tc>
        <w:tc>
          <w:tcPr>
            <w:tcW w:w="660" w:type="dxa"/>
            <w:vAlign w:val="bottom"/>
          </w:tcPr>
          <w:p>
            <w:pPr>
              <w:jc w:val="right"/>
              <w:spacing w:after="0"/>
              <w:rPr>
                <w:sz w:val="20"/>
                <w:szCs w:val="20"/>
                <w:color w:val="auto"/>
              </w:rPr>
            </w:pPr>
            <w:r>
              <w:rPr>
                <w:rFonts w:ascii="Arial" w:cs="Arial" w:eastAsia="Arial" w:hAnsi="Arial"/>
                <w:sz w:val="14"/>
                <w:szCs w:val="14"/>
                <w:color w:val="auto"/>
              </w:rPr>
              <w:t>1,354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22,654</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93"/>
              </w:rPr>
              <w:t>(e)</w:t>
            </w:r>
          </w:p>
        </w:tc>
        <w:tc>
          <w:tcPr>
            <w:tcW w:w="9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(8,914)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Total reclassifications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(25,750)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2,615</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gain (loss) during the period</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1,228</w:t>
            </w:r>
          </w:p>
        </w:tc>
        <w:tc>
          <w:tcPr>
            <w:tcW w:w="2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208,688</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19,214</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226,178</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(89,110)</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137,068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auto"/>
              </w:rPr>
              <w:t>Balance — September 30, 2016</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17,587</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(470,446)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(188,367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73,808</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(114,559</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Other-than-temporary impairment</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2"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gain (loss) on bank investment securities</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expense</w:t>
      </w:r>
    </w:p>
    <w:p>
      <w:pPr>
        <w:spacing w:after="0" w:line="9" w:lineRule="exact"/>
        <w:rPr>
          <w:rFonts w:ascii="Arial" w:cs="Arial" w:eastAsia="Arial" w:hAnsi="Arial"/>
          <w:sz w:val="18"/>
          <w:szCs w:val="18"/>
          <w:i w:val="1"/>
          <w:iCs w:val="1"/>
          <w:color w:val="auto"/>
        </w:rPr>
      </w:pPr>
    </w:p>
    <w:p>
      <w:pPr>
        <w:ind w:left="520" w:hanging="512"/>
        <w:spacing w:after="0"/>
        <w:tabs>
          <w:tab w:leader="none" w:pos="5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Comprehensive income,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Defined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69"/>
              <w:spacing w:after="0" w:line="159" w:lineRule="exact"/>
              <w:rPr>
                <w:sz w:val="20"/>
                <w:szCs w:val="20"/>
                <w:color w:val="auto"/>
              </w:rPr>
            </w:pPr>
            <w:r>
              <w:rPr>
                <w:rFonts w:ascii="Arial" w:cs="Arial" w:eastAsia="Arial" w:hAnsi="Arial"/>
                <w:sz w:val="14"/>
                <w:szCs w:val="14"/>
                <w:color w:val="auto"/>
              </w:rPr>
              <w:t>Investment Securities</w:t>
            </w:r>
          </w:p>
        </w:tc>
        <w:tc>
          <w:tcPr>
            <w:tcW w:w="300" w:type="dxa"/>
            <w:vAlign w:val="bottom"/>
          </w:tcPr>
          <w:p>
            <w:pPr>
              <w:spacing w:after="0"/>
              <w:rPr>
                <w:sz w:val="13"/>
                <w:szCs w:val="13"/>
                <w:color w:val="auto"/>
              </w:rPr>
            </w:pPr>
          </w:p>
        </w:tc>
        <w:tc>
          <w:tcPr>
            <w:tcW w:w="11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7"/>
              </w:rPr>
              <w:t>Benefit</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w w:val="93"/>
              </w:rPr>
              <w:t>With OTTI</w:t>
            </w: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All Other</w:t>
            </w:r>
          </w:p>
        </w:tc>
        <w:tc>
          <w:tcPr>
            <w:tcW w:w="118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85"/>
              </w:rPr>
              <w:t>Plans</w:t>
            </w:r>
          </w:p>
        </w:tc>
        <w:tc>
          <w:tcPr>
            <w:tcW w:w="118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3"/>
                <w:szCs w:val="13"/>
                <w:color w:val="auto"/>
              </w:rPr>
            </w:pPr>
          </w:p>
        </w:tc>
        <w:tc>
          <w:tcPr>
            <w:tcW w:w="8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7"/>
              </w:rPr>
              <w:t>(In thousands)</w:t>
            </w:r>
          </w:p>
        </w:tc>
        <w:tc>
          <w:tcPr>
            <w:tcW w:w="8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5740" w:type="dxa"/>
            <w:vAlign w:val="bottom"/>
          </w:tcPr>
          <w:p>
            <w:pPr>
              <w:spacing w:after="0"/>
              <w:rPr>
                <w:sz w:val="20"/>
                <w:szCs w:val="20"/>
                <w:color w:val="auto"/>
              </w:rPr>
            </w:pPr>
            <w:r>
              <w:rPr>
                <w:rFonts w:ascii="Arial" w:cs="Arial" w:eastAsia="Arial" w:hAnsi="Arial"/>
                <w:sz w:val="18"/>
                <w:szCs w:val="18"/>
                <w:color w:val="auto"/>
              </w:rPr>
              <w:t>Balance — December 31, 2016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28,338</w:t>
            </w:r>
          </w:p>
        </w:tc>
        <w:tc>
          <w:tcPr>
            <w:tcW w:w="3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(44,657)</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(272,874)</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(5,443)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gain (loss) during period</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(4,496)</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38,330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12,496</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Balance — September 30, 2017</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23,842</w:t>
            </w: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(6,327)</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(260,378)</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(5,052)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(247,915)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September 30, 2017.</w:t>
      </w:r>
    </w:p>
    <w:p>
      <w:pPr>
        <w:spacing w:after="0" w:line="7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net effect of interest rate swap agreements was to increase net interest income by $7 million and $9 million for the three-month periods ended September 30, 2017 and 2016, respectively, and $18 million and $30 million for the nine-month periods ended September 30, 2017 and 2016, respectively.</w:t>
      </w:r>
    </w:p>
    <w:p>
      <w:pPr>
        <w:spacing w:after="0" w:line="74"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ind w:left="600"/>
              <w:spacing w:after="0"/>
              <w:rPr>
                <w:sz w:val="20"/>
                <w:szCs w:val="20"/>
                <w:color w:val="auto"/>
              </w:rPr>
            </w:pPr>
            <w:r>
              <w:rPr>
                <w:rFonts w:ascii="Arial" w:cs="Arial" w:eastAsia="Arial" w:hAnsi="Arial"/>
                <w:sz w:val="14"/>
                <w:szCs w:val="14"/>
                <w:color w:val="auto"/>
                <w:w w:val="87"/>
              </w:rPr>
              <w:t>Weighted-</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color w:val="auto"/>
              </w:rPr>
              <w:t>Notional</w:t>
            </w: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2160" w:type="dxa"/>
            <w:vAlign w:val="bottom"/>
            <w:gridSpan w:val="5"/>
          </w:tcPr>
          <w:p>
            <w:pPr>
              <w:jc w:val="right"/>
              <w:ind w:right="880"/>
              <w:spacing w:after="0"/>
              <w:rPr>
                <w:sz w:val="20"/>
                <w:szCs w:val="20"/>
                <w:color w:val="auto"/>
              </w:rPr>
            </w:pPr>
            <w:r>
              <w:rPr>
                <w:rFonts w:ascii="Arial" w:cs="Arial" w:eastAsia="Arial" w:hAnsi="Arial"/>
                <w:sz w:val="14"/>
                <w:szCs w:val="14"/>
                <w:color w:val="auto"/>
              </w:rPr>
              <w:t>Average Rate</w:t>
            </w: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2"/>
              </w:rPr>
              <w:t>Estimated Fair Value</w:t>
            </w:r>
          </w:p>
        </w:tc>
        <w:tc>
          <w:tcPr>
            <w:tcW w:w="0" w:type="dxa"/>
            <w:vAlign w:val="bottom"/>
          </w:tcPr>
          <w:p>
            <w:pPr>
              <w:spacing w:after="0"/>
              <w:rPr>
                <w:sz w:val="1"/>
                <w:szCs w:val="1"/>
                <w:color w:val="auto"/>
              </w:rPr>
            </w:pPr>
          </w:p>
        </w:tc>
      </w:tr>
      <w:tr>
        <w:trPr>
          <w:trHeight w:val="137"/>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Amount</w:t>
            </w:r>
          </w:p>
        </w:tc>
        <w:tc>
          <w:tcPr>
            <w:tcW w:w="3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Maturity</w:t>
            </w:r>
          </w:p>
        </w:tc>
        <w:tc>
          <w:tcPr>
            <w:tcW w:w="280" w:type="dxa"/>
            <w:vAlign w:val="bottom"/>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Fixed</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3"/>
              </w:rPr>
              <w:t>Variable</w:t>
            </w: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94"/>
              </w:rPr>
              <w:t>Gain (a)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(In years)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4,950,000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Cash flow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Variable rate commercial real estate loans (b)</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2,000,000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6,950,000</w:t>
            </w:r>
          </w:p>
        </w:tc>
        <w:tc>
          <w:tcPr>
            <w:tcW w:w="30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2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Fair value hedges: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20" w:hanging="512"/>
        <w:spacing w:after="0" w:line="259" w:lineRule="auto"/>
        <w:tabs>
          <w:tab w:leader="none" w:pos="5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2017 certain clearinghouse exchanges revised their rules such that certain required payments by counterparties for variation margin on derivative instruments that had been treated as collateral are now treated as settlements of those positions. The impact of such rule changes at September 30, 2017 was a reduction of the estimated fair value losses on interest rate swaps designated as fair value hedges of $12.2 million and on interest rate swaps designated as cash flow hedges of $3.4 million.</w:t>
      </w:r>
    </w:p>
    <w:p>
      <w:pPr>
        <w:spacing w:after="0" w:line="11" w:lineRule="exact"/>
        <w:rPr>
          <w:rFonts w:ascii="Arial" w:cs="Arial" w:eastAsia="Arial" w:hAnsi="Arial"/>
          <w:sz w:val="18"/>
          <w:szCs w:val="18"/>
          <w:i w:val="1"/>
          <w:iCs w:val="1"/>
          <w:color w:val="auto"/>
        </w:rPr>
      </w:pPr>
    </w:p>
    <w:p>
      <w:pPr>
        <w:ind w:left="520" w:hanging="512"/>
        <w:spacing w:after="0"/>
        <w:tabs>
          <w:tab w:leader="none" w:pos="5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rFonts w:ascii="Arial" w:cs="Arial" w:eastAsia="Arial" w:hAnsi="Arial"/>
          <w:sz w:val="18"/>
          <w:szCs w:val="18"/>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8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$15.5 billion and $21.6 billion at September 30, 2017 and December 31, 2016, respectively. The notional amounts of foreign currency and other option and futures contracts entered into for trading account purposes aggregated $545 million and $471 million at September 30, 2017 and December 31, 2016, respectively.</w:t>
      </w:r>
    </w:p>
    <w:p>
      <w:pPr>
        <w:spacing w:after="0" w:line="6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413"/>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color w:val="auto"/>
              </w:rPr>
              <w:t>Liability Derivatives</w:t>
            </w:r>
          </w:p>
        </w:tc>
      </w:tr>
      <w:tr>
        <w:trPr>
          <w:trHeight w:val="150"/>
        </w:trPr>
        <w:tc>
          <w:tcPr>
            <w:tcW w:w="5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Fair Value</w:t>
            </w: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Fair Value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58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September 30,</w:t>
            </w: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December 31,</w:t>
            </w: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w w:val="89"/>
              </w:rPr>
              <w:t>2017</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6"/>
                <w:szCs w:val="16"/>
                <w:color w:val="auto"/>
              </w:rPr>
              <w:t>Fair value hedges: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swap agreements (a)</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54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260"/>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Cash flow hedges: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6"/>
                <w:szCs w:val="16"/>
                <w:color w:val="auto"/>
              </w:rPr>
              <w:t>Interest rate swap agreements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45,081</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 for sale (a)</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104,178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228,810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103,825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167,737</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249,988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110,906</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175,510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131,831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295,069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113,808</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jc w:val="both"/>
        <w:ind w:left="520" w:hanging="512"/>
        <w:spacing w:after="0" w:line="255" w:lineRule="auto"/>
        <w:tabs>
          <w:tab w:leader="none" w:pos="5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 The impact of the variation margin rule change at September 30, 2017 was a reduction of the estimated fair value of interest rate swaps in an asset position of $89.3 million and of those in a liability position of $29.2 million.</w:t>
      </w:r>
    </w:p>
    <w:p>
      <w:pPr>
        <w:spacing w:after="0" w:line="19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299" w:lineRule="exact"/>
        <w:rPr>
          <w:sz w:val="20"/>
          <w:szCs w:val="20"/>
          <w:color w:val="auto"/>
        </w:rPr>
      </w:pPr>
    </w:p>
    <w:p>
      <w:pPr>
        <w:jc w:val="right"/>
        <w:ind w:right="2400"/>
        <w:spacing w:after="0"/>
        <w:rPr>
          <w:sz w:val="20"/>
          <w:szCs w:val="20"/>
          <w:color w:val="auto"/>
        </w:rPr>
      </w:pPr>
      <w:r>
        <w:rPr>
          <w:rFonts w:ascii="Arial" w:cs="Arial" w:eastAsia="Arial" w:hAnsi="Arial"/>
          <w:sz w:val="14"/>
          <w:szCs w:val="14"/>
          <w:color w:val="auto"/>
        </w:rPr>
        <w:t>Amount of Gain (Loss)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1764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5176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rate contracts (b)</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51764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40" w:type="dxa"/>
            <w:vAlign w:val="bottom"/>
            <w:tcBorders>
              <w:top w:val="single" w:sz="8" w:color="auto"/>
            </w:tcBorders>
            <w:gridSpan w:val="4"/>
          </w:tcPr>
          <w:p>
            <w:pPr>
              <w:jc w:val="center"/>
              <w:ind w:right="480"/>
              <w:spacing w:after="0" w:line="137" w:lineRule="exact"/>
              <w:rPr>
                <w:sz w:val="20"/>
                <w:szCs w:val="20"/>
                <w:color w:val="auto"/>
              </w:rPr>
            </w:pPr>
            <w:r>
              <w:rPr>
                <w:rFonts w:ascii="Arial" w:cs="Arial" w:eastAsia="Arial" w:hAnsi="Arial"/>
                <w:sz w:val="14"/>
                <w:szCs w:val="14"/>
                <w:color w:val="auto"/>
                <w:w w:val="91"/>
              </w:rPr>
              <w:t>Three Months Ended</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tcPr>
          <w:p>
            <w:pPr>
              <w:jc w:val="center"/>
              <w:ind w:right="39"/>
              <w:spacing w:after="0" w:line="137" w:lineRule="exact"/>
              <w:rPr>
                <w:sz w:val="20"/>
                <w:szCs w:val="20"/>
                <w:color w:val="auto"/>
              </w:rPr>
            </w:pPr>
            <w:r>
              <w:rPr>
                <w:rFonts w:ascii="Arial" w:cs="Arial" w:eastAsia="Arial" w:hAnsi="Arial"/>
                <w:sz w:val="14"/>
                <w:szCs w:val="14"/>
                <w:color w:val="auto"/>
                <w:w w:val="93"/>
              </w:rPr>
              <w:t>Three Months Ended</w:t>
            </w: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center"/>
              <w:ind w:right="480"/>
              <w:spacing w:after="0"/>
              <w:rPr>
                <w:sz w:val="20"/>
                <w:szCs w:val="20"/>
                <w:color w:val="auto"/>
              </w:rPr>
            </w:pPr>
            <w:r>
              <w:rPr>
                <w:rFonts w:ascii="Arial" w:cs="Arial" w:eastAsia="Arial" w:hAnsi="Arial"/>
                <w:sz w:val="14"/>
                <w:szCs w:val="14"/>
                <w:color w:val="auto"/>
                <w:w w:val="91"/>
              </w:rPr>
              <w:t>September 30,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center"/>
              <w:ind w:right="39"/>
              <w:spacing w:after="0"/>
              <w:rPr>
                <w:sz w:val="20"/>
                <w:szCs w:val="20"/>
                <w:color w:val="auto"/>
              </w:rPr>
            </w:pPr>
            <w:r>
              <w:rPr>
                <w:rFonts w:ascii="Arial" w:cs="Arial" w:eastAsia="Arial" w:hAnsi="Arial"/>
                <w:sz w:val="14"/>
                <w:szCs w:val="14"/>
                <w:color w:val="auto"/>
                <w:w w:val="89"/>
              </w:rPr>
              <w:t>September 30, 2016</w:t>
            </w:r>
          </w:p>
        </w:tc>
      </w:tr>
      <w:tr>
        <w:trPr>
          <w:trHeight w:val="167"/>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3"/>
              </w:rPr>
              <w:t>Derivative</w:t>
            </w: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Hedged Item</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w w:val="93"/>
              </w:rPr>
              <w:t>Derivative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Hedged Item</w:t>
            </w: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gridSpan w:val="6"/>
          </w:tcPr>
          <w:p>
            <w:pPr>
              <w:jc w:val="right"/>
              <w:ind w:right="940"/>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r>
      <w:tr>
        <w:trPr>
          <w:trHeight w:val="669"/>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(13,509)</w:t>
            </w:r>
          </w:p>
        </w:tc>
        <w:tc>
          <w:tcPr>
            <w:tcW w:w="800" w:type="dxa"/>
            <w:vAlign w:val="bottom"/>
          </w:tcPr>
          <w:p>
            <w:pPr>
              <w:jc w:val="right"/>
              <w:spacing w:after="0"/>
              <w:rPr>
                <w:sz w:val="20"/>
                <w:szCs w:val="20"/>
                <w:color w:val="auto"/>
              </w:rPr>
            </w:pPr>
            <w:r>
              <w:rPr>
                <w:rFonts w:ascii="Arial" w:cs="Arial" w:eastAsia="Arial" w:hAnsi="Arial"/>
                <w:sz w:val="18"/>
                <w:szCs w:val="18"/>
                <w:color w:val="auto"/>
              </w:rPr>
              <w:t>14,026</w:t>
            </w:r>
          </w:p>
        </w:tc>
        <w:tc>
          <w:tcPr>
            <w:tcW w:w="3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(12,588)</w:t>
            </w:r>
          </w:p>
        </w:tc>
        <w:tc>
          <w:tcPr>
            <w:tcW w:w="820" w:type="dxa"/>
            <w:vAlign w:val="bottom"/>
          </w:tcPr>
          <w:p>
            <w:pPr>
              <w:jc w:val="right"/>
              <w:spacing w:after="0"/>
              <w:rPr>
                <w:sz w:val="20"/>
                <w:szCs w:val="20"/>
                <w:color w:val="auto"/>
              </w:rPr>
            </w:pPr>
            <w:r>
              <w:rPr>
                <w:rFonts w:ascii="Arial" w:cs="Arial" w:eastAsia="Arial" w:hAnsi="Arial"/>
                <w:sz w:val="18"/>
                <w:szCs w:val="18"/>
                <w:color w:val="auto"/>
              </w:rPr>
              <w:t>12,587</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668"/>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4,822</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auto"/>
        </w:rPr>
        <w:t>Amount of Gain (Loss) Recognized</w:t>
      </w:r>
    </w:p>
    <w:p>
      <w:pPr>
        <w:spacing w:after="0" w:line="6" w:lineRule="exact"/>
        <w:rPr>
          <w:sz w:val="20"/>
          <w:szCs w:val="20"/>
          <w:color w:val="auto"/>
        </w:rPr>
      </w:pPr>
    </w:p>
    <w:p>
      <w:pPr>
        <w:sectPr>
          <w:pgSz w:w="11900" w:h="16838" w:orient="portrait"/>
          <w:cols w:equalWidth="0" w:num="2">
            <w:col w:w="5100" w:space="720"/>
            <w:col w:w="56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5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gridSpan w:val="4"/>
          </w:tcPr>
          <w:p>
            <w:pPr>
              <w:ind w:left="340"/>
              <w:spacing w:after="0" w:line="137" w:lineRule="exact"/>
              <w:rPr>
                <w:sz w:val="20"/>
                <w:szCs w:val="20"/>
                <w:color w:val="auto"/>
              </w:rPr>
            </w:pPr>
            <w:r>
              <w:rPr>
                <w:rFonts w:ascii="Arial" w:cs="Arial" w:eastAsia="Arial" w:hAnsi="Arial"/>
                <w:sz w:val="14"/>
                <w:szCs w:val="14"/>
                <w:color w:val="auto"/>
              </w:rPr>
              <w:t>Nine Months Ended</w:t>
            </w:r>
          </w:p>
        </w:tc>
        <w:tc>
          <w:tcPr>
            <w:tcW w:w="2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gridSpan w:val="5"/>
          </w:tcPr>
          <w:p>
            <w:pPr>
              <w:spacing w:after="0" w:line="137" w:lineRule="exact"/>
              <w:rPr>
                <w:sz w:val="20"/>
                <w:szCs w:val="20"/>
                <w:color w:val="auto"/>
              </w:rPr>
            </w:pPr>
            <w:r>
              <w:rPr>
                <w:rFonts w:ascii="Arial" w:cs="Arial" w:eastAsia="Arial" w:hAnsi="Arial"/>
                <w:sz w:val="14"/>
                <w:szCs w:val="14"/>
                <w:color w:val="auto"/>
                <w:w w:val="93"/>
              </w:rPr>
              <w:t>Nine Months Ended 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Arial" w:cs="Arial" w:eastAsia="Arial" w:hAnsi="Arial"/>
                <w:sz w:val="14"/>
                <w:szCs w:val="14"/>
                <w:color w:val="auto"/>
              </w:rPr>
              <w:t>September 30,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828"/>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Derivative</w:t>
            </w: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Derivative</w:t>
            </w:r>
          </w:p>
        </w:tc>
        <w:tc>
          <w:tcPr>
            <w:tcW w:w="28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Hedged Item</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6"/>
          </w:tcPr>
          <w:p>
            <w:pPr>
              <w:jc w:val="right"/>
              <w:ind w:right="620"/>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(23,423)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23,049</w:t>
            </w:r>
          </w:p>
        </w:tc>
        <w:tc>
          <w:tcPr>
            <w:tcW w:w="3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(22,832)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2,363</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11,578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540" w:hanging="478"/>
        <w:spacing w:after="0"/>
        <w:tabs>
          <w:tab w:leader="none" w:pos="5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3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amount of gain (loss) recognized in the consolidated statement of income associated with derivatives designated as cash flow hedges was not material for the three and nine months ended September 30, 2017.</w:t>
      </w:r>
    </w:p>
    <w:p>
      <w:pPr>
        <w:spacing w:after="0" w:line="171"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$27 million and $28 million at September 30, 2017 and December 31, 2016, respectively. Changes in unrealized gains and losses are included in mortgage banking revenues and, in general, are realized in subsequent periods as the related loans are sold and commitments satisfied.</w:t>
      </w:r>
    </w:p>
    <w:p>
      <w:pPr>
        <w:spacing w:after="0" w:line="47"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10. Derivative financial instruments, continued</w:t>
      </w:r>
    </w:p>
    <w:p>
      <w:pPr>
        <w:spacing w:after="0" w:line="116"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aggregate fair value of derivative financial instruments in a liability position which are subject to enforceable master netting arrangements was $17 million and $34 million at September 30, 2017 and December 31, 2016, respectively. After consideration of such netting arrangements for purposes of posting collateral, the net liability positions with counterparties aggregated $17 million and $30 million at September 30, 2017 and December 31, 2016, respectively. The Company was required to post collateral relating to those positions of $18 million and $27 million at September 30, 2017 and December 31, 2016,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2017 was less than $1 million, for which the Company was not required to post collateral in the normal course of business. If the credit risk-related contingent features had been triggered on September 30, 2017, the Company would not have been required to post any collateral to counterparties.</w:t>
      </w:r>
    </w:p>
    <w:p>
      <w:pPr>
        <w:spacing w:after="0" w:line="20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aggregate fair value of derivative financial instruments in an asset position, which are subject to enforceable master netting arrangements, was $7 million and $15 million at September 30, 2017 and December 31, 2016, respectively. After consideration of such netting arrangements for purposes of posting collateral, the net asset positions with counterparties aggregated $7 million and $11 million at September 30, 2017 and December 31, 2016, respectively. Counterparties posted collateral relating to those positions of $5 million and $9 million at September 30, 2017 and December 31, 2016, respectively. Trading account interest rate swap agreements entered into with customers are subject to the Company’s credit risk standards and often contain collateral provisions.</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$49 million and $111 million at September 30, 2017 and December 31, 2016, respectively. The fair value asset and liability amounts of derivative contracts at September 30, 2017 have been reduced by variation margin payments treated as settlements of $89 million and $45 million, respectively. Variation margin on derivative contracts not treated as settlements continues to represent collateral posted or received by the Company. For those contracts, the net fair values of derivative financial instruments cleared through clearinghouses for which variation margin is required was a net asset position of $1 million and $63 million at September 30, 2017 and December 31, 2016, respectively. Collateral posted by the clearinghouses associated with that net asset position was $1 million and $81 million at September 30, 2017 and December 31, 2016, respectively</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2017 and December 31, 2016, the Company included the junior subordinated debentures as “long-term borrowings” in its consolidated balance sheet and recognized $24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Variable interest entities and asset securitizations, continued</w:t>
      </w:r>
    </w:p>
    <w:p>
      <w:pPr>
        <w:spacing w:after="0" w:line="116"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$1.0 billion at September 30, 2017 and December 31, 2016.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$329 million, including $118 million of unfunded commitments, at September 30, 2017 and $294 million, including $102 million of unfunded commitments, at December 31, 2016. Contingent commitments to provide additional capital contributions to these partnerships were not material at September 30, 2017.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$11 million and $35 million of its investments in qualified affordable housing projects to income tax expense during the three-month and nine-month periods ended September 30, 2017, respectively, and recognized $16 million and $47 million of tax credits and other tax benefits during those respective periods. Similarly, for the three-month and nine-month periods ended September 30, 2016, the Company amortized $13 million and $34 million, respectively, of its investments in qualified affordable housing projects to income tax expense and recognized $18 million and $46 million of tax credits and other tax benefits during those respective periods.</w:t>
      </w:r>
    </w:p>
    <w:p>
      <w:pPr>
        <w:spacing w:after="0" w:line="178" w:lineRule="exact"/>
        <w:rPr>
          <w:sz w:val="20"/>
          <w:szCs w:val="20"/>
          <w:color w:val="auto"/>
        </w:rPr>
      </w:pPr>
    </w:p>
    <w:p>
      <w:pPr>
        <w:jc w:val="both"/>
        <w:ind w:right="20" w:firstLine="518"/>
        <w:spacing w:after="0" w:line="348"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5"/>
          <w:szCs w:val="15"/>
          <w:color w:val="auto"/>
        </w:rPr>
        <w: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September 30, 2017.</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3"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2"/>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When available, the Company attempts to use quoted market prices in active markets to determine fair value and classifies such items as Level 1 or Level 2. If quoted market prices in active markets are not available,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5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5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3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following tables present assets and liabilities at September 30, 2017 and December 31, 2016 measured at estimated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Fair Value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90"/>
              </w:rPr>
              <w:t>Measurements</w:t>
            </w: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Level 1 (a)</w:t>
            </w: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Level 2 (a)</w:t>
            </w:r>
          </w:p>
        </w:tc>
        <w:tc>
          <w:tcPr>
            <w:tcW w:w="1040" w:type="dxa"/>
            <w:vAlign w:val="bottom"/>
            <w:gridSpan w:val="2"/>
          </w:tcPr>
          <w:p>
            <w:pPr>
              <w:ind w:left="24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4"/>
          </w:tcPr>
          <w:p>
            <w:pPr>
              <w:ind w:left="66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170,516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47,927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122,589</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2,007,117</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2,007,117</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9,184,483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9,184,483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128,530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128,530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93,986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50,917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43,069</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11,416,824</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50,917</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11,365,877</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571,199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571,199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20,830</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12,179,369</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98,844</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12,066,533</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109,730</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109,730</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4,078</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323,867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46,135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277,732</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1,902,544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1,902,544</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10,954,861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10,954,861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118,516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352,466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301,711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50,755</w:t>
            </w: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13,332,072</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13,030,317</w:t>
            </w: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1,056,180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1,056,180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50,291</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14,770,470</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347,846</w:t>
            </w:r>
          </w:p>
        </w:tc>
        <w:tc>
          <w:tcPr>
            <w:tcW w:w="30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14,414,520</w:t>
            </w:r>
          </w:p>
        </w:tc>
        <w:tc>
          <w:tcPr>
            <w:tcW w:w="3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174,376</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174,376</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2,481</w:t>
            </w:r>
          </w:p>
        </w:tc>
        <w:tc>
          <w:tcPr>
            <w:tcW w:w="3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176,122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20" w:hanging="512"/>
        <w:spacing w:after="0" w:line="258" w:lineRule="auto"/>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nine months ended September 30, 2017 and the year ended December 31, 2016.</w:t>
      </w:r>
    </w:p>
    <w:p>
      <w:pPr>
        <w:spacing w:after="0" w:line="1" w:lineRule="exact"/>
        <w:rPr>
          <w:rFonts w:ascii="Arial" w:cs="Arial" w:eastAsia="Arial" w:hAnsi="Arial"/>
          <w:sz w:val="18"/>
          <w:szCs w:val="18"/>
          <w:i w:val="1"/>
          <w:iCs w:val="1"/>
          <w:color w:val="auto"/>
        </w:rPr>
      </w:pPr>
    </w:p>
    <w:p>
      <w:pPr>
        <w:ind w:left="520" w:hanging="512"/>
        <w:spacing w:after="0" w:line="261" w:lineRule="auto"/>
        <w:tabs>
          <w:tab w:leader="none" w:pos="5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2017 were as follows:</w:t>
      </w:r>
    </w:p>
    <w:p>
      <w:pPr>
        <w:jc w:val="center"/>
        <w:ind w:left="1520"/>
        <w:spacing w:after="0" w:line="227" w:lineRule="auto"/>
        <w:rPr>
          <w:sz w:val="20"/>
          <w:szCs w:val="20"/>
          <w:color w:val="auto"/>
        </w:rPr>
      </w:pPr>
      <w:r>
        <w:rPr>
          <w:rFonts w:ascii="Arial" w:cs="Arial" w:eastAsia="Arial" w:hAnsi="Arial"/>
          <w:sz w:val="14"/>
          <w:szCs w:val="14"/>
          <w:color w:val="auto"/>
        </w:rPr>
        <w:t>Investment Securities</w:t>
      </w:r>
    </w:p>
    <w:p>
      <w:pPr>
        <w:jc w:val="center"/>
        <w:ind w:left="1520"/>
        <w:spacing w:after="0" w:line="231" w:lineRule="auto"/>
        <w:rPr>
          <w:sz w:val="20"/>
          <w:szCs w:val="20"/>
          <w:color w:val="auto"/>
        </w:rPr>
      </w:pPr>
      <w:r>
        <w:rPr>
          <w:rFonts w:ascii="Arial" w:cs="Arial" w:eastAsia="Arial" w:hAnsi="Arial"/>
          <w:sz w:val="14"/>
          <w:szCs w:val="14"/>
          <w:color w:val="auto"/>
        </w:rPr>
        <w:t>Available for Sale</w:t>
      </w:r>
    </w:p>
    <w:tbl>
      <w:tblPr>
        <w:tblLayout w:type="fixed"/>
        <w:tblInd w:w="0" w:type="dxa"/>
        <w:tblCellMar>
          <w:top w:w="0" w:type="dxa"/>
          <w:left w:w="0" w:type="dxa"/>
          <w:bottom w:w="0" w:type="dxa"/>
          <w:right w:w="0" w:type="dxa"/>
        </w:tblCellMar>
      </w:tblPr>
      <w:tr>
        <w:trPr>
          <w:trHeight w:val="137"/>
        </w:trPr>
        <w:tc>
          <w:tcPr>
            <w:tcW w:w="5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7"/>
              <w:spacing w:after="0" w:line="137" w:lineRule="exact"/>
              <w:rPr>
                <w:sz w:val="20"/>
                <w:szCs w:val="20"/>
                <w:color w:val="auto"/>
              </w:rPr>
            </w:pPr>
            <w:r>
              <w:rPr>
                <w:rFonts w:ascii="Arial" w:cs="Arial" w:eastAsia="Arial" w:hAnsi="Arial"/>
                <w:sz w:val="14"/>
                <w:szCs w:val="14"/>
                <w:color w:val="auto"/>
                <w:w w:val="95"/>
              </w:rPr>
              <w:t>Privately Issued</w:t>
            </w: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2"/>
              </w:rPr>
              <w:t>Mortgage-Backed</w:t>
            </w:r>
          </w:p>
        </w:tc>
        <w:tc>
          <w:tcPr>
            <w:tcW w:w="134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Other Assets and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w w:val="94"/>
              </w:rPr>
              <w:t>Securities</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right"/>
              <w:ind w:right="1014"/>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800" w:type="dxa"/>
            <w:vAlign w:val="bottom"/>
          </w:tcPr>
          <w:p>
            <w:pPr>
              <w:spacing w:after="0"/>
              <w:rPr>
                <w:sz w:val="20"/>
                <w:szCs w:val="20"/>
                <w:color w:val="auto"/>
              </w:rPr>
            </w:pPr>
            <w:r>
              <w:rPr>
                <w:rFonts w:ascii="Arial" w:cs="Arial" w:eastAsia="Arial" w:hAnsi="Arial"/>
                <w:sz w:val="18"/>
                <w:szCs w:val="18"/>
                <w:color w:val="auto"/>
              </w:rPr>
              <w:t>Balance — June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12,425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22,313</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12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(21,016) (d)</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12,659</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2016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60" w:type="dxa"/>
            <w:vAlign w:val="bottom"/>
            <w:gridSpan w:val="5"/>
          </w:tcPr>
          <w:p>
            <w:pPr>
              <w:jc w:val="right"/>
              <w:ind w:right="420"/>
              <w:spacing w:after="0"/>
              <w:rPr>
                <w:sz w:val="20"/>
                <w:szCs w:val="20"/>
                <w:color w:val="auto"/>
              </w:rPr>
            </w:pPr>
            <w:r>
              <w:rPr>
                <w:rFonts w:ascii="Arial" w:cs="Arial" w:eastAsia="Arial" w:hAnsi="Arial"/>
                <w:sz w:val="14"/>
                <w:szCs w:val="14"/>
                <w:color w:val="auto"/>
                <w:w w:val="94"/>
              </w:rPr>
              <w:t>Investment Securities Available for Sale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tcBorders>
              <w:top w:val="single" w:sz="8" w:color="auto"/>
            </w:tcBorders>
            <w:gridSpan w:val="3"/>
          </w:tcPr>
          <w:p>
            <w:pPr>
              <w:jc w:val="center"/>
              <w:ind w:right="380"/>
              <w:spacing w:after="0" w:line="137" w:lineRule="exact"/>
              <w:rPr>
                <w:sz w:val="20"/>
                <w:szCs w:val="20"/>
                <w:color w:val="auto"/>
              </w:rPr>
            </w:pPr>
            <w:r>
              <w:rPr>
                <w:rFonts w:ascii="Arial" w:cs="Arial" w:eastAsia="Arial" w:hAnsi="Arial"/>
                <w:sz w:val="14"/>
                <w:szCs w:val="14"/>
                <w:color w:val="auto"/>
                <w:w w:val="95"/>
              </w:rPr>
              <w:t>Privately Issued</w:t>
            </w:r>
          </w:p>
        </w:tc>
        <w:tc>
          <w:tcPr>
            <w:tcW w:w="10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7"/>
              </w:rPr>
              <w:t>Mortgage-</w:t>
            </w: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Collateralized</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Other Assets and</w:t>
            </w: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color w:val="auto"/>
                <w:w w:val="90"/>
              </w:rPr>
              <w:t>Backed Securities</w:t>
            </w: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6"/>
              </w:rPr>
              <w:t>Debt Obligations</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Other Liabilities</w:t>
            </w: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300" w:type="dxa"/>
            <w:vAlign w:val="bottom"/>
          </w:tcPr>
          <w:p>
            <w:pPr>
              <w:spacing w:after="0"/>
              <w:rPr>
                <w:sz w:val="20"/>
                <w:szCs w:val="20"/>
                <w:color w:val="auto"/>
              </w:rPr>
            </w:pPr>
            <w:r>
              <w:rPr>
                <w:rFonts w:ascii="Arial" w:cs="Arial" w:eastAsia="Arial" w:hAnsi="Arial"/>
                <w:sz w:val="18"/>
                <w:szCs w:val="18"/>
                <w:color w:val="auto"/>
              </w:rPr>
              <w:t>Balance — June 30, 2016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43,305</w:t>
            </w:r>
          </w:p>
        </w:tc>
        <w:tc>
          <w:tcPr>
            <w:tcW w:w="36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21,383</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28,475</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45,534</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Included in other comprehensive income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(15,050) (c)</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Sales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(56,730)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(37,117) (d)</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2016</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27,663</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- 35 -</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2017 were as follows:</w:t>
      </w:r>
    </w:p>
    <w:p>
      <w:pPr>
        <w:spacing w:after="0" w:line="234"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Investment Securities</w:t>
      </w:r>
    </w:p>
    <w:p>
      <w:pPr>
        <w:jc w:val="center"/>
        <w:ind w:left="1840"/>
        <w:spacing w:after="0" w:line="231" w:lineRule="auto"/>
        <w:rPr>
          <w:sz w:val="20"/>
          <w:szCs w:val="20"/>
          <w:color w:val="auto"/>
        </w:rPr>
      </w:pPr>
      <w:r>
        <w:rPr>
          <w:rFonts w:ascii="Arial" w:cs="Arial" w:eastAsia="Arial" w:hAnsi="Arial"/>
          <w:sz w:val="14"/>
          <w:szCs w:val="14"/>
          <w:color w:val="auto"/>
        </w:rPr>
        <w:t>Available for Sale</w:t>
      </w:r>
    </w:p>
    <w:tbl>
      <w:tblPr>
        <w:tblLayout w:type="fixed"/>
        <w:tblInd w:w="0" w:type="dxa"/>
        <w:tblCellMar>
          <w:top w:w="0" w:type="dxa"/>
          <w:left w:w="0" w:type="dxa"/>
          <w:bottom w:w="0" w:type="dxa"/>
          <w:right w:w="0" w:type="dxa"/>
        </w:tblCellMar>
      </w:tblPr>
      <w:tr>
        <w:trPr>
          <w:trHeight w:val="137"/>
        </w:trPr>
        <w:tc>
          <w:tcPr>
            <w:tcW w:w="4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
              <w:spacing w:after="0" w:line="137" w:lineRule="exact"/>
              <w:rPr>
                <w:sz w:val="20"/>
                <w:szCs w:val="20"/>
                <w:color w:val="auto"/>
              </w:rPr>
            </w:pPr>
            <w:r>
              <w:rPr>
                <w:rFonts w:ascii="Arial" w:cs="Arial" w:eastAsia="Arial" w:hAnsi="Arial"/>
                <w:sz w:val="14"/>
                <w:szCs w:val="14"/>
                <w:color w:val="auto"/>
                <w:w w:val="93"/>
              </w:rPr>
              <w:t>Privately Issued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Mortgage-Backed</w:t>
            </w:r>
          </w:p>
        </w:tc>
        <w:tc>
          <w:tcPr>
            <w:tcW w:w="120" w:type="dxa"/>
            <w:vAlign w:val="bottom"/>
          </w:tcPr>
          <w:p>
            <w:pPr>
              <w:spacing w:after="0"/>
              <w:rPr>
                <w:sz w:val="12"/>
                <w:szCs w:val="12"/>
                <w:color w:val="auto"/>
              </w:rPr>
            </w:pPr>
          </w:p>
        </w:tc>
        <w:tc>
          <w:tcPr>
            <w:tcW w:w="1180" w:type="dxa"/>
            <w:vAlign w:val="bottom"/>
          </w:tcPr>
          <w:p>
            <w:pPr>
              <w:jc w:val="right"/>
              <w:ind w:right="94"/>
              <w:spacing w:after="0" w:line="149" w:lineRule="exact"/>
              <w:rPr>
                <w:sz w:val="20"/>
                <w:szCs w:val="20"/>
                <w:color w:val="auto"/>
              </w:rPr>
            </w:pPr>
            <w:r>
              <w:rPr>
                <w:rFonts w:ascii="Arial" w:cs="Arial" w:eastAsia="Arial" w:hAnsi="Arial"/>
                <w:sz w:val="14"/>
                <w:szCs w:val="14"/>
                <w:color w:val="auto"/>
                <w:w w:val="90"/>
              </w:rPr>
              <w:t>Other Assets and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4"/>
              </w:rPr>
              <w:t>Securities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4"/>
          </w:tcPr>
          <w:p>
            <w:pPr>
              <w:jc w:val="right"/>
              <w:ind w:right="934"/>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65,824</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(59,427) (d)</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2017</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related to assets still held at September 30, 2017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13,684</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nine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2016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4"/>
          </w:tcPr>
          <w:p>
            <w:pPr>
              <w:jc w:val="right"/>
              <w:ind w:right="520"/>
              <w:spacing w:after="0"/>
              <w:rPr>
                <w:sz w:val="20"/>
                <w:szCs w:val="20"/>
                <w:color w:val="auto"/>
              </w:rPr>
            </w:pPr>
            <w:r>
              <w:rPr>
                <w:rFonts w:ascii="Arial" w:cs="Arial" w:eastAsia="Arial" w:hAnsi="Arial"/>
                <w:sz w:val="14"/>
                <w:szCs w:val="14"/>
                <w:color w:val="auto"/>
                <w:w w:val="95"/>
              </w:rPr>
              <w:t>Investment Securities Available for Sale</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460"/>
              <w:spacing w:after="0" w:line="137" w:lineRule="exact"/>
              <w:rPr>
                <w:sz w:val="20"/>
                <w:szCs w:val="20"/>
                <w:color w:val="auto"/>
              </w:rPr>
            </w:pPr>
            <w:r>
              <w:rPr>
                <w:rFonts w:ascii="Arial" w:cs="Arial" w:eastAsia="Arial" w:hAnsi="Arial"/>
                <w:sz w:val="14"/>
                <w:szCs w:val="14"/>
                <w:color w:val="auto"/>
                <w:w w:val="95"/>
              </w:rPr>
              <w:t>Privately Issued</w:t>
            </w:r>
          </w:p>
        </w:tc>
        <w:tc>
          <w:tcPr>
            <w:tcW w:w="11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Mortgage-</w:t>
            </w: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Collateralized Debt</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Other Assets and</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Backed Securities</w:t>
            </w: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Obligations</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w w:val="97"/>
              </w:rPr>
              <w:t>Other 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(In thousands)</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160" w:type="dxa"/>
            <w:vAlign w:val="bottom"/>
          </w:tcPr>
          <w:p>
            <w:pPr>
              <w:spacing w:after="0"/>
              <w:rPr>
                <w:sz w:val="20"/>
                <w:szCs w:val="20"/>
                <w:color w:val="auto"/>
              </w:rPr>
            </w:pPr>
            <w:r>
              <w:rPr>
                <w:rFonts w:ascii="Arial" w:cs="Arial" w:eastAsia="Arial" w:hAnsi="Arial"/>
                <w:sz w:val="18"/>
                <w:szCs w:val="18"/>
                <w:color w:val="auto"/>
              </w:rPr>
              <w:t>Balance — January 1, 2016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47,393</w:t>
            </w:r>
          </w:p>
        </w:tc>
        <w:tc>
          <w:tcPr>
            <w:tcW w:w="3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9,879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28,475</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104,862</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Included in other comprehensive income</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(18,268) (c)</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Sales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(56,730)</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(870)</w:t>
            </w: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Transfers in and/or out of Level 3 (a)</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(84,941) (d)</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2016</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rPr>
                <w:sz w:val="20"/>
                <w:szCs w:val="20"/>
                <w:color w:val="auto"/>
              </w:rPr>
            </w:pPr>
            <w:r>
              <w:rPr>
                <w:rFonts w:ascii="Arial" w:cs="Arial" w:eastAsia="Arial" w:hAnsi="Arial"/>
                <w:sz w:val="18"/>
                <w:szCs w:val="18"/>
                <w:color w:val="auto"/>
              </w:rPr>
              <w:t>related to assets still held at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September 30, 2016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29,288</w:t>
            </w:r>
          </w:p>
        </w:tc>
        <w:tc>
          <w:tcPr>
            <w:tcW w:w="32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512"/>
        <w:spacing w:after="0" w:line="258"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520" w:hanging="512"/>
        <w:spacing w:after="0" w:line="250"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losses on investment securities in the consolidated statement of comprehensive income. The Company sold its collateralized debt obligations during the third and fourth quarters of 2016.</w:t>
      </w:r>
    </w:p>
    <w:p>
      <w:pPr>
        <w:ind w:left="520" w:hanging="512"/>
        <w:spacing w:after="0"/>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September 30, 2017.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$184 million at September 30, 2017 ($105 million and $79 million of which were classified as Level 2 and Level 3, respectively), $293 million at December 31, 2016 ($153 million and $140 million of which were classified as Level 2 and Level 3, respectively) and $249 million at September 30, 2016 ($144 million and $105 million of which were classified as Level 2 and Level 3, respectively). Changes in fair value recognized for partial charge-offs of loans and loan impairment reserves on loans held by the Company on September 30, 2017 were decreases of $16 million and $55 million for the three-month and nine-month periods ended September 30, 2017, respectively. Changes in fair value recognized for partial charge-offs of loans and loan impairment reserves on loans held by the Company on September 30, 2016 were decreases of $20 million and $42 million for the three-month and nine-month periods ended September 30,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$36 million and $53 million at September 30, 2017 and 2016, respectively. Changes in fair value recognized for those foreclosed assets held by the Company were not material during the three-month and nine-month periods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110"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September 30, 2017 and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Valuation</w:t>
            </w:r>
          </w:p>
        </w:tc>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Unobservable</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color w:val="auto"/>
                <w:w w:val="93"/>
              </w:rPr>
              <w:t>Fair Value</w:t>
            </w:r>
          </w:p>
        </w:tc>
        <w:tc>
          <w:tcPr>
            <w:tcW w:w="320" w:type="dxa"/>
            <w:vAlign w:val="bottom"/>
          </w:tcPr>
          <w:p>
            <w:pPr>
              <w:spacing w:after="0"/>
              <w:rPr>
                <w:sz w:val="14"/>
                <w:szCs w:val="14"/>
                <w:color w:val="auto"/>
              </w:rPr>
            </w:pPr>
          </w:p>
        </w:tc>
        <w:tc>
          <w:tcPr>
            <w:tcW w:w="16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Technique</w:t>
            </w:r>
          </w:p>
        </w:tc>
        <w:tc>
          <w:tcPr>
            <w:tcW w:w="260" w:type="dxa"/>
            <w:vAlign w:val="bottom"/>
          </w:tcPr>
          <w:p>
            <w:pPr>
              <w:spacing w:after="0"/>
              <w:rPr>
                <w:sz w:val="14"/>
                <w:szCs w:val="1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Inputs/Assumptions</w:t>
            </w:r>
          </w:p>
        </w:tc>
        <w:tc>
          <w:tcPr>
            <w:tcW w:w="34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(In thousands)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150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13,722</w:t>
            </w:r>
          </w:p>
        </w:tc>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150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0%-80% (28%)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Recurring fair value measurements</w:t>
            </w:r>
          </w:p>
        </w:tc>
        <w:tc>
          <w:tcPr>
            <w:tcW w:w="13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Two independent</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pricing quotes</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7,325</w:t>
            </w:r>
          </w:p>
        </w:tc>
        <w:tc>
          <w:tcPr>
            <w:tcW w:w="3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0%-77% (30%)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240" w:firstLine="8"/>
        <w:spacing w:after="0" w:line="410" w:lineRule="auto"/>
        <w:tabs>
          <w:tab w:leader="none" w:pos="31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1"/>
              </w:rPr>
              <w:t>September 30, 2017</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120"/>
              <w:spacing w:after="0" w:line="137" w:lineRule="exact"/>
              <w:rPr>
                <w:sz w:val="20"/>
                <w:szCs w:val="20"/>
                <w:color w:val="auto"/>
              </w:rPr>
            </w:pPr>
            <w:r>
              <w:rPr>
                <w:rFonts w:ascii="Arial" w:cs="Arial" w:eastAsia="Arial" w:hAnsi="Arial"/>
                <w:sz w:val="14"/>
                <w:szCs w:val="14"/>
                <w:color w:val="auto"/>
              </w:rPr>
              <w:t>Carrying</w:t>
            </w:r>
          </w:p>
        </w:tc>
        <w:tc>
          <w:tcPr>
            <w:tcW w:w="1080" w:type="dxa"/>
            <w:vAlign w:val="bottom"/>
            <w:gridSpan w:val="2"/>
          </w:tcPr>
          <w:p>
            <w:pPr>
              <w:jc w:val="right"/>
              <w:ind w:right="300"/>
              <w:spacing w:after="0" w:line="137"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80"/>
              <w:spacing w:after="0" w:line="155" w:lineRule="exact"/>
              <w:rPr>
                <w:sz w:val="20"/>
                <w:szCs w:val="20"/>
                <w:color w:val="auto"/>
              </w:rPr>
            </w:pPr>
            <w:r>
              <w:rPr>
                <w:rFonts w:ascii="Arial" w:cs="Arial" w:eastAsia="Arial" w:hAnsi="Arial"/>
                <w:sz w:val="14"/>
                <w:szCs w:val="14"/>
                <w:color w:val="auto"/>
                <w:w w:val="91"/>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1,368,252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1,368,252</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1,290,532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77,720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6,306,484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6,306,484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6,306,484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170,516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170,516</w:t>
            </w: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47,927</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122,589</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15,073,926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15,079,756</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50,917</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14,916,360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21,743,251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21,409,984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21,409,984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32,914,288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32,507,319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223,659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32,283,660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20,265,162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20,369,392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4,557,929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15,811,463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13,002,433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12,935,924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12,935,924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(1,013,326)</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86,911,808</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87,222,619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4,781,588</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82,441,031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(33,111,246)</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(33,111,246)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(33,111,246)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(52,936,615)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(52,936,615)</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(52,936,615)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(7,233,518)</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(7,294,182)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(7,294,182)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(232,014)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(232,014)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(232,014)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(200,768)</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(200,768)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(200,768)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(8,577,645)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(8,630,195)</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(8,630,195)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(69,290)</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(69,290)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(69,290)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(109,730)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(109,730)</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(109,730)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13,722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(119,938)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(119,938)</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(119,938)</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48"/>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- 39 -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December 31, 2016</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600"/>
              <w:spacing w:after="0" w:line="137" w:lineRule="exact"/>
              <w:rPr>
                <w:sz w:val="20"/>
                <w:szCs w:val="20"/>
                <w:color w:val="auto"/>
              </w:rPr>
            </w:pPr>
            <w:r>
              <w:rPr>
                <w:rFonts w:ascii="Arial" w:cs="Arial" w:eastAsia="Arial" w:hAnsi="Arial"/>
                <w:sz w:val="14"/>
                <w:szCs w:val="14"/>
                <w:color w:val="auto"/>
              </w:rPr>
              <w:t>Carrying</w:t>
            </w:r>
          </w:p>
        </w:tc>
        <w:tc>
          <w:tcPr>
            <w:tcW w:w="112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rPr>
              <w:t>Estimated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4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color w:val="auto"/>
              </w:rPr>
              <w:t>Amount</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Level 1</w:t>
            </w: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r>
      <w:tr>
        <w:trPr>
          <w:trHeight w:val="156"/>
        </w:trPr>
        <w:tc>
          <w:tcPr>
            <w:tcW w:w="4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10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1,320,549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1,320,549</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1,249,654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70,895</w:t>
            </w: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5,000,638</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323,867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323,867</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46,135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277,732</w:t>
            </w: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16,250,468</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16,244,412</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301,711</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15,821,176</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121,525</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22,610,047</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22,239,428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22,239,428</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33,506,394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33,129,428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642,590</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32,486,838</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22,590,912</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22,638,167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4,912,488</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17,725,679</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12,146,063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12,061,590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12,061,590</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(988,997)</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89,864,419</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90,068,613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5,555,078</w:t>
            </w:r>
          </w:p>
        </w:tc>
        <w:tc>
          <w:tcPr>
            <w:tcW w:w="3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84,513,535</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308,805</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2"/>
              </w:rPr>
              <w:t>(32,813,896)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(32,813,896)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(32,813,896)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(52,346,207)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(52,346,207)</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(52,346,207)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2"/>
              </w:rPr>
              <w:t>(10,131,846)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(10,222,585)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(10,222,585)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(201,927)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(201,927)</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(201,927)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(163,442)</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(163,442)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(163,442)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(9,493,835)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(9,473,844)</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(9,473,844)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(75,172)</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(75,172)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(75,172)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(174,376)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(174,376)</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(174,376)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7,325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36,653</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(136,295)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(136,295)</w:t>
            </w:r>
          </w:p>
        </w:tc>
        <w:tc>
          <w:tcPr>
            <w:tcW w:w="2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(136,295)</w:t>
            </w:r>
          </w:p>
        </w:tc>
      </w:tr>
      <w:tr>
        <w:trPr>
          <w:trHeight w:val="215"/>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3"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The following assumptions, methods and calculations were used in determining the estimated fair value of financial instruments not measured at fair value in the consolidated balance sheet.</w:t>
      </w:r>
    </w:p>
    <w:p>
      <w:pPr>
        <w:spacing w:after="0" w:line="29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i w:val="1"/>
          <w:iCs w:val="1"/>
          <w:color w:val="auto"/>
        </w:rPr>
        <w:t>Cash and cash equivalents, interest-bearing deposits at banks, deposits at Cayman Islands office, short-term borrowings, accrued interest receivable and accrued interest payable</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900" w:firstLine="8"/>
        <w:spacing w:after="0" w:line="351" w:lineRule="auto"/>
        <w:tabs>
          <w:tab w:leader="none" w:pos="311"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Fair value measurements, continued </w:t>
      </w:r>
      <w:r>
        <w:rPr>
          <w:rFonts w:ascii="Arial" w:cs="Arial" w:eastAsia="Arial" w:hAnsi="Arial"/>
          <w:sz w:val="21"/>
          <w:szCs w:val="21"/>
          <w:b w:val="1"/>
          <w:bCs w:val="1"/>
          <w:i w:val="1"/>
          <w:iCs w:val="1"/>
          <w:color w:val="auto"/>
        </w:rPr>
        <w:t>Investment securities</w:t>
      </w:r>
    </w:p>
    <w:p>
      <w:pPr>
        <w:spacing w:after="0" w:line="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 and leases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Deposits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Pursuant to GAAP, the estimated fair value ascribed to noninterest-bearing deposits, savings deposits and interest-checking deposits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76" w:lineRule="exact"/>
        <w:rPr>
          <w:sz w:val="20"/>
          <w:szCs w:val="20"/>
          <w:color w:val="auto"/>
        </w:rPr>
      </w:pPr>
    </w:p>
    <w:p>
      <w:pPr>
        <w:jc w:val="both"/>
        <w:ind w:firstLine="476"/>
        <w:spacing w:after="0" w:line="253" w:lineRule="auto"/>
        <w:rPr>
          <w:sz w:val="20"/>
          <w:szCs w:val="20"/>
          <w:color w:val="auto"/>
        </w:rPr>
      </w:pPr>
      <w:r>
        <w:rPr>
          <w:rFonts w:ascii="Arial" w:cs="Arial" w:eastAsia="Arial" w:hAnsi="Arial"/>
          <w:sz w:val="21"/>
          <w:szCs w:val="21"/>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Long-term borrowings</w:t>
      </w:r>
    </w:p>
    <w:p>
      <w:pPr>
        <w:spacing w:after="0" w:line="110"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commitments and contingencies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Fair value measurements, continued</w:t>
      </w:r>
    </w:p>
    <w:p>
      <w:pPr>
        <w:spacing w:after="0" w:line="116"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color w:val="auto"/>
                <w:w w:val="89"/>
              </w:rPr>
              <w:t>September 30,</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6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2017</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2"/>
          </w:tcPr>
          <w:p>
            <w:pPr>
              <w:jc w:val="right"/>
              <w:ind w:right="77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5,492,892</w:t>
            </w:r>
          </w:p>
        </w:tc>
        <w:tc>
          <w:tcPr>
            <w:tcW w:w="1200" w:type="dxa"/>
            <w:vAlign w:val="bottom"/>
          </w:tcPr>
          <w:p>
            <w:pPr>
              <w:jc w:val="right"/>
              <w:spacing w:after="0"/>
              <w:rPr>
                <w:sz w:val="20"/>
                <w:szCs w:val="20"/>
                <w:color w:val="auto"/>
              </w:rPr>
            </w:pPr>
            <w:r>
              <w:rPr>
                <w:rFonts w:ascii="Arial" w:cs="Arial" w:eastAsia="Arial" w:hAnsi="Arial"/>
                <w:sz w:val="18"/>
                <w:szCs w:val="18"/>
                <w:color w:val="auto"/>
              </w:rPr>
              <w:t>5,499,609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170,786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1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5,749,428</w:t>
            </w:r>
          </w:p>
        </w:tc>
        <w:tc>
          <w:tcPr>
            <w:tcW w:w="1200" w:type="dxa"/>
            <w:vAlign w:val="bottom"/>
          </w:tcPr>
          <w:p>
            <w:pPr>
              <w:jc w:val="right"/>
              <w:spacing w:after="0"/>
              <w:rPr>
                <w:sz w:val="20"/>
                <w:szCs w:val="20"/>
                <w:color w:val="auto"/>
              </w:rPr>
            </w:pPr>
            <w:r>
              <w:rPr>
                <w:rFonts w:ascii="Arial" w:cs="Arial" w:eastAsia="Arial" w:hAnsi="Arial"/>
                <w:sz w:val="18"/>
                <w:szCs w:val="18"/>
                <w:color w:val="auto"/>
              </w:rPr>
              <w:t>6,451,709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482,650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478,950</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1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202,702</w:t>
            </w:r>
          </w:p>
        </w:tc>
        <w:tc>
          <w:tcPr>
            <w:tcW w:w="1200" w:type="dxa"/>
            <w:vAlign w:val="bottom"/>
          </w:tcPr>
          <w:p>
            <w:pPr>
              <w:jc w:val="right"/>
              <w:spacing w:after="0"/>
              <w:rPr>
                <w:sz w:val="20"/>
                <w:szCs w:val="20"/>
                <w:color w:val="auto"/>
              </w:rPr>
            </w:pPr>
            <w:r>
              <w:rPr>
                <w:rFonts w:ascii="Arial" w:cs="Arial" w:eastAsia="Arial" w:hAnsi="Arial"/>
                <w:sz w:val="18"/>
                <w:szCs w:val="18"/>
                <w:color w:val="auto"/>
              </w:rPr>
              <w:t>232,721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12,677,838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12,298,473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2,657,352</w:t>
            </w:r>
          </w:p>
        </w:tc>
        <w:tc>
          <w:tcPr>
            <w:tcW w:w="1200" w:type="dxa"/>
            <w:vAlign w:val="bottom"/>
          </w:tcPr>
          <w:p>
            <w:pPr>
              <w:jc w:val="right"/>
              <w:spacing w:after="0"/>
              <w:rPr>
                <w:sz w:val="20"/>
                <w:szCs w:val="20"/>
                <w:color w:val="auto"/>
              </w:rPr>
            </w:pPr>
            <w:r>
              <w:rPr>
                <w:rFonts w:ascii="Arial" w:cs="Arial" w:eastAsia="Arial" w:hAnsi="Arial"/>
                <w:sz w:val="18"/>
                <w:szCs w:val="18"/>
                <w:color w:val="auto"/>
              </w:rPr>
              <w:t>2,987,091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42,684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3,385,498</w:t>
            </w:r>
          </w:p>
        </w:tc>
        <w:tc>
          <w:tcPr>
            <w:tcW w:w="1200" w:type="dxa"/>
            <w:vAlign w:val="bottom"/>
          </w:tcPr>
          <w:p>
            <w:pPr>
              <w:jc w:val="right"/>
              <w:spacing w:after="0"/>
              <w:rPr>
                <w:sz w:val="20"/>
                <w:szCs w:val="20"/>
                <w:color w:val="auto"/>
              </w:rPr>
            </w:pPr>
            <w:r>
              <w:rPr>
                <w:rFonts w:ascii="Arial" w:cs="Arial" w:eastAsia="Arial" w:hAnsi="Arial"/>
                <w:sz w:val="18"/>
                <w:szCs w:val="18"/>
                <w:color w:val="auto"/>
              </w:rPr>
              <w:t>3,043,580</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1,052,472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1,489,237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$3.2 billion and $2.8 billion at September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Commitments and contingencies,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Company also has commitments under long-term operating leases.</w:t>
      </w:r>
    </w:p>
    <w:p>
      <w:pPr>
        <w:spacing w:after="0" w:line="218"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2017 the Company believes that its obligation to loan purchasers was not material to the Company’s consolidated financial position.</w:t>
      </w:r>
    </w:p>
    <w:p>
      <w:pPr>
        <w:spacing w:after="0" w:line="19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9"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financial information of the Company's segments was compiled utilizing the accounting policies described in note 22 of Notes to Financial Statements in the 2016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disclosed in the 2016 Annual Report, during 2016 the Company revised its funds transfer pricing allocation related to borrowings. Additionally, during the second quarter of 2017, the Company revised its funds transfer pricing allocation related to certain deposit categories. As a result, prior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 continued</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color w:val="auto"/>
        </w:rPr>
        <w:t>financial information has been reclassified to provide segment information on a comparable basis, as noted in the following tables.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color w:val="auto"/>
                <w:w w:val="91"/>
              </w:rPr>
              <w:t>Three Months Ended September 30, 2016</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20"/>
              <w:spacing w:after="0" w:line="137" w:lineRule="exact"/>
              <w:rPr>
                <w:sz w:val="20"/>
                <w:szCs w:val="20"/>
                <w:color w:val="auto"/>
              </w:rPr>
            </w:pPr>
            <w:r>
              <w:rPr>
                <w:rFonts w:ascii="Arial" w:cs="Arial" w:eastAsia="Arial" w:hAnsi="Arial"/>
                <w:sz w:val="14"/>
                <w:szCs w:val="14"/>
                <w:color w:val="auto"/>
                <w:w w:val="96"/>
              </w:rPr>
              <w:t>Total</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right="300"/>
              <w:spacing w:after="0" w:line="137" w:lineRule="exact"/>
              <w:rPr>
                <w:sz w:val="20"/>
                <w:szCs w:val="20"/>
                <w:color w:val="auto"/>
              </w:rPr>
            </w:pPr>
            <w:r>
              <w:rPr>
                <w:rFonts w:ascii="Arial" w:cs="Arial" w:eastAsia="Arial" w:hAnsi="Arial"/>
                <w:sz w:val="14"/>
                <w:szCs w:val="14"/>
                <w:color w:val="auto"/>
                <w:w w:val="94"/>
              </w:rPr>
              <w:t>Net Income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5"/>
              </w:rPr>
              <w:t>Revenues as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(Loss) as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Net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Previously</w:t>
            </w: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color w:val="auto"/>
                <w:w w:val="97"/>
              </w:rPr>
              <w:t>Impact of</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Revenues as</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Previously</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Impact of</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(Loss) as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Reported</w:t>
            </w:r>
          </w:p>
        </w:tc>
        <w:tc>
          <w:tcPr>
            <w:tcW w:w="1000" w:type="dxa"/>
            <w:vAlign w:val="bottom"/>
            <w:gridSpan w:val="2"/>
          </w:tcPr>
          <w:p>
            <w:pPr>
              <w:jc w:val="center"/>
              <w:ind w:right="228"/>
              <w:spacing w:after="0"/>
              <w:rPr>
                <w:sz w:val="20"/>
                <w:szCs w:val="20"/>
                <w:color w:val="auto"/>
              </w:rPr>
            </w:pPr>
            <w:r>
              <w:rPr>
                <w:rFonts w:ascii="Arial" w:cs="Arial" w:eastAsia="Arial" w:hAnsi="Arial"/>
                <w:sz w:val="14"/>
                <w:szCs w:val="14"/>
                <w:color w:val="auto"/>
                <w:w w:val="89"/>
              </w:rPr>
              <w:t>Changes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Reclassified</w:t>
            </w:r>
          </w:p>
        </w:tc>
        <w:tc>
          <w:tcPr>
            <w:tcW w:w="3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Reported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Changes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Reclassified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100" w:type="dxa"/>
            <w:vAlign w:val="bottom"/>
            <w:shd w:val="clear" w:color="auto" w:fill="CFF0FC"/>
          </w:tcPr>
          <w:p>
            <w:pPr>
              <w:spacing w:after="0"/>
              <w:rPr>
                <w:sz w:val="19"/>
                <w:szCs w:val="19"/>
                <w:color w:val="auto"/>
              </w:rPr>
            </w:pPr>
          </w:p>
        </w:tc>
        <w:tc>
          <w:tcPr>
            <w:tcW w:w="320" w:type="dxa"/>
            <w:vAlign w:val="bottom"/>
            <w:vMerge w:val="continue"/>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21,422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268,683</w:t>
            </w:r>
          </w:p>
        </w:tc>
        <w:tc>
          <w:tcPr>
            <w:tcW w:w="300" w:type="dxa"/>
            <w:vAlign w:val="bottom"/>
          </w:tcPr>
          <w:p>
            <w:pPr>
              <w:spacing w:after="0"/>
              <w:rPr>
                <w:sz w:val="19"/>
                <w:szCs w:val="19"/>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(155)</w:t>
            </w:r>
          </w:p>
        </w:tc>
        <w:tc>
          <w:tcPr>
            <w:tcW w:w="860" w:type="dxa"/>
            <w:vAlign w:val="bottom"/>
          </w:tcPr>
          <w:p>
            <w:pPr>
              <w:jc w:val="right"/>
              <w:spacing w:after="0"/>
              <w:rPr>
                <w:sz w:val="20"/>
                <w:szCs w:val="20"/>
                <w:color w:val="auto"/>
              </w:rPr>
            </w:pPr>
            <w:r>
              <w:rPr>
                <w:rFonts w:ascii="Arial" w:cs="Arial" w:eastAsia="Arial" w:hAnsi="Arial"/>
                <w:sz w:val="18"/>
                <w:szCs w:val="18"/>
                <w:color w:val="auto"/>
              </w:rPr>
              <w:t>268,528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102,796</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720" w:type="dxa"/>
            <w:vAlign w:val="bottom"/>
          </w:tcPr>
          <w:p>
            <w:pPr>
              <w:jc w:val="right"/>
              <w:spacing w:after="0"/>
              <w:rPr>
                <w:sz w:val="20"/>
                <w:szCs w:val="20"/>
                <w:color w:val="auto"/>
              </w:rPr>
            </w:pPr>
            <w:r>
              <w:rPr>
                <w:rFonts w:ascii="Arial" w:cs="Arial" w:eastAsia="Arial" w:hAnsi="Arial"/>
                <w:sz w:val="18"/>
                <w:szCs w:val="18"/>
                <w:color w:val="auto"/>
              </w:rPr>
              <w:t>102,704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205,562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205,562</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90,065</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114,391</w:t>
            </w:r>
          </w:p>
        </w:tc>
        <w:tc>
          <w:tcPr>
            <w:tcW w:w="300" w:type="dxa"/>
            <w:vAlign w:val="bottom"/>
          </w:tcPr>
          <w:p>
            <w:pPr>
              <w:spacing w:after="0"/>
              <w:rPr>
                <w:sz w:val="19"/>
                <w:szCs w:val="19"/>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(8,806)</w:t>
            </w:r>
          </w:p>
        </w:tc>
        <w:tc>
          <w:tcPr>
            <w:tcW w:w="860" w:type="dxa"/>
            <w:vAlign w:val="bottom"/>
          </w:tcPr>
          <w:p>
            <w:pPr>
              <w:jc w:val="right"/>
              <w:spacing w:after="0"/>
              <w:rPr>
                <w:sz w:val="20"/>
                <w:szCs w:val="20"/>
                <w:color w:val="auto"/>
              </w:rPr>
            </w:pPr>
            <w:r>
              <w:rPr>
                <w:rFonts w:ascii="Arial" w:cs="Arial" w:eastAsia="Arial" w:hAnsi="Arial"/>
                <w:sz w:val="18"/>
                <w:szCs w:val="18"/>
                <w:color w:val="auto"/>
              </w:rPr>
              <w:t>105,585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50,773</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(5,222)</w:t>
            </w:r>
          </w:p>
        </w:tc>
        <w:tc>
          <w:tcPr>
            <w:tcW w:w="720" w:type="dxa"/>
            <w:vAlign w:val="bottom"/>
          </w:tcPr>
          <w:p>
            <w:pPr>
              <w:jc w:val="right"/>
              <w:spacing w:after="0"/>
              <w:rPr>
                <w:sz w:val="20"/>
                <w:szCs w:val="20"/>
                <w:color w:val="auto"/>
              </w:rPr>
            </w:pPr>
            <w:r>
              <w:rPr>
                <w:rFonts w:ascii="Arial" w:cs="Arial" w:eastAsia="Arial" w:hAnsi="Arial"/>
                <w:sz w:val="18"/>
                <w:szCs w:val="18"/>
                <w:color w:val="auto"/>
              </w:rPr>
              <w:t>45,551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108,576</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(11,901)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96,675</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22,924</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(7,059)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353,016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69,506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182,949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190,575</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(7,502)</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$ 1,349,690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$ 349,984</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color w:val="auto"/>
                <w:w w:val="92"/>
              </w:rPr>
              <w:t>Nine Months Ended September 30, 2016</w:t>
            </w: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420"/>
              <w:spacing w:after="0" w:line="137" w:lineRule="exact"/>
              <w:rPr>
                <w:sz w:val="20"/>
                <w:szCs w:val="20"/>
                <w:color w:val="auto"/>
              </w:rPr>
            </w:pPr>
            <w:r>
              <w:rPr>
                <w:rFonts w:ascii="Arial" w:cs="Arial" w:eastAsia="Arial" w:hAnsi="Arial"/>
                <w:sz w:val="14"/>
                <w:szCs w:val="14"/>
                <w:color w:val="auto"/>
                <w:w w:val="96"/>
              </w:rPr>
              <w:t>Total</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2"/>
          </w:tcPr>
          <w:p>
            <w:pPr>
              <w:jc w:val="center"/>
              <w:ind w:right="300"/>
              <w:spacing w:after="0" w:line="137" w:lineRule="exact"/>
              <w:rPr>
                <w:sz w:val="20"/>
                <w:szCs w:val="20"/>
                <w:color w:val="auto"/>
              </w:rPr>
            </w:pPr>
            <w:r>
              <w:rPr>
                <w:rFonts w:ascii="Arial" w:cs="Arial" w:eastAsia="Arial" w:hAnsi="Arial"/>
                <w:sz w:val="14"/>
                <w:szCs w:val="14"/>
                <w:color w:val="auto"/>
                <w:w w:val="94"/>
              </w:rPr>
              <w:t>Net Income</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85"/>
              </w:rPr>
              <w:t>Revenues as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(Loss) as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Net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Previously</w:t>
            </w:r>
          </w:p>
        </w:tc>
        <w:tc>
          <w:tcPr>
            <w:tcW w:w="1000" w:type="dxa"/>
            <w:vAlign w:val="bottom"/>
            <w:gridSpan w:val="2"/>
          </w:tcPr>
          <w:p>
            <w:pPr>
              <w:jc w:val="center"/>
              <w:ind w:right="248"/>
              <w:spacing w:after="0" w:line="149" w:lineRule="exact"/>
              <w:rPr>
                <w:sz w:val="20"/>
                <w:szCs w:val="20"/>
                <w:color w:val="auto"/>
              </w:rPr>
            </w:pPr>
            <w:r>
              <w:rPr>
                <w:rFonts w:ascii="Arial" w:cs="Arial" w:eastAsia="Arial" w:hAnsi="Arial"/>
                <w:sz w:val="14"/>
                <w:szCs w:val="14"/>
                <w:color w:val="auto"/>
                <w:w w:val="97"/>
              </w:rPr>
              <w:t>Impact of</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Revenues as</w:t>
            </w: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Previously</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Impact of</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(Loss) as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Reported</w:t>
            </w:r>
          </w:p>
        </w:tc>
        <w:tc>
          <w:tcPr>
            <w:tcW w:w="1000" w:type="dxa"/>
            <w:vAlign w:val="bottom"/>
            <w:gridSpan w:val="2"/>
          </w:tcPr>
          <w:p>
            <w:pPr>
              <w:jc w:val="center"/>
              <w:ind w:right="228"/>
              <w:spacing w:after="0"/>
              <w:rPr>
                <w:sz w:val="20"/>
                <w:szCs w:val="20"/>
                <w:color w:val="auto"/>
              </w:rPr>
            </w:pPr>
            <w:r>
              <w:rPr>
                <w:rFonts w:ascii="Arial" w:cs="Arial" w:eastAsia="Arial" w:hAnsi="Arial"/>
                <w:sz w:val="14"/>
                <w:szCs w:val="14"/>
                <w:color w:val="auto"/>
                <w:w w:val="89"/>
              </w:rPr>
              <w:t>Changes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Reclassified</w:t>
            </w:r>
          </w:p>
        </w:tc>
        <w:tc>
          <w:tcPr>
            <w:tcW w:w="3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Reported</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Changes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Reclassified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344,562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13,022</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357,584</w:t>
            </w:r>
          </w:p>
        </w:tc>
        <w:tc>
          <w:tcPr>
            <w:tcW w:w="100" w:type="dxa"/>
            <w:vAlign w:val="bottom"/>
            <w:shd w:val="clear" w:color="auto" w:fill="CFF0FC"/>
          </w:tcPr>
          <w:p>
            <w:pPr>
              <w:spacing w:after="0"/>
              <w:rPr>
                <w:sz w:val="19"/>
                <w:szCs w:val="19"/>
                <w:color w:val="auto"/>
              </w:rPr>
            </w:pPr>
          </w:p>
        </w:tc>
        <w:tc>
          <w:tcPr>
            <w:tcW w:w="320" w:type="dxa"/>
            <w:vAlign w:val="bottom"/>
            <w:vMerge w:val="continue"/>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  69,617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787,781</w:t>
            </w:r>
          </w:p>
        </w:tc>
        <w:tc>
          <w:tcPr>
            <w:tcW w:w="300" w:type="dxa"/>
            <w:vAlign w:val="bottom"/>
          </w:tcPr>
          <w:p>
            <w:pPr>
              <w:spacing w:after="0"/>
              <w:rPr>
                <w:sz w:val="19"/>
                <w:szCs w:val="19"/>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(423)</w:t>
            </w:r>
          </w:p>
        </w:tc>
        <w:tc>
          <w:tcPr>
            <w:tcW w:w="860" w:type="dxa"/>
            <w:vAlign w:val="bottom"/>
          </w:tcPr>
          <w:p>
            <w:pPr>
              <w:jc w:val="right"/>
              <w:spacing w:after="0"/>
              <w:rPr>
                <w:sz w:val="20"/>
                <w:szCs w:val="20"/>
                <w:color w:val="auto"/>
              </w:rPr>
            </w:pPr>
            <w:r>
              <w:rPr>
                <w:rFonts w:ascii="Arial" w:cs="Arial" w:eastAsia="Arial" w:hAnsi="Arial"/>
                <w:sz w:val="18"/>
                <w:szCs w:val="18"/>
                <w:color w:val="auto"/>
              </w:rPr>
              <w:t>787,358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309,515</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720" w:type="dxa"/>
            <w:vAlign w:val="bottom"/>
          </w:tcPr>
          <w:p>
            <w:pPr>
              <w:jc w:val="right"/>
              <w:spacing w:after="0"/>
              <w:rPr>
                <w:sz w:val="20"/>
                <w:szCs w:val="20"/>
                <w:color w:val="auto"/>
              </w:rPr>
            </w:pPr>
            <w:r>
              <w:rPr>
                <w:rFonts w:ascii="Arial" w:cs="Arial" w:eastAsia="Arial" w:hAnsi="Arial"/>
                <w:sz w:val="18"/>
                <w:szCs w:val="18"/>
                <w:color w:val="auto"/>
              </w:rPr>
              <w:t>309,264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575,117</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575,117</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254,682</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324,195</w:t>
            </w:r>
          </w:p>
        </w:tc>
        <w:tc>
          <w:tcPr>
            <w:tcW w:w="300" w:type="dxa"/>
            <w:vAlign w:val="bottom"/>
          </w:tcPr>
          <w:p>
            <w:pPr>
              <w:spacing w:after="0"/>
              <w:rPr>
                <w:sz w:val="19"/>
                <w:szCs w:val="19"/>
                <w:color w:val="auto"/>
              </w:rPr>
            </w:pPr>
          </w:p>
        </w:tc>
        <w:tc>
          <w:tcPr>
            <w:tcW w:w="1000" w:type="dxa"/>
            <w:vAlign w:val="bottom"/>
            <w:gridSpan w:val="2"/>
          </w:tcPr>
          <w:p>
            <w:pPr>
              <w:jc w:val="right"/>
              <w:ind w:right="168"/>
              <w:spacing w:after="0"/>
              <w:rPr>
                <w:sz w:val="20"/>
                <w:szCs w:val="20"/>
                <w:color w:val="auto"/>
              </w:rPr>
            </w:pPr>
            <w:r>
              <w:rPr>
                <w:rFonts w:ascii="Arial" w:cs="Arial" w:eastAsia="Arial" w:hAnsi="Arial"/>
                <w:sz w:val="18"/>
                <w:szCs w:val="18"/>
                <w:color w:val="auto"/>
              </w:rPr>
              <w:t>(28,575)</w:t>
            </w:r>
          </w:p>
        </w:tc>
        <w:tc>
          <w:tcPr>
            <w:tcW w:w="860" w:type="dxa"/>
            <w:vAlign w:val="bottom"/>
          </w:tcPr>
          <w:p>
            <w:pPr>
              <w:jc w:val="right"/>
              <w:spacing w:after="0"/>
              <w:rPr>
                <w:sz w:val="20"/>
                <w:szCs w:val="20"/>
                <w:color w:val="auto"/>
              </w:rPr>
            </w:pPr>
            <w:r>
              <w:rPr>
                <w:rFonts w:ascii="Arial" w:cs="Arial" w:eastAsia="Arial" w:hAnsi="Arial"/>
                <w:sz w:val="18"/>
                <w:szCs w:val="18"/>
                <w:color w:val="auto"/>
              </w:rPr>
              <w:t>295,620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151,522</w:t>
            </w:r>
          </w:p>
        </w:tc>
        <w:tc>
          <w:tcPr>
            <w:tcW w:w="3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(16,947)</w:t>
            </w:r>
          </w:p>
        </w:tc>
        <w:tc>
          <w:tcPr>
            <w:tcW w:w="720" w:type="dxa"/>
            <w:vAlign w:val="bottom"/>
          </w:tcPr>
          <w:p>
            <w:pPr>
              <w:jc w:val="right"/>
              <w:spacing w:after="0"/>
              <w:rPr>
                <w:sz w:val="20"/>
                <w:szCs w:val="20"/>
                <w:color w:val="auto"/>
              </w:rPr>
            </w:pPr>
            <w:r>
              <w:rPr>
                <w:rFonts w:ascii="Arial" w:cs="Arial" w:eastAsia="Arial" w:hAnsi="Arial"/>
                <w:sz w:val="18"/>
                <w:szCs w:val="18"/>
                <w:color w:val="auto"/>
              </w:rPr>
              <w:t>134,575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309,393</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(28,539)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280,854</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59,981</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(16,926)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1,037,727</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25,196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1,062,923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204,291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14,943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575,885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595,204</w:t>
            </w:r>
          </w:p>
        </w:tc>
        <w:tc>
          <w:tcPr>
            <w:tcW w:w="100" w:type="dxa"/>
            <w:vAlign w:val="bottom"/>
            <w:shd w:val="clear" w:color="auto" w:fill="CFF0FC"/>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(65,065)</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11,458</w:t>
            </w: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(53,607)</w:t>
            </w: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$ 3,954,660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3,954,660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$ 984,543</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As also described in note 22 in the 2016 Annual Report,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color w:val="auto"/>
                <w:w w:val="92"/>
              </w:rPr>
              <w:t>Three Months Ended September 30</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82"/>
              <w:spacing w:after="0" w:line="155" w:lineRule="exact"/>
              <w:rPr>
                <w:sz w:val="20"/>
                <w:szCs w:val="20"/>
                <w:color w:val="auto"/>
              </w:rPr>
            </w:pPr>
            <w:r>
              <w:rPr>
                <w:rFonts w:ascii="Arial" w:cs="Arial" w:eastAsia="Arial" w:hAnsi="Arial"/>
                <w:sz w:val="14"/>
                <w:szCs w:val="14"/>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8"/>
              <w:spacing w:after="0" w:line="137" w:lineRule="exact"/>
              <w:rPr>
                <w:sz w:val="20"/>
                <w:szCs w:val="20"/>
                <w:color w:val="auto"/>
              </w:rPr>
            </w:pPr>
            <w:r>
              <w:rPr>
                <w:rFonts w:ascii="Arial" w:cs="Arial" w:eastAsia="Arial" w:hAnsi="Arial"/>
                <w:sz w:val="14"/>
                <w:szCs w:val="14"/>
                <w:color w:val="auto"/>
                <w:w w:val="91"/>
              </w:rPr>
              <w:t>Inter-</w:t>
            </w:r>
          </w:p>
        </w:tc>
        <w:tc>
          <w:tcPr>
            <w:tcW w:w="14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8"/>
              <w:spacing w:after="0" w:line="149" w:lineRule="exact"/>
              <w:rPr>
                <w:sz w:val="20"/>
                <w:szCs w:val="20"/>
                <w:color w:val="auto"/>
              </w:rPr>
            </w:pPr>
            <w:r>
              <w:rPr>
                <w:rFonts w:ascii="Arial" w:cs="Arial" w:eastAsia="Arial" w:hAnsi="Arial"/>
                <w:sz w:val="14"/>
                <w:szCs w:val="14"/>
                <w:color w:val="auto"/>
                <w:w w:val="89"/>
              </w:rPr>
              <w:t>segment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Total</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2"/>
                <w:szCs w:val="12"/>
                <w:color w:val="auto"/>
              </w:rPr>
            </w:pPr>
          </w:p>
        </w:tc>
      </w:tr>
      <w:tr>
        <w:trPr>
          <w:trHeight w:val="167"/>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w w:val="94"/>
              </w:rPr>
              <w:t>Revenues(a)</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8"/>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(Loss)</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Revenues(a)</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c>
          <w:tcPr>
            <w:tcW w:w="20" w:type="dxa"/>
            <w:vAlign w:val="bottom"/>
          </w:tcPr>
          <w:p>
            <w:pPr>
              <w:spacing w:after="0"/>
              <w:rPr>
                <w:sz w:val="14"/>
                <w:szCs w:val="14"/>
                <w:color w:val="auto"/>
              </w:rPr>
            </w:pPr>
          </w:p>
        </w:tc>
      </w:tr>
      <w:tr>
        <w:trPr>
          <w:trHeight w:val="176"/>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jc w:val="center"/>
              <w:ind w:right="38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5460" w:type="dxa"/>
            <w:vAlign w:val="bottom"/>
          </w:tcPr>
          <w:p>
            <w:pPr>
              <w:spacing w:after="0"/>
              <w:rPr>
                <w:sz w:val="20"/>
                <w:szCs w:val="20"/>
                <w:color w:val="auto"/>
              </w:rPr>
            </w:pPr>
            <w:r>
              <w:rPr>
                <w:rFonts w:ascii="Arial" w:cs="Arial" w:eastAsia="Arial" w:hAnsi="Arial"/>
                <w:sz w:val="18"/>
                <w:szCs w:val="18"/>
                <w:color w:val="auto"/>
              </w:rPr>
              <w:t>Business Banking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130,501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31,408</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267,822</w:t>
            </w: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268,528</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212,014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97,295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205,562</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65,808</w:t>
            </w:r>
          </w:p>
        </w:tc>
        <w:tc>
          <w:tcPr>
            <w:tcW w:w="10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(12,346)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105,585</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(14,795)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90,018</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18,866</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13,546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96,675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22,051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392,542</w:t>
            </w: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96,329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361,864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257,858</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(11,348)</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(23,967)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190,575</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(12,807)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(2,978)</w:t>
            </w:r>
          </w:p>
        </w:tc>
        <w:tc>
          <w:tcPr>
            <w:tcW w:w="2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$ 1,416,563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$ 1,349,690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5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color w:val="auto"/>
                <w:w w:val="93"/>
              </w:rPr>
              <w:t>Nine Months Ended September 30</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5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7"/>
        </w:trPr>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ind w:right="288"/>
              <w:spacing w:after="0" w:line="137" w:lineRule="exact"/>
              <w:rPr>
                <w:sz w:val="20"/>
                <w:szCs w:val="20"/>
                <w:color w:val="auto"/>
              </w:rPr>
            </w:pPr>
            <w:r>
              <w:rPr>
                <w:rFonts w:ascii="Arial" w:cs="Arial" w:eastAsia="Arial" w:hAnsi="Arial"/>
                <w:sz w:val="14"/>
                <w:szCs w:val="14"/>
                <w:color w:val="auto"/>
                <w:w w:val="97"/>
              </w:rPr>
              <w:t>Inter-</w:t>
            </w:r>
          </w:p>
        </w:tc>
        <w:tc>
          <w:tcPr>
            <w:tcW w:w="140" w:type="dxa"/>
            <w:vAlign w:val="bottom"/>
          </w:tcPr>
          <w:p>
            <w:pPr>
              <w:spacing w:after="0"/>
              <w:rPr>
                <w:sz w:val="11"/>
                <w:szCs w:val="11"/>
                <w:color w:val="auto"/>
              </w:rPr>
            </w:pPr>
          </w:p>
        </w:tc>
        <w:tc>
          <w:tcPr>
            <w:tcW w:w="720" w:type="dxa"/>
            <w:vAlign w:val="bottom"/>
          </w:tcPr>
          <w:p>
            <w:pPr>
              <w:jc w:val="center"/>
              <w:ind w:right="66"/>
              <w:spacing w:after="0" w:line="137" w:lineRule="exact"/>
              <w:rPr>
                <w:sz w:val="20"/>
                <w:szCs w:val="20"/>
                <w:color w:val="auto"/>
              </w:rPr>
            </w:pPr>
            <w:r>
              <w:rPr>
                <w:rFonts w:ascii="Arial" w:cs="Arial" w:eastAsia="Arial" w:hAnsi="Arial"/>
                <w:sz w:val="14"/>
                <w:szCs w:val="14"/>
                <w:color w:val="auto"/>
              </w:rPr>
              <w:t>Net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2"/>
                <w:szCs w:val="12"/>
                <w:color w:val="auto"/>
              </w:rPr>
            </w:pPr>
          </w:p>
        </w:tc>
        <w:tc>
          <w:tcPr>
            <w:tcW w:w="940" w:type="dxa"/>
            <w:vAlign w:val="bottom"/>
            <w:gridSpan w:val="4"/>
          </w:tcPr>
          <w:p>
            <w:pPr>
              <w:jc w:val="center"/>
              <w:ind w:right="148"/>
              <w:spacing w:after="0" w:line="149" w:lineRule="exact"/>
              <w:rPr>
                <w:sz w:val="20"/>
                <w:szCs w:val="20"/>
                <w:color w:val="auto"/>
              </w:rPr>
            </w:pPr>
            <w:r>
              <w:rPr>
                <w:rFonts w:ascii="Arial" w:cs="Arial" w:eastAsia="Arial" w:hAnsi="Arial"/>
                <w:sz w:val="14"/>
                <w:szCs w:val="14"/>
                <w:color w:val="auto"/>
                <w:w w:val="89"/>
              </w:rPr>
              <w:t>segment</w:t>
            </w:r>
          </w:p>
        </w:tc>
        <w:tc>
          <w:tcPr>
            <w:tcW w:w="1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Total</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2"/>
                <w:szCs w:val="12"/>
                <w:color w:val="auto"/>
              </w:rPr>
            </w:pPr>
          </w:p>
        </w:tc>
      </w:tr>
      <w:tr>
        <w:trPr>
          <w:trHeight w:val="167"/>
        </w:trPr>
        <w:tc>
          <w:tcPr>
            <w:tcW w:w="546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Arial" w:cs="Arial" w:eastAsia="Arial" w:hAnsi="Arial"/>
                <w:sz w:val="14"/>
                <w:szCs w:val="14"/>
                <w:color w:val="auto"/>
              </w:rPr>
              <w:t>Revenues(a)</w:t>
            </w:r>
          </w:p>
        </w:tc>
        <w:tc>
          <w:tcPr>
            <w:tcW w:w="80" w:type="dxa"/>
            <w:vAlign w:val="bottom"/>
          </w:tcPr>
          <w:p>
            <w:pPr>
              <w:spacing w:after="0"/>
              <w:rPr>
                <w:sz w:val="14"/>
                <w:szCs w:val="14"/>
                <w:color w:val="auto"/>
              </w:rPr>
            </w:pPr>
          </w:p>
        </w:tc>
        <w:tc>
          <w:tcPr>
            <w:tcW w:w="940" w:type="dxa"/>
            <w:vAlign w:val="bottom"/>
            <w:gridSpan w:val="4"/>
          </w:tcPr>
          <w:p>
            <w:pPr>
              <w:jc w:val="center"/>
              <w:ind w:right="148"/>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(Loss)</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Revenues(a)</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c>
          <w:tcPr>
            <w:tcW w:w="20" w:type="dxa"/>
            <w:vAlign w:val="bottom"/>
          </w:tcPr>
          <w:p>
            <w:pPr>
              <w:spacing w:after="0"/>
              <w:rPr>
                <w:sz w:val="14"/>
                <w:szCs w:val="14"/>
                <w:color w:val="auto"/>
              </w:rPr>
            </w:pPr>
          </w:p>
        </w:tc>
      </w:tr>
      <w:tr>
        <w:trPr>
          <w:trHeight w:val="176"/>
        </w:trPr>
        <w:tc>
          <w:tcPr>
            <w:tcW w:w="54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jc w:val="center"/>
              <w:ind w:right="520"/>
              <w:spacing w:after="0"/>
              <w:rPr>
                <w:sz w:val="20"/>
                <w:szCs w:val="20"/>
                <w:color w:val="auto"/>
              </w:rPr>
            </w:pPr>
            <w:r>
              <w:rPr>
                <w:rFonts w:ascii="Arial" w:cs="Arial" w:eastAsia="Arial" w:hAnsi="Arial"/>
                <w:sz w:val="14"/>
                <w:szCs w:val="14"/>
                <w:color w:val="auto"/>
                <w:w w:val="93"/>
              </w:rPr>
              <w:t>(In thousands)</w:t>
            </w: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71"/>
        </w:trPr>
        <w:tc>
          <w:tcPr>
            <w:tcW w:w="5460" w:type="dxa"/>
            <w:vAlign w:val="bottom"/>
          </w:tcPr>
          <w:p>
            <w:pPr>
              <w:spacing w:after="0"/>
              <w:rPr>
                <w:sz w:val="20"/>
                <w:szCs w:val="20"/>
                <w:color w:val="auto"/>
              </w:rPr>
            </w:pPr>
            <w:r>
              <w:rPr>
                <w:rFonts w:ascii="Arial" w:cs="Arial" w:eastAsia="Arial" w:hAnsi="Arial"/>
                <w:sz w:val="18"/>
                <w:szCs w:val="18"/>
                <w:color w:val="auto"/>
              </w:rPr>
              <w:t>Business Banking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375,816</w:t>
            </w:r>
          </w:p>
        </w:tc>
        <w:tc>
          <w:tcPr>
            <w:tcW w:w="14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2,836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85,146</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357,584</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818,846</w:t>
            </w: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328,211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787,358</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604,437</w:t>
            </w:r>
          </w:p>
        </w:tc>
        <w:tc>
          <w:tcPr>
            <w:tcW w:w="1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269,113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575,117</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216,798</w:t>
            </w:r>
          </w:p>
        </w:tc>
        <w:tc>
          <w:tcPr>
            <w:tcW w:w="1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8"/>
              <w:spacing w:after="0"/>
              <w:rPr>
                <w:sz w:val="20"/>
                <w:szCs w:val="20"/>
                <w:color w:val="auto"/>
              </w:rPr>
            </w:pPr>
            <w:r>
              <w:rPr>
                <w:rFonts w:ascii="Arial" w:cs="Arial" w:eastAsia="Arial" w:hAnsi="Arial"/>
                <w:sz w:val="18"/>
                <w:szCs w:val="18"/>
                <w:color w:val="auto"/>
              </w:rPr>
              <w:t>(37,670)</w:t>
            </w: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295,620</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(43,726)</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264,120</w:t>
            </w:r>
          </w:p>
        </w:tc>
        <w:tc>
          <w:tcPr>
            <w:tcW w:w="1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55,221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37,206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280,854</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62,955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1,144,964</w:t>
            </w: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8,760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282,614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1,062,923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9,198</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751,703</w:t>
            </w:r>
          </w:p>
        </w:tc>
        <w:tc>
          <w:tcPr>
            <w:tcW w:w="140" w:type="dxa"/>
            <w:vAlign w:val="bottom"/>
          </w:tcPr>
          <w:p>
            <w:pPr>
              <w:spacing w:after="0"/>
              <w:rPr>
                <w:sz w:val="19"/>
                <w:szCs w:val="19"/>
                <w:color w:val="auto"/>
              </w:rPr>
            </w:pPr>
          </w:p>
        </w:tc>
        <w:tc>
          <w:tcPr>
            <w:tcW w:w="940" w:type="dxa"/>
            <w:vAlign w:val="bottom"/>
            <w:gridSpan w:val="4"/>
          </w:tcPr>
          <w:p>
            <w:pPr>
              <w:jc w:val="right"/>
              <w:ind w:right="8"/>
              <w:spacing w:after="0"/>
              <w:rPr>
                <w:sz w:val="20"/>
                <w:szCs w:val="20"/>
                <w:color w:val="auto"/>
              </w:rPr>
            </w:pPr>
            <w:r>
              <w:rPr>
                <w:rFonts w:ascii="Arial" w:cs="Arial" w:eastAsia="Arial" w:hAnsi="Arial"/>
                <w:sz w:val="18"/>
                <w:szCs w:val="18"/>
                <w:color w:val="auto"/>
              </w:rPr>
              <w:t>(32,915)</w:t>
            </w:r>
          </w:p>
        </w:tc>
        <w:tc>
          <w:tcPr>
            <w:tcW w:w="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(11,587)</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595,204</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(35,917)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(53,607)</w:t>
            </w:r>
          </w:p>
        </w:tc>
        <w:tc>
          <w:tcPr>
            <w:tcW w:w="2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$ 4,176,684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1,085,903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$ 3,954,660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984,543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46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color w:val="auto"/>
              </w:rPr>
              <w:t>- 45 -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14. Segment information,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Average Total Assets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5"/>
          </w:tcPr>
          <w:p>
            <w:pPr>
              <w:jc w:val="center"/>
              <w:ind w:right="480"/>
              <w:spacing w:after="0" w:line="137" w:lineRule="exact"/>
              <w:rPr>
                <w:sz w:val="20"/>
                <w:szCs w:val="20"/>
                <w:color w:val="auto"/>
              </w:rPr>
            </w:pPr>
            <w:r>
              <w:rPr>
                <w:rFonts w:ascii="Arial" w:cs="Arial" w:eastAsia="Arial" w:hAnsi="Arial"/>
                <w:sz w:val="14"/>
                <w:szCs w:val="14"/>
                <w:color w:val="auto"/>
                <w:w w:val="94"/>
              </w:rPr>
              <w:t>Nine Months Ended</w:t>
            </w:r>
          </w:p>
        </w:tc>
        <w:tc>
          <w:tcPr>
            <w:tcW w:w="940" w:type="dxa"/>
            <w:vAlign w:val="bottom"/>
          </w:tcPr>
          <w:p>
            <w:pPr>
              <w:jc w:val="center"/>
              <w:spacing w:after="0" w:line="137" w:lineRule="exact"/>
              <w:rPr>
                <w:sz w:val="20"/>
                <w:szCs w:val="20"/>
                <w:color w:val="auto"/>
              </w:rPr>
            </w:pPr>
            <w:r>
              <w:rPr>
                <w:rFonts w:ascii="Arial" w:cs="Arial" w:eastAsia="Arial" w:hAnsi="Arial"/>
                <w:sz w:val="14"/>
                <w:szCs w:val="14"/>
                <w:color w:val="auto"/>
                <w:w w:val="89"/>
              </w:rPr>
              <w:t>Year Ended</w:t>
            </w:r>
          </w:p>
        </w:tc>
        <w:tc>
          <w:tcPr>
            <w:tcW w:w="10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center"/>
              <w:ind w:right="480"/>
              <w:spacing w:after="0"/>
              <w:rPr>
                <w:sz w:val="20"/>
                <w:szCs w:val="20"/>
                <w:color w:val="auto"/>
              </w:rPr>
            </w:pPr>
            <w:r>
              <w:rPr>
                <w:rFonts w:ascii="Arial" w:cs="Arial" w:eastAsia="Arial" w:hAnsi="Arial"/>
                <w:sz w:val="14"/>
                <w:szCs w:val="14"/>
                <w:color w:val="auto"/>
                <w:w w:val="90"/>
              </w:rPr>
              <w:t>September 30</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December 31</w:t>
            </w:r>
          </w:p>
        </w:tc>
      </w:tr>
      <w:tr>
        <w:trPr>
          <w:trHeight w:val="167"/>
        </w:trPr>
        <w:tc>
          <w:tcPr>
            <w:tcW w:w="4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2017</w:t>
            </w:r>
          </w:p>
        </w:tc>
        <w:tc>
          <w:tcPr>
            <w:tcW w:w="1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4"/>
                <w:szCs w:val="14"/>
                <w:color w:val="auto"/>
              </w:rPr>
            </w:pPr>
          </w:p>
        </w:tc>
      </w:tr>
      <w:tr>
        <w:trPr>
          <w:trHeight w:val="176"/>
        </w:trPr>
        <w:tc>
          <w:tcPr>
            <w:tcW w:w="40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9"/>
        </w:trPr>
        <w:tc>
          <w:tcPr>
            <w:tcW w:w="4060" w:type="dxa"/>
            <w:vAlign w:val="bottom"/>
          </w:tcPr>
          <w:p>
            <w:pPr>
              <w:spacing w:after="0"/>
              <w:rPr>
                <w:sz w:val="20"/>
                <w:szCs w:val="20"/>
                <w:color w:val="auto"/>
              </w:rPr>
            </w:pPr>
            <w:r>
              <w:rPr>
                <w:rFonts w:ascii="Arial" w:cs="Arial" w:eastAsia="Arial" w:hAnsi="Arial"/>
                <w:sz w:val="18"/>
                <w:szCs w:val="18"/>
                <w:color w:val="auto"/>
              </w:rPr>
              <w:t>Business Banking</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5,596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5,442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4"/>
                <w:szCs w:val="24"/>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25,363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25,592</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20,571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21,131</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41,253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40,867</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All Other</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16,951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16,885</w:t>
            </w:r>
          </w:p>
        </w:tc>
        <w:tc>
          <w:tcPr>
            <w:tcW w:w="100" w:type="dxa"/>
            <w:vAlign w:val="bottom"/>
          </w:tcPr>
          <w:p>
            <w:pPr>
              <w:spacing w:after="0"/>
              <w:rPr>
                <w:sz w:val="19"/>
                <w:szCs w:val="19"/>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20" w:hanging="512"/>
        <w:spacing w:after="0" w:line="272" w:lineRule="auto"/>
        <w:tabs>
          <w:tab w:leader="none" w:pos="52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$8,828,000 and $6,725,000 for the three-month periods ended September 30, 2017 and 2016, respectively, and $25,563,000 and $19,579,000 for the nine-month periods ended September 30, 2017 and 2016,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Relationship with Bayview Lending Group LLC and Bayview Financial Holdings, L.P.</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M&amp;T holds a 20% minority interest in Bayview Lending Group LLC ("BLG"), a privately-held commercial mortgage company. M&amp;T recognizes income or loss from BLG using the equity method of accounting. That investment had no remaining carrying value at September 30, 2017 as a result of cumulative losses recognized and cash distributions received.</w:t>
      </w:r>
    </w:p>
    <w:p>
      <w:pPr>
        <w:spacing w:after="0" w:line="166"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$3.2 billion and $3.5 billion at September 30, 2017 and December 31, 2016, respectively. Revenues from those servicing rights were $4 million and $5 million for the three-month periods ended September 30, 2017 and 2016, respectively, and $13 million and $15 million for the nine-month periods ended September 30, 2017 and 2016, respectively. The Company sub-services residential mortgage loans for Bayview Financial having outstanding principal balances of $59.3 billion and $30.4 billion at September 30, 2017 and December 31, 2016, respectively. Revenues earned for sub-servicing loans for Bayview Financial were $26 million and $25 million for the three-month periods ended September 30, 2017 and 2016, respectively, and $74 million and $73 million for the nine-month periods ended September 30, 2017 and 2016, respectively. In addition, the Company held $141 million and $158 million of mortgage-backed securities in its held-to-maturity portfolio at September 30, 2017 and December 31, 2016, respectively, that were securitized by Bayview Financial. In April 2017, the Company provided a loan to Bayview Financial for $100 million at terms consistent with those offered to non-affiliated customers. That loan was subsequently paid in full in June 2017. Also in June 2017, a new syndicated loan facility was entered into by Bayview Financial for $750 million, of which the Company held $88 million at September 30, 2017.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Effective January 1, 2017, the Company adopted amended accounting guidance for share-based transactions. The most significant aspect of the amended guidance that affects the Company requires that all excess tax benefits and tax deficiencies be recognized in income tax expense in the income statement and that such amounts be recognized in the period in which the tax deduction arises or in the period in which an expiration of an award occurs. The adoption of this guidance resulted in an $18 million reduction of income tax expense for the three-month period ended March 31, 2017, that under previous accounting guidance would have been recognized directly in shareholders’ equity. The amended accounting guidance did not have a significant impact on income tax expense in the three-month periods ended September 30 and June 30, 2017.</w:t>
      </w:r>
    </w:p>
    <w:p>
      <w:pPr>
        <w:spacing w:after="0" w:line="20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Effective January 2017, the Company also adopted amended accounting guidance for the transition to the equity method of accounting. The amended guidance eliminates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has been in effect during all previous periods that the investment had been held. Instead, the amended guidance requires the investor to adopt the equity method of accounting as of the date the investment first qualifies for such accounting. The adoption of this guidance did not have a material effect on the Company’s consolidated financial position or results of operations.</w:t>
      </w:r>
    </w:p>
    <w:p>
      <w:pPr>
        <w:spacing w:after="0" w:line="207"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In January 2017, the Company adopted two amendments to the accounting guidance for derivatives and hedging. The first amendment clarifies that a change in the counterparty to a derivative instrument that has been designated as the hedging instrument does not, in and of itself, require dedesignation of that hedging relationship provided that all other hedge accounting criteria continue to be met. The second amendment clarifies the requirements for assessing whether contingent call (put) options that can accelerate the payment of principal on debt instruments are clearly and closely related to their debt hosts. An entity performing the assessment is required to assess the embedded call (put) options solely in accordance with a four-step decision sequence and no longer has to assess whether the event that triggers the ability to exercise the option is related to interest rates or credit risks. The adoption of this guidance did not have a material effect on the Company’s consolidated financial position or results of operations.</w:t>
      </w:r>
    </w:p>
    <w:p>
      <w:pPr>
        <w:spacing w:after="0" w:line="19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August 2017, the Financial Accounting Standards Board (“FASB”) issued amended guidance expanding and clarifying hedge accounting for nonfinancial and financial risk components, aligning the recognition and presentation of the effects of the hedging instrument and hedged item in the financial statements, and simplifying the requirements for assessing effectiveness in a hedging relationship. The guidance eliminates the concept of benchmark interest rates for cash flow hedges of interest rate risk and permits variability in cash flows attributable to the contractually specified interest rate to be designated as the hedged risk in a cash flows hedge of a variable-rate financial instrument. For a fair value hedge of interest rate risk, the amended guidance added the Securities Industry and Financial Markets Association Municipal Swap Rate as an eligible benchmark interest rate. The amendments also change the guidance for designating fair value hedges of interest rate risk and for measuring the change in fair value of the hedged item in fair value hedges of interest rate risk by (1) for a closed portfolio of prepayable financial assets or one or more beneficial interests secured by a portfolio of prepayable financial instruments, permitting an amount that is not expected to be affected by prepayments, defaults, and other events affecting the timing and amount of cash flow (“last of layer” method) to be designated as the hedged item, (2) permitting the change in fair value of the hedged item to be measured on the basis of the benchmark interest rate component of the contractual coupon cash flows rather than the full contractual coupon cash flows, (3) permitting the hedged item in a partial-term fair value hedge to be measured by assuming the hedged item has a term that reflects only the designated cash flows being hedged, and (4) for prepayable financial instruments, permitting the consideration of only how changes in the benchmark interest rate affect a decision to settle a debt instrument before its scheduled maturity in calculating the change in fair value of the hedged item attributable to interest rate risk. As it relates to aligning the recognition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presentation of the effects of the hedging instrument and hedged item in the financial statements, the amended guidance requires (1) the entire change in fair value of the hedging instrument that is included in the assessment of hedge effectiveness to be presented in the same income statement line item that is used to present the earnings effect of the hedged item in a fair value hedge and the hedged transaction in a cash flow hedge and (2) for cash flow hedges, the entire change in fair value of the hedging instrument to be included in other comprehensive income (hedge ineffectiveness no longer will be recognized in earnings for cash flow hedges) and reclassified to earnings when the hedged forecasted transaction effects earnings. From the perspective of simplifying the requirements for assessing effectiveness in a hedging relationship, the amendments permit (1) qualitative subsequent assessments of hedge effectiveness when the facts and circumstances related to the hedging relationship have not changed, (2) initial prospective quantitative assessments at any time after hedge designation up to the first quarterly effectiveness testing date, and (3) application of the long-haul method for assessing hedge effectiveness if the shortcut method was initially applied and is no longer appropriate. The guidance is effective for annual periods and interim periods within those annual periods beginning after December 15, 2018, with early adoption permitted. If adopted in an interim period, the effects of the adoption should be reflected as of the beginning of the fiscal year of adoption. For cash flow hedges existing at the date of adoption, a cumulative-effect adjustment should be applied related to eliminating the separate measurement of ineffectiveness to accumulated other comprehensive income with a corresponding adjustment to the opening balance of retained earnings as of the beginning of the fiscal year that an entity adopts the amendments. The amended presentation and disclosure guidance is required only prospectively. The Company is evaluating when it will adopt the amended guidance and does not expect such adoption will have a material impact on its consolidated financial statements.</w:t>
      </w:r>
    </w:p>
    <w:p>
      <w:pPr>
        <w:spacing w:after="0" w:line="30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In May 2017, the FASB issued amended guidance relating to which changes to the terms and conditions of a share-based payment award require an entity to apply modification accounting. The guidance requires an entity to account for the effects of a modification unless all the following criteria are met: (1) the fair value of the modified award is the same as the fair value of the original award immediately before the original award was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was modified; and (3) the classification of the modified award as an equity instrument or a liability instrument is the same as the classification of the original award immediately before the original award was modified. The guidance is effective for annual periods; and interim periods within those annual periods beginning after December 15, 2017, and should be applied on a prospective basis to an award modified on or after the adoption date. The Company does not expect the guidance to have a material impact on its consolidated financial statements.</w:t>
      </w:r>
    </w:p>
    <w:p>
      <w:pPr>
        <w:spacing w:after="0" w:line="31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In March 2017, the FASB issued amended guidance requiring the premium on callable debt securities held at a premium to be amortized to the earliest call date. The amendments do not require an accounting change for securities held at a discount; the discount continues to be amortized to maturity. The guidance is effective for annual periods and interim periods within those annual periods beginning after December 15, 2018, with early adoption permitted. If adopted in an interim period, any adjustments should be reflected as of the beginning of the fiscal year that includes that interim period. The amendments should be applied on a modified retrospective basis through a cumulative-effect adjustment directly to retained earnings as of the beginning of the period of adoption. The Company does not expect the guidance to have a material impact on its consolidated financial statements.</w:t>
      </w:r>
    </w:p>
    <w:p>
      <w:pPr>
        <w:spacing w:after="0" w:line="300"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In March 2017, the FASB issued amended guidance requiring the service cost component of the net periodic pension cost and net periodic postretirement benefit cost to be reported in the same line item in the income statement as other compensation costs arising from services rendered by the pertinent employees during the period. The amendments also require that the other components of net benefit costs be presented separately from the service cost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component. The guidance is effective for annual periods and interim periods within those annual periods beginning after December 15, 2017, using a retrospective transition method for the presentation of the service cost and other components of net periodic pension cost and net periodic postretirement benefit cost in the income statement. The amendments allow for a practical expedient that permits the use of the amounts disclosed in the Company’s pension and other postretirement benefit plan note for the prior comparative periods as the estimation basis for applying the retrospective presentation requirements. The Company does not expect the guidance to have a material impact on its consolidated financial statements.</w:t>
      </w:r>
    </w:p>
    <w:p>
      <w:pPr>
        <w:spacing w:after="0" w:line="207"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In January 2017, the FASB issued amended guidance eliminating step 2 from the goodwill impairment test. Under the amendments to the guidance, an entity should perform its goodwill impairment test by comparing the fair value of a reporting unit with its carrying amount. An entity should recognize an impairment charge for the amount by which the carrying amount exceeds the reporting unit’s fair value. The loss recognized, however, should not exceed the total amount of goodwill allocated to that reporting unit. Additionally, an entity should consider income tax effects from any tax deductible goodwill on the carrying amount of the reporting unit when measuring the goodwill impairment loss, if applicable. The guidance is effective for annual periods or any interim goodwill impairment tests beginning after December 15, 2019 using a prospective transition method. Early adoption is permitted. The Company does not expect the guidance will have a material impact on its consolidated financial statements, unless at some point in the future one of its reporting units were to fail step 1 of the goodwill impairment test.</w:t>
      </w:r>
    </w:p>
    <w:p>
      <w:pPr>
        <w:spacing w:after="0" w:line="206"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In January 2017, the FASB issued amended guidance clarifying the definition of a business for purposes of evaluating whether transactions would be accounted for as acquisitions (or disposals) of assets or businesses. The amendments provide a screen to determine when a set of assets and activities (collectively referred to as a “set”) is not a business. The screen requires that when substantially all of the fair value of the gross assets acquired (or disposed of) is concentrated in a single identifiable asset or group of similar assets, the set is not a business. If the screen is not met, the amendments (1) require that to be considered a business, a set must include, at a minimum, an input and a substantive process that together significantly contribute to the ability to create output, and (2) remove the evaluation of whether a market participant could replace missing elements. The guidance is effective for annual</w:t>
      </w:r>
    </w:p>
    <w:p>
      <w:pPr>
        <w:spacing w:after="0" w:line="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periods and interim periods within those annual periods beginning after December 15, 2017 using a prospective transition method. The Company does not expect the guidance to have a material impact on its consolidated financial statements.</w:t>
      </w:r>
    </w:p>
    <w:p>
      <w:pPr>
        <w:spacing w:after="0" w:line="216"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In November 2016, the FASB issued amended guidance for the presentation of restricted cash in the statement of cash flows. The guidance requires that restricted cash and restricted cash equivalents be included with cash and cash equivalents when reconciling the beginning-of-period and end-of-period total amounts shown on the statement of cash flows. In addition, when cash, cash equivalents, and restricted cash or restricted cash equivalents are presented in more than one line item within the statement of financial position, the line items and amounts must be presented on the face of the statement of cash flows or disclosed in the notes to the financial statements. Information about the nature of restrictions on an entity’s cash and cash equivalents must also be disclosed. The guidance, which applies only to the consolidated statement of cash flows, is effective for annual periods and interim periods within those annual periods beginning after December 15, 2017, using a retrospective transition method.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August 2016, the FASB issued amended guidance for how certain cash receipts and cash payments are presented and classified in the statement of cash flows. The guidance addresses the following eight specific cash flow issues: (1) cash payments for debt extinguishment costs should be classified as cash outflows for financing activities; (2) for zero-coupon debt instruments, the portion of the cash payment attributable to the accreted interest should be classified as a cash outflow for operating activities; (3) contingent consideration payments made after a business combination should be classified based on the timing of the payment; (4) cash proceeds received from the settlement of insurance claims should be classified on the basis of the related insurance coverage; (5) cash proceeds received from the settlement of corporate-owned and bank-owned life insurance policies should be classified as cash inflows from investing activities; (6) when the equity method is applied, an accounting policy election should be made to classify distributions received using either the cumulative earnings approach or the nature of the distribution approach; (7) cash receipts from payments on a transferor’s beneficial interests obtained in a securitization of financial assets should be classified as cash inflows from investing activities; and (8) the classification of cash receipts and payments that have aspects of more than one class of cash flows should be determined by applying specific guidance in GAAP. The guidance, which only impacts the presentation of the consolidated statement of cash flows, is effective for annual periods and interim periods within those annual periods beginning after December 15, 2017.</w:t>
      </w:r>
    </w:p>
    <w:p>
      <w:pPr>
        <w:spacing w:after="0" w:line="304"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9"/>
          <w:szCs w:val="19"/>
          <w:color w:val="auto"/>
        </w:rPr>
        <w:t>In June 2016, the FASB issued amended guidance for the measurement of credit losses on certain financial assets. The amended guidance requires financial assets measured at amortized cost to be presented at the net amount expected to be collected. The allowance for credit losses will represent a valuation account that is deducted from the amortized cost basis of the financial assets to present their net carrying value at the amount expected to be collected. The income statement will reflect the measurement of credit losses for newly recognized financial assets as well as expected increases or decreases of expected credit losses that have taken place during the period. When determining the allowance, expected credit losses over the contractual term of the financial asset(s) (taking into account prepayments) will be estimated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through the income statement as an expense adjustment. In addition, the amended guidance requires credit losses relating to available-for-sale debt securities to be recorded through an allowance for credit losses. The calculation of credit losses for available-for-sale securities will be similar to how it is determined under existing guidance. The guidance is effective for annual periods and interim periods within those annual periods beginning after</w:t>
      </w:r>
    </w:p>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December 15, 2019. The Company is assessing the new guidance to determine what modifications to existing credit estimation processes may be required. The Company expects that the new guidance will result in an increase in its allowance for credit losses as a result of considering credit losses over the expected life of its loan portfolios. Increases in the level of the allowance for credit losses will also reflect new requirements to include the nonaccretable principal difference on purchased credit impaired loans and estimated credit losses on investment securities classified as held-to-maturity, if any. The Company is still evaluating the extent of the increase to the allowance for credit losses and the impact to its financial statements.</w:t>
      </w:r>
    </w:p>
    <w:p>
      <w:pPr>
        <w:spacing w:after="0" w:line="314"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In February 2016, the FASB issued guidance related to the accounting for leases. The core principle of the guidance is that all leases create an asset and a liability for the lessee and, therefore, lease assets and lease liabilities should be recognized in the balance sheet. Lease assets will be recognized as a right-of-use asset and lease liabilities will be recognized as a liability to make lease payments. While the guidance requires all leases to be recognized in the balance sheet, there continues to be a differentiation between finance leases and operating leases for purposes of income statement recognition and cash flow statement presentation. For finance leases, interest on the lease liability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and amortization of the right-of-use asset will be recognized separately in the statement of income. Repayments of principal on those lease liabilities will be classified within financing activities and payments of interest on the lease liability will be classified within operating activities in the statement of cash flows. For operating leases, a single lease cost is recognized in the statement of income and allocated over the lease term, generally on a straight-line basis. All cash payments are presented within operating activities in the statement of cash flows. The accounting applied by lessors is largely unchanged from existing GAAP, however, the guidance eliminates the accounting model for leveraged leases for leases that commence after the effective date of the guidance. The guidance is effective for annual periods beginning after December 15, 2018, including interim periods within those fiscal years. The Company occupies certain banking offices and uses certain equipment under noncancelable operating lease agreements, which currently are not reflected in its consolidated balance sheet. Upon adoption of the guidance, the Company expects to report increased assets and increased liabilities as a result of recognizing right-of-use assets and lease liabilities on its consolidated balance sheet. The Company was committed to $467 million of minimum lease payments under noncancelable operating lease agreements at December 31, 2016. The Company does not expect the new guidance will have a material impact to its consolidated statement of income.</w:t>
      </w:r>
    </w:p>
    <w:p>
      <w:pPr>
        <w:spacing w:after="0" w:line="308"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In January 2016, the FASB issued amended guidance related to recognition and measurement of financial assets and liabilities. The amended guidance requires that equity investments (excluding those accounted for under the equity method of accounting or those that result in consolidation of the investee) be measured at fair value with changes in fair value recognized in net income. An entity can elect to measure equity investments that do not have readily determinable fair values at cost less impairment, plus or minus changes resulting from observable price changes in orderly transactions for the identical or similar investment of the same issuer. The impairment assessment of equity investments without readily determinable fair values is simplified by requiring a qualitative assessment to identify impairment. When a qualitative assessment indicates impairment exists, an entity is required to measure the investment at fair value. The guidance eliminates the requirement for public business entities to disclose the method and significant assumptions used to estimate the fair value that is required to be disclosed for financial instruments measured at amortized cost on the balance sheet. Further, the guidance requires public entities to use the exit price when measuring the fair value of financial instruments for disclosure purposes. The guidance also requires an entity to present separately in other comprehensive income, a change in the instrument-specific credit risk when the entity has elected to measure a liability at fair value in accordance with the fair value option. Separate presentation of financial assets and liabilities by measurement category and type of instrument on the balance sheet or accompanying notes to the financial statements is required. The guidance also clarifies that an entity should evaluate the need for a valuation allowance on a deferred tax asset related to available-for-sale securities in combination with the entity’s other deferred tax assets. This guidance is effective for annual periods and interim periods within those annual periods beginning after December 15, 2017. The Company does hold certain equity securities in its available-for-sale portfolio. Upon adoption of this guidance, fair value changes in such equity securities will be recognized in the consolidated statement of income as opposed to accumulated other comprehensive income where they are recognized under current accounting guidance. Although those securities have historically fluctuated in value, how those securities could change in value in the future is not predictable.</w:t>
      </w:r>
    </w:p>
    <w:p>
      <w:pPr>
        <w:spacing w:after="0" w:line="315"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In May 2014, the FASB issued amended accounting and disclosure guidance for revenue from contracts with customers. The core principle of the accounting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 The guidance also specifies the accounting for some costs to obtain or fulfill a contract with a customer. The amended disclosure guidance requires sufficient information to enable users of financial statements to understand the nature, amount,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timing, and uncertainty of revenue and cash flows arising from contracts with customers. The amended guidance is effective for annual reporting periods beginning after December 15, 2017, including interim periods within that reporting period. The guidance should be applied either retrospectively to each prior reporting period presented or retrospectively with the cumulative effect of initially applying this guidance recognized at the date of initial application (the “modified retrospective approach”). The Company expects to adopt the revenue recognition guidance in the first quarter of 2018. A significant amount of the Company’s revenues are derived from net interest income on financial assets and liabilities, which are excluded from the scope of the amended guidance. With respect to noninterest income, the Company has identified revenue streams within the scope of the guidance and is in the final stages of its accounting analysis of the underlying contracts. The Company does not presently expect that changes in the timing of revenue recognition will be material to the amount of annual revenue recognized by the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M&amp;T Bank Corporation (“M&amp;T”) recorded net income in the third quarter of 2017 of $356 million or $2.21 of diluted earnings per common share, compared with $350 million or $2.10 of diluted earnings per common share in the similar quarter of 2016. Net income in the second quarter of 2017 totaled $381 million or $2.35 of diluted earnings per common share. Basic earnings per common share were $2.22 in the recent quarter, compared with $2.10 and $2.36 in the third quarter of 2016 and the second quarter of 2017, respectively. For the first nine months of 2017, net income was $1.09 billion or $6.69 of diluted earnings per common share, compared with $985 million or $5.80 of diluted earnings per common share in the corresponding 2016 period. Basic earnings per common share were $6.71 for the first nine months of 2017, compared with $5.82 for the initial nine months of 2016.</w:t>
      </w:r>
    </w:p>
    <w:p>
      <w:pPr>
        <w:spacing w:after="0" w:line="57"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The annualized rate of return on average total assets for M&amp;T and its consolidated subsidiaries (“the Company”) in the third quarter of 2017 was 1.18%, compared with 1.12% in the year-earlier quarter and 1.27% in the second quarter of 2017. The annualized rate of return on average common shareholders’ equity was 8.89% in the recently completed quarter, compared with 8.68% and 9.67% in the third quarter of 2016 and the second 2017 quarter, respectively. During the nine-month period ended September 30, 2017, the annualized rates of return on average assets and average common shareholders’ equity were 1.20% and 9.15%, respectively, compared with 1.06% and 8.17%, respectively, in the similar period of 2016.</w:t>
      </w:r>
    </w:p>
    <w:p>
      <w:pPr>
        <w:spacing w:after="0" w:line="72"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On October 9, 2017, Wilmington Trust Corporation, a wholly owned subsidiary of M&amp;T, reached an agreement with the U.S. Attorney’s Office for the District of Delaware related to alleged conduct that took place between 2009 and 2010 prior to the acquisition of Wilmington Trust Corporation by M&amp;T. Under terms of the agreement, Wilmington Trust Corporation was required to pay $60 million and settled the government’s claims. The settlement amount included $16 million previously paid to the U.S. Securities and Exchange Commission in a related action. The result was a payment of $44 million that is not deductible for income tax purposes. Wilmington Trust Corporation did not admit any liability.</w:t>
      </w:r>
    </w:p>
    <w:p>
      <w:pPr>
        <w:spacing w:after="0" w:line="8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As of September 30, 2017, the Company increased the reserve for legal matters by $50 million. That increase, coupled with the non-deductible nature of the $44 million payment, reduced net income by $48 million, or $.31 of diluted earnings per common share, in the third quarter of 2017.</w:t>
      </w:r>
    </w:p>
    <w:p>
      <w:pPr>
        <w:spacing w:after="0" w:line="74"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During the first quarter of 2017, M&amp;T adopted new accounting guidance for share-based transactions. That guidance requires that all excess tax benefits and tax deficiencies associated with share-based compensation be recognized in income tax expense in the income statement. Previously, tax effects resulting from changes in M&amp;T’s share price subsequent to the grant date were recorded through shareholders’ equity at the time of vesting or exercise. The adoption of the amended accounting guidance resulted in an $18 million reduction of income tax expense or $.12 of diluted earnings per common share in the initial 2017 quarter. The impact of that change in accounting on income tax expense was not significant in the second and third quarters of 2017.</w:t>
      </w:r>
    </w:p>
    <w:p>
      <w:pPr>
        <w:spacing w:after="0" w:line="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During the third quarter of 2016, the Company sold substantially all of its collateralized debt obligations with an amortized cost of $28 million held in the available-for-sale investment securities portfolio, resulting in an after-tax gain of $17 million ($28 million pre-tax), or $.11 per diluted common share. Those securities, which had been obtained in previous acquisitions, were sold in response to the provisions of the Dodd-Frank Wall Street Reform and Consumer Protection Act (“Dodd-Frank Act”) commonly referred to as the “Volcker Rule.” There were no significant gains or losses on investment securities during the second or third quarters of 2017.</w:t>
      </w:r>
    </w:p>
    <w:p>
      <w:pPr>
        <w:spacing w:after="0" w:line="54"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On June 28, 2017, M&amp;T announced that the Federal Reserve did not object to M&amp;T’s proposed 2017 Capital Plan. That capital plan includes the repurchase of up to $900 million of common shares during the four-quarter period starting on July 1, 2017, an increase in the quarterly common stock dividend in the second quarter of 2018 of up to $.05 per share to $.80 per share, and the issuance of subordinated capital notes in the third quarter of 2017 of $500 million. M&amp;T may continue to pay dividends and interest on equity and debt instruments included in regulatory capital, including preferred stock, trust preferred securities and subordinated debt that were outstanding at December 31, 2016, consistent with the contractual terms of those instruments. Dividends are subject to declaration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3" w:name="page54"/>
    <w:bookmarkEnd w:id="53"/>
    <w:p>
      <w:pPr>
        <w:jc w:val="both"/>
        <w:spacing w:after="0" w:line="244" w:lineRule="auto"/>
        <w:rPr>
          <w:sz w:val="20"/>
          <w:szCs w:val="20"/>
          <w:color w:val="auto"/>
        </w:rPr>
      </w:pPr>
      <w:r>
        <w:rPr>
          <w:rFonts w:ascii="Arial" w:cs="Arial" w:eastAsia="Arial" w:hAnsi="Arial"/>
          <w:sz w:val="21"/>
          <w:szCs w:val="21"/>
          <w:color w:val="auto"/>
        </w:rPr>
        <w:t>by M&amp;T’s Board of Directors. In July 2017, M&amp;T’s Board of Directors authorized a new stock repurchase program to repurchase up to $900 million of shares of M&amp;T’s common stock subject to all applicable regulatory limitations, including those set forth in M&amp;T’s 2017 Capital Plan. In accordance with M&amp;T’s 2017 Capital Plan, during the third quarter of 2017, M&amp;T repurchased 1,382,746 shares of its common stock at a cost of $225 million and issued $500 million of subordinated capital notes. In accordance with M&amp;T’s revised 2016 Capital Plan, during the second quarter of 2017, M&amp;T repurchased 1,409,807 shares of its common stock at a total cost of $225 million and in the first quarter of 2017, M&amp;T repurchased 3,233,196 shares of its common stock at a cost of $532 million and increased the quarterly common stock dividend from $.70 to $.75 per share. In the aggregate, M&amp;T repurchased 6,025,749 shares of its common stock at a cost of $982 million during the first three quarters of 2017 and 5,307,595 shares for $604 million during the first three quarters of 2016.</w:t>
      </w:r>
    </w:p>
    <w:p>
      <w:pPr>
        <w:spacing w:after="0" w:line="86"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20"/>
          <w:szCs w:val="20"/>
          <w:color w:val="auto"/>
        </w:rPr>
        <w:t>On July 25, 2017, the Federal Reserve Bank of New York terminated its written agreement with M&amp;T and its principal bank subsidiary, M&amp;T Bank, that had been entered into in June 2013. Under the terms of that agreement, M&amp;T and M&amp;T Bank implemented an enhanced compliance risk management program designed to ensure compliance with the Bank Secrecy Act and anti-money-laundering laws and regulations (“BSA/AML”) and took other steps to enhance their compliance practices.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Those merger-related expenses generally consist of professional services and other temporary help fees associated with the actual or planned conversion of systems and/or integration of operations; costs related to branch and office consolidations; costs related to termination of existing contractual arrangements to purchase various services; initial marketing and promotion expenses designed to introduce the Company to its new customers; severance; incentive compensation costs; travel costs; and printing, supplies and other costs of completing the transactions and commencing operations in new markets and offices. Merger-related expenses associated with the 2015 acquisition of Hudson City Bancorp, Inc. (“Hudson City”) were $36 million ($22 million after-tax effect) in the first nine months of 2016 ($.14 per diluted common share). There were no merger-related expenses during the third quarter of 2016 or in the first nine months of 2017. Although “net operating income” as defined by M&amp;T is not a GAAP measure, M&amp;T’s management believes that this information helps investors understand the effect of acquisition activity in reported results.</w:t>
      </w:r>
    </w:p>
    <w:p>
      <w:pPr>
        <w:spacing w:after="0" w:line="19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Net operating income was $361 million in the third quarter of 2017, compared with $356 million in the year-earlier quarter. Diluted net operating earnings per common share for the recent quarter were $2.24, compared with $2.13 in the third quarter of 2016. Net operating income and diluted net operating earnings per common share were $386 million and $2.38, respectively, in the second quarter of 2017. For the first nine months of 2017, net operating income and diluted net operating earnings per common share were $1.10 billion and $6.78, respectively, compared with $1.03 billion and $6.07, respectively, in the corresponding 2016 period.</w:t>
      </w:r>
    </w:p>
    <w:p>
      <w:pPr>
        <w:spacing w:after="0" w:line="189"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Net operating income in the recent quarter expressed as an annualized rate of return on average tangible assets was 1.25%, compared with 1.18% in the year-earlier quarter and 1.33% in the second quarter of 2017. Net operating income represented an annualized return on average tangible common equity of 13.03% in 2017’s third quarter, compared with 12.77% in the similar quarter of 2016 and 14.18% in 2017’s second quarter. For the first nine months of 2017, net operating income represented an annualized return on average tangible assets and average tangible common shareholders’ equity of 1.26% and 13.42%, respectively, compared with 1.15% and 12.36%, respectively, in the first nine months of 2016.</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4" w:name="page55"/>
    <w:bookmarkEnd w:id="54"/>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Taxable-equivalent net interest income was $966 million in the third quarter of 2017, 12% higher than $865 million in the year-earlier quarter. That growth resulted primarily from a widening of the net interest margin, or taxable-equivalent net interest income expressed as an annualized percentage of average earning assets, to 3.53% in the recent quarter from 3.05% in the corresponding 2016 period. The improvement in the net interest margin was largely the result of the higher interest rate environment due to actions initiated by the Federal Reserve in mid-December 2016, mid-March 2017 and mid-June 2017 to raise its target Federal funds rate by .25% at each of those dates. Taxable-equivalent net interest income in the recent quarter increased from $947 million in the second 2017 quarter, predominantly due to an 8 basis point (hundredths of one percent) widening of the net interest margin from 3.45% in the second quarter of 2017. That widening reflected the impact in the recent quarter of the June interest rate increase initiated by the Federal Reserve.</w:t>
      </w:r>
    </w:p>
    <w:p>
      <w:pPr>
        <w:spacing w:after="0" w:line="165"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For the first three quarters of 2017, taxable-equivalent net interest income was $2.84 billion, 8% higher than $2.61 billion in the similar period of 2016. That increase was primarily due to a 32 basis point widening of the net interest margin to 3.44% in 2017 from 3.12% in 2016. Also contributing to the higher taxable-equivalent net interest income in the 2017 period was growth in average loan balances, which increased $986 million from the first nine months of 2016.</w:t>
      </w:r>
    </w:p>
    <w:p>
      <w:pPr>
        <w:spacing w:after="0" w:line="186"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Average loans and leases totaled $88.4 billion in the recent quarter, compared with $88.7 billion in the third quarter of 2016. Commercial loans and leases averaged $21.7 billion in the third quarter of 2017, $254 million or 1% above $21.5 billion in the year-earlier quarter. Average commercial real estate loans were $33.3 billion in the recent quarter, up $2.0 billion, or 6%, from $31.3 billion in the third quarter of 2016. Reflecting ongoing repayments of loans obtained in the acquisition of Hudson City, average residential real estate loans declined $3.5 billion, or 14%, to $20.6 billion in the third quarter of 2017 from $24.1 billion in the year-earlier quarter. Included in average residential real estate loans were loans held for sale, which averaged $346 million in the recent quarter and $374 million in the corresponding 2016 quarter. Consumer loans averaged $12.8 billion in the third quarter of 2017, an increase of $844 million, or 7%, from $11.9 billion in the year-earlier quarter, predominantly due to growth in average automobile and recreational vehicle loans, partially offset by lower outstanding balances of home equity lines of credit.</w:t>
      </w:r>
    </w:p>
    <w:p>
      <w:pPr>
        <w:spacing w:after="0" w:line="179"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Average loan and lease balances in the third quarter of 2017 declined $882 million from $89.3 billion in the second quarter of 2017. As compared with 2017’s second quarter, average commercial loan and lease balances decreased $616 million, or 3%, in the recent quarter and average residential real estate loans in the third quarter of 2017 declined $710 million, or 3%, reflecting the continued pay down of loans obtained in the acquisition of Hudson City, while commercial real estate loan average balances increased $43 million, or less than 1%, and average consumer loans increased $400 million, or 3%. The accompanying table summarizes quarterly changes in the major components of the loan and lease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11" w:right="2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Percent Increase</w:t>
      </w:r>
    </w:p>
    <w:p>
      <w:pPr>
        <w:spacing w:after="0" w:line="13"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(Decrease) from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3rd Qtr.</w:t>
            </w:r>
          </w:p>
        </w:tc>
        <w:tc>
          <w:tcPr>
            <w:tcW w:w="640" w:type="dxa"/>
            <w:vAlign w:val="bottom"/>
            <w:gridSpan w:val="2"/>
          </w:tcPr>
          <w:p>
            <w:pPr>
              <w:jc w:val="right"/>
              <w:ind w:right="50"/>
              <w:spacing w:after="0"/>
              <w:rPr>
                <w:sz w:val="20"/>
                <w:szCs w:val="20"/>
                <w:color w:val="auto"/>
              </w:rPr>
            </w:pPr>
            <w:r>
              <w:rPr>
                <w:rFonts w:ascii="Arial" w:cs="Arial" w:eastAsia="Arial" w:hAnsi="Arial"/>
                <w:sz w:val="14"/>
                <w:szCs w:val="14"/>
                <w:color w:val="auto"/>
              </w:rPr>
              <w:t>3rd Qtr.</w:t>
            </w:r>
          </w:p>
        </w:tc>
        <w:tc>
          <w:tcPr>
            <w:tcW w:w="2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w w:val="98"/>
              </w:rPr>
              <w:t>2nd Qtr.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2017</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33,257</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20,609</w:t>
            </w:r>
          </w:p>
        </w:tc>
        <w:tc>
          <w:tcPr>
            <w:tcW w:w="2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5,413</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consumer</w:t>
            </w:r>
          </w:p>
        </w:tc>
        <w:tc>
          <w:tcPr>
            <w:tcW w:w="19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For the first nine months of 2017, average loans and leases totaled $89.1 billion, up $986 million, or 1%, from $88.2 billion in the corresponding period of 2016. Growth in commercial real estate loans, commercial loans and leases and consumer loans were partially offset by a decline in residential real estate loans.</w:t>
      </w:r>
    </w:p>
    <w:p>
      <w:pPr>
        <w:spacing w:after="0" w:line="209"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investment securities portfolio averaged $15.4 billion in the recent quarter, up $1.1 billion, or 8%, from $14.4 billion in the year-earlier quarter, but $470 million lower than the $15.9 billion averaged in the second quarter of 2017. For the first nine months of 2017 and 2016, investment securities averaged $15.8 billion and $14.9 billion, respectively. Those changes reflect the net effect of purchases, offset by maturities and pay downs of mortgage-backed securities. During the second quarter of 2017, the Company purchased $658 million of mortgage-backed securities, predominantly Ginnie Mae securities, and $214 million of U.S. Treasury notes. The Company sold $512 million of available-for-sale Fannie Mae and Freddie Mac mortgage-backed securities during 2017’s second quarter largely due to the limitations on the amount of Fannie Mae and Freddie Mac mortgage-backed securities that are permitted to be included in the highest tier of “high quality liquid assets” for the Liquidity Coverage Ratio (“LCR”) calculation. During the third quarter of 2016, the Company sold substantially all of its collateralized debt obligations that were held in the available-for-sale investment securities portfolio for a gain of approximately $28 million. Those securities were sold in large part in response to the provisions of the Volcker Rule. During the third quarter of 2017, there were no significant purchases or sales of investment securities. 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requirements of the LCR that became effective in January 2016. The LCR is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2016 under the heading “Liquidity.”</w:t>
      </w:r>
    </w:p>
    <w:p>
      <w:pPr>
        <w:spacing w:after="0" w:line="20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In addition to the sales noted above,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demand for loans, which generally yield more than investment securities, ongoing repayments, the levels of deposits, and management of liquidity (including the LCR) and balance sheet size and resulting capital ratios.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6" w:name="page57"/>
    <w:bookmarkEnd w:id="56"/>
    <w:p>
      <w:pPr>
        <w:jc w:val="both"/>
        <w:ind w:right="20" w:firstLine="518"/>
        <w:spacing w:after="0" w:line="249" w:lineRule="auto"/>
        <w:rPr>
          <w:sz w:val="20"/>
          <w:szCs w:val="20"/>
          <w:color w:val="auto"/>
        </w:rPr>
      </w:pPr>
      <w:r>
        <w:rPr>
          <w:rFonts w:ascii="Arial" w:cs="Arial" w:eastAsia="Arial" w:hAnsi="Arial"/>
          <w:sz w:val="21"/>
          <w:szCs w:val="21"/>
          <w:color w:val="auto"/>
        </w:rPr>
        <w:t>The Company regularly reviews its investment securities for declines in value below amortized cost that might be characterized as “other than temporary.” There were no other-than-temporary impairment charges recognized in either of the nine-month periods ended September 30, 2017 or 2016. Additional information about the investment securities portfolio is included in notes 3 and 12 of Notes to Financial Statements.</w:t>
      </w:r>
    </w:p>
    <w:p>
      <w:pPr>
        <w:spacing w:after="0" w:line="213"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9"/>
          <w:szCs w:val="19"/>
          <w:color w:val="auto"/>
        </w:rPr>
        <w:t>Other earning assets include interest-bearing deposits at the Federal Reserve Bank of New York and other banks, trading account assets and federal funds sold. Those other earning assets in the aggregate averaged $4.8 billion in the two most recent quarters, compared with $9.8 billion in the third quarter of 2016. Interest-bearing deposits at banks averaged $4.7 billion during each of the quarters ended September 30, 2017 and June 30, 2017 and $9.7 billion in the quarter ended September 30, 2016. For the nine-month periods ended September 30, 2017 and 2016, average balances of interest-bearing deposits at banks were $5.2 billion and $8.9 billion,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166" w:lineRule="exact"/>
        <w:rPr>
          <w:sz w:val="20"/>
          <w:szCs w:val="20"/>
          <w:color w:val="auto"/>
        </w:rPr>
      </w:pPr>
    </w:p>
    <w:p>
      <w:pPr>
        <w:jc w:val="both"/>
        <w:ind w:right="20" w:firstLine="518"/>
        <w:spacing w:after="0" w:line="271" w:lineRule="auto"/>
        <w:rPr>
          <w:sz w:val="20"/>
          <w:szCs w:val="20"/>
          <w:color w:val="auto"/>
        </w:rPr>
      </w:pPr>
      <w:r>
        <w:rPr>
          <w:rFonts w:ascii="Arial" w:cs="Arial" w:eastAsia="Arial" w:hAnsi="Arial"/>
          <w:sz w:val="20"/>
          <w:szCs w:val="20"/>
          <w:color w:val="auto"/>
        </w:rPr>
        <w:t>As a result of the changes described herein, average earning assets totaled $108.6 billion in the most recent quarter, compared with $112.9 billion in the year-earlier quarter and $110.0 billion in the second quarter of 2017. Average earning assets aggregated $110.2 billion and $112.0 billion during the nine-month periods ended September 30, 2017 and 2016, respectively.</w:t>
      </w:r>
    </w:p>
    <w:p>
      <w:pPr>
        <w:spacing w:after="0" w:line="166"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9"/>
          <w:szCs w:val="19"/>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$91.0 billion in the third quarter of 2017, compared with $93.2 billion in the year-earlier quarter and $92.0 billion in the second quarter of 2017. The decline in average core deposits in the third quarter of 2017 as compared with the year-earlier quarter reflected a $4.1 billion, or 37%, decrease in time deposits, predominantly related to maturities of relatively high-rate deposits obtained in the acquisition of Hudson City, partially offset by growth in noninterest-bearing deposits, in part reflecting balances associated with trust customers. As compared with 2017’s second quarter, the most significant factor for the decrease in average core deposits in the recent quarter was the continued decline of average time deposits, largely associated with deposits obtained in the Hudson City acquisition. The following table provides an analysis of quarterly changes in the components of average core deposits.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93" w:lineRule="exact"/>
        <w:rPr>
          <w:sz w:val="20"/>
          <w:szCs w:val="20"/>
          <w:color w:val="auto"/>
        </w:rPr>
      </w:pPr>
    </w:p>
    <w:p>
      <w:pPr>
        <w:ind w:left="7620"/>
        <w:spacing w:after="0"/>
        <w:rPr>
          <w:sz w:val="20"/>
          <w:szCs w:val="20"/>
          <w:color w:val="auto"/>
        </w:rPr>
      </w:pPr>
      <w:r>
        <w:rPr>
          <w:rFonts w:ascii="Arial" w:cs="Arial" w:eastAsia="Arial" w:hAnsi="Arial"/>
          <w:sz w:val="14"/>
          <w:szCs w:val="14"/>
          <w:color w:val="auto"/>
        </w:rPr>
        <w:t>Percent Increase</w:t>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4"/>
          <w:szCs w:val="14"/>
          <w:color w:val="auto"/>
        </w:rPr>
        <w:t>(Decrease) from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3rd Qtr.</w:t>
            </w:r>
          </w:p>
        </w:tc>
        <w:tc>
          <w:tcPr>
            <w:tcW w:w="540" w:type="dxa"/>
            <w:vAlign w:val="bottom"/>
          </w:tcPr>
          <w:p>
            <w:pPr>
              <w:jc w:val="right"/>
              <w:spacing w:after="0"/>
              <w:rPr>
                <w:sz w:val="20"/>
                <w:szCs w:val="20"/>
                <w:color w:val="auto"/>
              </w:rPr>
            </w:pPr>
            <w:r>
              <w:rPr>
                <w:rFonts w:ascii="Arial" w:cs="Arial" w:eastAsia="Arial" w:hAnsi="Arial"/>
                <w:sz w:val="14"/>
                <w:szCs w:val="14"/>
                <w:color w:val="auto"/>
                <w:w w:val="96"/>
              </w:rPr>
              <w:t>3rd Qtr.</w:t>
            </w:r>
          </w:p>
        </w:tc>
        <w:tc>
          <w:tcPr>
            <w:tcW w:w="3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w w:val="98"/>
              </w:rPr>
              <w:t>2nd Qtr.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89"/>
              </w:rPr>
              <w:t>2017</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 %</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Time deposits</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6,897</w:t>
            </w:r>
          </w:p>
        </w:tc>
        <w:tc>
          <w:tcPr>
            <w:tcW w:w="300" w:type="dxa"/>
            <w:vAlign w:val="bottom"/>
          </w:tcPr>
          <w:p>
            <w:pPr>
              <w:spacing w:after="0"/>
              <w:rPr>
                <w:sz w:val="19"/>
                <w:szCs w:val="19"/>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20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32,005</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90,958</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40" w:type="dxa"/>
            <w:vAlign w:val="bottom"/>
            <w:vMerge w:val="restart"/>
          </w:tcPr>
          <w:p>
            <w:pPr>
              <w:jc w:val="right"/>
              <w:ind w:right="210"/>
              <w:spacing w:after="0"/>
              <w:rPr>
                <w:sz w:val="20"/>
                <w:szCs w:val="20"/>
                <w:color w:val="auto"/>
              </w:rPr>
            </w:pPr>
            <w:r>
              <w:rPr>
                <w:rFonts w:ascii="Arial" w:cs="Arial" w:eastAsia="Arial" w:hAnsi="Arial"/>
                <w:sz w:val="18"/>
                <w:szCs w:val="18"/>
                <w:color w:val="auto"/>
              </w:rPr>
              <w:t>- 57 -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57" w:name="page58"/>
    <w:bookmarkEnd w:id="57"/>
    <w:p>
      <w:pPr>
        <w:jc w:val="both"/>
        <w:ind w:firstLine="518"/>
        <w:spacing w:after="0" w:line="271"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$717 million in the recent quarter, compared with $1.3 billion in the third quarter of 2016 and $808 million in the second 2017 quarter. Cayman Islands office deposits averaged $169 million, $220 million and $163 million for the quarters ended September 30, 2017, September 30, 2016 and June 30, 2017, respectively. Brokered time deposits averaged $59 million in each of the quarters ended September 30, 2017, September 30, 2016 and June 30, 2017. The Company also had brokered savings and interest-bearing transaction accounts, which in the aggregate averaged $1.2 billion, $1.0 billion and $1.1 billion during the third quarter of 2017, the corresponding 2016 quarter and the second quarter of 2017, respectively. The levels of brokered deposit accounts reflect the demand for such deposits, largely resulting from the desire of brokerage firms to earn reasonable yields while ensuring that customer deposits are fully insured. The level of Cayman Islands office deposits is also reflective of customer demand.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less than one year. Average short-term borrowings totaled $244 million in the recent quarter, compared with $231 million in the third quarter of 2016 and $212 million in the second quarter of 2017. Included in short-term borrowings were unsecured federal funds borrowings, which generally mature on the next business day, that averaged $139 million and $160 million in the third quarters of 2017 and 2016, respectively, and $141 million in the second quarter of 2017.</w:t>
      </w:r>
    </w:p>
    <w:p>
      <w:pPr>
        <w:spacing w:after="0" w:line="1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Long-term borrowings averaged $8.0 billion in the recent quarter, compared with $10.3 billion in the year-earlier quarter and $8.3 billion in the second quarter of 2017. M&amp;T Bank has a Bank Note Program whereby M&amp;T Bank may offer unsecured senior and subordinated notes. Average balances of senior notes outstanding under that program were $4.7 billion, $5.2 billion and $4.8 billion during the three-month periods ended September 30, 2017, September 30, 2016 and June 30, 2017, respectively. During August 2017, M&amp;T Bank issued $750 million of 2.05% fixed rate senior notes that mature in 2020. During May 2017, M&amp;T Bank issued $650 million of fixed rate and $250 million of variable rate senior notes that mature in 2022. During June 2017, M&amp;T Bank redeemed $750 million of 1.40% fixed rate senior notes. The notes had a maturity date of July 25, 2017 and were redeemable on or after the 30th day prior to the maturity date. Outstanding balances of the senior unsecured notes were $5.0 billion at September 30, 2017 and $5.2 billion at December 31, 2016. Also included in average long-term borrowings were amounts borrowed from the Federal Home Loan Banks of New York, Atlanta and Pittsburgh of $580 million in the recent quarter, compared with $1.2 billion and $1.0 billion in the third quarter of 2016 and the second quarter of 2017, respectively. Subordinated capital notes included in long-term borrowings averaged $1.8 billion in the recent quarter and $1.5 billion during each of the quarters ended September 30, 2016 and June 30, 2017. During August 2017, M&amp;T Bank issued $500 million of 3.40% fixed rate subordinated capital notes that mature in 2027 in accordance with M&amp;T’s 2017 Capital Plan. Junior subordinated debentures associated with trust preferred securities that were included in average long-term borrowings totaled $518 million in each of the two most recent quarters, compared with $516 million in the third quarter of 2016. Additional information regarding junior subordinated debentures is provided in note 5 of Notes to Financial Statements. Also included in long-term borrowings were agreements to repurchase securities, which averaged $427 million in the recently completed quarter, compared with $1.9 billion in the year-earlier quarter and $430 million in the second quarter of 2017. The lower average balances of repurchase agreements in the 2017 periods as compared with the third quarter of 2016 reflect maturities. The repurchase agreements held at September 30, 2017 totaled $425 million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September 30, 2017, interest rate swap agreements were used to hedge approximately $5.0 billion of outstanding fixed rate long-term borrowings. During the third quarter of 2017, the Company entered into $1.3 billion of interest rate swap agreements to hedge the senior notes and subordinated capital notes issued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58" w:name="page59"/>
    <w:bookmarkEnd w:id="58"/>
    <w:p>
      <w:pPr>
        <w:jc w:val="both"/>
        <w:spacing w:after="0" w:line="271" w:lineRule="auto"/>
        <w:rPr>
          <w:sz w:val="20"/>
          <w:szCs w:val="20"/>
          <w:color w:val="auto"/>
        </w:rPr>
      </w:pPr>
      <w:r>
        <w:rPr>
          <w:rFonts w:ascii="Arial" w:cs="Arial" w:eastAsia="Arial" w:hAnsi="Arial"/>
          <w:sz w:val="20"/>
          <w:szCs w:val="20"/>
          <w:color w:val="auto"/>
        </w:rPr>
        <w:t>August 2017. In the second quarter of 2017, the Company entered into $2.8 billion of interest aforementioned senior notes issued during that quarter and certain existing fixed rate borrowings. swap agreements is provided in note 10 of Notes to Financial Statements.</w:t>
      </w:r>
    </w:p>
    <w:p>
      <w:pPr>
        <w:spacing w:after="0" w:line="20" w:lineRule="exact"/>
        <w:rPr>
          <w:sz w:val="20"/>
          <w:szCs w:val="20"/>
          <w:color w:val="auto"/>
        </w:rPr>
      </w:pPr>
      <w:r>
        <w:rPr>
          <w:sz w:val="20"/>
          <w:szCs w:val="20"/>
          <w:color w:val="auto"/>
        </w:rPr>
        <w:br w:type="column"/>
      </w:r>
    </w:p>
    <w:p>
      <w:pPr>
        <w:ind w:hanging="31"/>
        <w:spacing w:after="0" w:line="317" w:lineRule="auto"/>
        <w:rPr>
          <w:sz w:val="20"/>
          <w:szCs w:val="20"/>
          <w:color w:val="auto"/>
        </w:rPr>
      </w:pPr>
      <w:r>
        <w:rPr>
          <w:rFonts w:ascii="Arial" w:cs="Arial" w:eastAsia="Arial" w:hAnsi="Arial"/>
          <w:sz w:val="19"/>
          <w:szCs w:val="19"/>
          <w:color w:val="auto"/>
        </w:rPr>
        <w:t>rate swap agreements to hedge the Further information on interest rate</w:t>
      </w:r>
    </w:p>
    <w:p>
      <w:pPr>
        <w:spacing w:after="0" w:line="367" w:lineRule="exact"/>
        <w:rPr>
          <w:sz w:val="20"/>
          <w:szCs w:val="20"/>
          <w:color w:val="auto"/>
        </w:rPr>
      </w:pPr>
    </w:p>
    <w:p>
      <w:pPr>
        <w:sectPr>
          <w:pgSz w:w="11900" w:h="16838" w:orient="portrait"/>
          <w:cols w:equalWidth="0" w:num="2">
            <w:col w:w="8300" w:space="120"/>
            <w:col w:w="3000"/>
          </w:cols>
          <w:pgMar w:left="240" w:top="558" w:right="239" w:bottom="1440" w:gutter="0" w:footer="0" w:header="0"/>
        </w:sectPr>
      </w:pPr>
    </w:p>
    <w:p>
      <w:pPr>
        <w:jc w:val="both"/>
        <w:ind w:firstLine="518"/>
        <w:spacing w:after="0" w:line="271" w:lineRule="auto"/>
        <w:rPr>
          <w:sz w:val="20"/>
          <w:szCs w:val="20"/>
          <w:color w:val="auto"/>
        </w:rPr>
      </w:pPr>
      <w:r>
        <w:rPr>
          <w:rFonts w:ascii="Arial" w:cs="Arial" w:eastAsia="Arial" w:hAnsi="Arial"/>
          <w:sz w:val="19"/>
          <w:szCs w:val="19"/>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3.32% in the recent quarter, compared with 2.85% in the third quarter of 2016. The yield on earning assets during the third quarter of 2017 was 3.89%, up 45 basis points from 3.44% in the year-earlier period, while the rate paid on interest-bearing liabilities decreased two basis points to .57% in the recent quarter from .59% in the similar 2016 period. In the second quarter of 2017, the net interest spread was 3.27%, the yield on earning assets was 3.79% and the rate paid on interest-bearing liabilities was .52%. For the first nine months of 2017, the net interest spread was 3.25%, up 31 basis points from the year-earlier period. The yield on earning assets and the rate paid on interest-bearing liabilities for the nine-month period ended September 30, 2017 were 3.79% and .54%, respectively, compared with 3.50% and .56%, respectively, in the corresponding 2016 period. The widening of the net interest spread in the recent quarter as compared with the third quarter of 2016 and second quarter of 2017 and in the first nine months of 2017 as compared with the corresponding nine months of 2016 was largely due to the effect of increases in short-term interest rates initiated by the Federal Reserve in mid-December 2016, mid-March 2017 and mid-June 2017 that contributed to higher yields on loans and leases.</w:t>
      </w:r>
    </w:p>
    <w:p>
      <w:pPr>
        <w:spacing w:after="0" w:line="16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$39.2 billion in the recent quarter, compared with $37.3 billion in the third quarter of 2016 and $39.1 billion in the second quarter of 2017. The increases in average net interest-free funds in the two most recent quarters as compared with the third quarter of 2016 reflect higher average balances of noninterest-bearing deposits. Those deposits averaged $32.0 billion, $30.8 billion and $31.9 billion in the quarters ended September 30, 2017, September 30, 2016 and June 30, 2017, respectively. During the first nine months of 2017 and 2016, average net interest-free funds aggregated $39.6 billion and $36.0 billion, respectively. The growth in average noninterest-bearing deposits since the third quarter of 2016 reflects, in part, higher deposits of trust customers. Shareholders’ equity averaged $16.3 billion and goodwill and core deposit and other intangible assets averaged $4.7 billion in each of the three-month periods ended September 30, 2017, September 30, 2016 and June 30, 2017. Cash surrender value of bank owned life insurance averaged $1.8 billion in the recent quarter, compared with $1.7 billion during each of the quarters ended September 30, 2016 and June 30, 2017. Increases in the cash surrender value of bank owned life insurance and benefits received are not included in interest income, but rather are recorded in “other revenues from operations.” The contribution of net interest-free funds to net interest margin was .21% in the third quarter of 2017, compared with .20% and .18% in the third quarter of 2016 and the second quarter of 2017, respectively. That contribution for the first nine months of 2017 and 2016 was .19% and .18%, respectively.</w:t>
      </w:r>
    </w:p>
    <w:p>
      <w:pPr>
        <w:spacing w:after="0" w:line="176"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interest-free funds as described herein, the Company’s net interest margin was 3.53% in the third quarter of 2017, compared with 3.05% in the corresponding 2016 period and 3.45% in the second quarter of 2017. During the first nine months of 2017 and 2016, the net interest margin was 3.44% and 3.12%,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90"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earned on assets or the rates paid on interest-bearing liabilities. The notional amount of interest rate swap agreements entered into for interest rate risk management purposes was $7.0 billion at September 30, 2017,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type w:val="continuous"/>
        </w:sectPr>
      </w:pPr>
    </w:p>
    <w:bookmarkStart w:id="59" w:name="page60"/>
    <w:bookmarkEnd w:id="59"/>
    <w:p>
      <w:pPr>
        <w:jc w:val="both"/>
        <w:spacing w:after="0" w:line="260" w:lineRule="auto"/>
        <w:rPr>
          <w:sz w:val="20"/>
          <w:szCs w:val="20"/>
          <w:color w:val="auto"/>
        </w:rPr>
      </w:pPr>
      <w:r>
        <w:rPr>
          <w:rFonts w:ascii="Arial" w:cs="Arial" w:eastAsia="Arial" w:hAnsi="Arial"/>
          <w:sz w:val="20"/>
          <w:szCs w:val="20"/>
          <w:color w:val="auto"/>
        </w:rPr>
        <w:t>compared with $1.4 billion and $900 million at September 30, 2016 and December 31, 2016, respectively. Under the terms of those interest rate swap agreements, the Company received payments based on the outstanding notional amount at fixed rates and made payments at variable rates. The $6.1 billion increase in notional amount from December 31, 2016 reflects additions of $2.0 billion of interest rate swaps designated as cash flow hedges of variable rate commercial real estate loans and $4.1 billion of interest rate swaps designated as fair value hedges of fixed rate long-term borrowings. There were no interest rate swap agreements designated as cash flow hedges at September 30, 2016 or December 31, 2016.</w:t>
      </w:r>
    </w:p>
    <w:p>
      <w:pPr>
        <w:spacing w:after="0" w:line="18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each of the quarters ended September 30, 2017, September 30, 2016 and June 30, 2017 were not material to the Company’s consolidated results of operations. The estimated aggregate net fair value of interest rate swap agreements designated as fair value hedges represented losses (without consideration of any settlement payments) of approximately $12 million at September 30, 2017, compared with gains (without consideration of any settlement payments) of $21 million at September 30, 2016, $12 million at December 31, 2016 and $2 million at June 30, 2017. The fair values of such interest rate swap agreements were substantially offset by changes in the fair values of the hedged items. The estimated fair values of the interest rate swap agreements designated as cash flow hedges were net losses (without consideration of any settlement payments) of approximately $3.4 million at September 30, 2017 and $1.5 million at June 30, 2017. Net of applicable income taxes, the amount of such losses reflected in “accumulated other comprehensive income, net” in the Company’s consolidated balance sheet were approximately $2 million and $1 million at September 30 and June 30, 2017, respectively. The changes in the fair values of the interest rate swap agreements and the hedged items primarily result from the effects of changing interest rates and spreads. The Company’s credit exposure as of September 30, 2017 with respect to the estimated fair value of interest rate swap agreements used for managing interest rate risk has been substantially mitigated through master netting arrangements with trading account interest rate contracts with the same counterparty, periodic settlements and counterparty postings of $5 million of collateral with the Company.</w:t>
      </w:r>
    </w:p>
    <w:p>
      <w:pPr>
        <w:spacing w:after="0" w:line="178"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The weighted-average rates to be received and paid under interest rate swap agreements currently in effect were 2.29% and 1.81% respectively, at September 30, 2017.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vMerge w:val="restart"/>
          </w:tcPr>
          <w:p>
            <w:pPr>
              <w:ind w:left="290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color w:val="auto"/>
                <w:w w:val="91"/>
              </w:rPr>
              <w:t>Three Months Ended September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Amount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7"/>
          </w:tcPr>
          <w:p>
            <w:pPr>
              <w:jc w:val="center"/>
              <w:ind w:right="740"/>
              <w:spacing w:after="0"/>
              <w:rPr>
                <w:sz w:val="20"/>
                <w:szCs w:val="20"/>
                <w:color w:val="auto"/>
              </w:rPr>
            </w:pPr>
            <w:r>
              <w:rPr>
                <w:rFonts w:ascii="Arial" w:cs="Arial" w:eastAsia="Arial" w:hAnsi="Arial"/>
                <w:sz w:val="14"/>
                <w:szCs w:val="14"/>
                <w:color w:val="auto"/>
                <w:w w:val="93"/>
              </w:rPr>
              <w:t>(Dollars in thousands)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8"/>
              <w:spacing w:after="0"/>
              <w:rPr>
                <w:sz w:val="20"/>
                <w:szCs w:val="20"/>
                <w:color w:val="auto"/>
              </w:rPr>
            </w:pPr>
            <w:r>
              <w:rPr>
                <w:rFonts w:ascii="Arial" w:cs="Arial" w:eastAsia="Arial" w:hAnsi="Arial"/>
                <w:sz w:val="18"/>
                <w:szCs w:val="18"/>
                <w:color w:val="auto"/>
              </w:rPr>
              <w:t>(6,059)</w:t>
            </w: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(9,462)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Average notional amount</w:t>
            </w:r>
          </w:p>
        </w:tc>
        <w:tc>
          <w:tcPr>
            <w:tcW w:w="1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6,352,174</w:t>
            </w:r>
          </w:p>
        </w:tc>
        <w:tc>
          <w:tcPr>
            <w:tcW w:w="3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52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1,400,000</w:t>
            </w:r>
          </w:p>
        </w:tc>
        <w:tc>
          <w:tcPr>
            <w:tcW w:w="4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Rate paid (b)</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76</w:t>
            </w:r>
          </w:p>
        </w:tc>
        <w:tc>
          <w:tcPr>
            <w:tcW w:w="8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68</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color w:val="auto"/>
                <w:w w:val="93"/>
              </w:rPr>
              <w:t>Nine Months Ended September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color w:val="auto"/>
              </w:rPr>
              <w:t>Amount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Rate(a)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Rate(a)</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gridSpan w:val="7"/>
          </w:tcPr>
          <w:p>
            <w:pPr>
              <w:jc w:val="center"/>
              <w:ind w:right="740"/>
              <w:spacing w:after="0"/>
              <w:rPr>
                <w:sz w:val="20"/>
                <w:szCs w:val="20"/>
                <w:color w:val="auto"/>
              </w:rPr>
            </w:pPr>
            <w:r>
              <w:rPr>
                <w:rFonts w:ascii="Arial" w:cs="Arial" w:eastAsia="Arial" w:hAnsi="Arial"/>
                <w:sz w:val="14"/>
                <w:szCs w:val="14"/>
                <w:color w:val="auto"/>
                <w:w w:val="93"/>
              </w:rPr>
              <w:t>(Dollars in thousands)</w:t>
            </w: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FF0FC"/>
          </w:tcPr>
          <w:p>
            <w:pPr>
              <w:ind w:left="15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48"/>
              <w:spacing w:after="0"/>
              <w:rPr>
                <w:sz w:val="20"/>
                <w:szCs w:val="20"/>
                <w:color w:val="auto"/>
              </w:rPr>
            </w:pPr>
            <w:r>
              <w:rPr>
                <w:rFonts w:ascii="Arial" w:cs="Arial" w:eastAsia="Arial" w:hAnsi="Arial"/>
                <w:sz w:val="18"/>
                <w:szCs w:val="18"/>
                <w:color w:val="auto"/>
              </w:rPr>
              <w:t>(15,611)</w:t>
            </w: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(29,593)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5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auto"/>
            </w:tcBorders>
            <w:shd w:val="clear" w:color="auto" w:fill="CFF0FC"/>
          </w:tcPr>
          <w:p>
            <w:pPr>
              <w:spacing w:after="0"/>
              <w:rPr>
                <w:sz w:val="19"/>
                <w:szCs w:val="19"/>
                <w:color w:val="auto"/>
              </w:rPr>
            </w:pPr>
          </w:p>
        </w:tc>
        <w:tc>
          <w:tcPr>
            <w:tcW w:w="5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29,593</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Average notional amount</w:t>
            </w:r>
          </w:p>
        </w:tc>
        <w:tc>
          <w:tcPr>
            <w:tcW w:w="16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1560" w:type="dxa"/>
            <w:vAlign w:val="bottom"/>
            <w:tcBorders>
              <w:bottom w:val="single" w:sz="8" w:color="CFF0FC"/>
            </w:tcBorders>
            <w:gridSpan w:val="2"/>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3,807,326</w:t>
            </w:r>
          </w:p>
        </w:tc>
        <w:tc>
          <w:tcPr>
            <w:tcW w:w="380" w:type="dxa"/>
            <w:vAlign w:val="bottom"/>
            <w:tcBorders>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52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1,400,000</w:t>
            </w:r>
          </w:p>
        </w:tc>
        <w:tc>
          <w:tcPr>
            <w:tcW w:w="40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Rate paid (b)</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the Federal Reserve Board’s risk-based capital guidelines for inclusion in the Company’s regulatory capital. However, pursuant to the Dodd-Frank Act, the Company’s junior subordinated debentures associated with trust preferred securities have been phased-out of the definition of Tier 1 capital. Beginning January 1, 2016 those instruments are considered Tier 2 capital and are only includable in total regulatory capital.</w:t>
      </w:r>
    </w:p>
    <w:p>
      <w:pPr>
        <w:spacing w:after="0" w:line="17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The Company has informal and sometimes reciprocal sources of funding available through various arrangements for unsecured short-term borrowings from a wide group of banks and other financial institutions. Short-term federal funds borrowings were $134 million, $159 million and $112 million at September 30, 2017, September 30, 2016 and December 31, 2016, respectively. In general, those borrowings were unsecured and matured on the next business day. In addition to satisfying customer demand, Cayman Islands office deposits may be used by the Company as an alternative to short-term borrowings. Cayman Islands office deposits totaled $232 million at September 30, 2017, $223 million at September 30, 2016 and $202 million at December 31, 2016. The Company has also benefited from the placement of brokered deposits. The Company had brokered savings and interest-bearing checking deposit accounts which totaled approximately $1.3 billion at September 30, 2017, $1.1 billion at September 30, 2016 and $1.2 billion at December 31, 2016. Brokered time deposits were not a significant source of funding as of those 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1" w:name="page62"/>
    <w:bookmarkEnd w:id="61"/>
    <w:p>
      <w:pPr>
        <w:jc w:val="both"/>
        <w:ind w:firstLine="518"/>
        <w:spacing w:after="0" w:line="244" w:lineRule="auto"/>
        <w:rPr>
          <w:sz w:val="20"/>
          <w:szCs w:val="20"/>
          <w:color w:val="auto"/>
        </w:rPr>
      </w:pPr>
      <w:r>
        <w:rPr>
          <w:rFonts w:ascii="Arial" w:cs="Arial" w:eastAsia="Arial" w:hAnsi="Arial"/>
          <w:sz w:val="21"/>
          <w:szCs w:val="21"/>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97"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$2 million of VRDBs in the Company’s trading account at September 30, 2017, compared with $73 million at September 30, 2016 and $30 million at December 31, 2016. The total amount of VRDBs outstanding backed by M&amp;T Bank letters of credit was $1.2 billion at September 30, 2017, compared with $1.6 billion and $1.3 billion at September 30, 2016 and December 31, 2016, respectively. M&amp;T Bank also serves as remarketing agent for most of those bonds.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2017 approximately $819 million was available for payment of dividends to M&amp;T from bank subsidiaries. Information regarding the long-term debt obligations of M&amp;T is included in note 5 of Notes to Financial Statements.</w:t>
      </w:r>
    </w:p>
    <w:p>
      <w:pPr>
        <w:spacing w:after="0" w:line="162"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has taken steps to maintain appropriate liquidity and is in compliance with the LCR rules.</w:t>
      </w:r>
    </w:p>
    <w:p>
      <w:pPr>
        <w:spacing w:after="0" w:line="148"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2" w:name="page63"/>
    <w:bookmarkEnd w:id="62"/>
    <w:p>
      <w:pPr>
        <w:jc w:val="both"/>
        <w:spacing w:after="0" w:line="279" w:lineRule="auto"/>
        <w:rPr>
          <w:sz w:val="20"/>
          <w:szCs w:val="20"/>
          <w:color w:val="auto"/>
        </w:rPr>
      </w:pPr>
      <w:r>
        <w:rPr>
          <w:rFonts w:ascii="Arial" w:cs="Arial" w:eastAsia="Arial" w:hAnsi="Arial"/>
          <w:sz w:val="19"/>
          <w:szCs w:val="19"/>
          <w:color w:val="auto"/>
        </w:rPr>
        <w:t>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projections of net interest income calculated under the varying interest rate scenarios are compared to a base interest rate scenario.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accompanying table as of September 30, 2017 and December 31, 2016 displays the estimated impact on net interest income from non-trading financial instruments in the base scenario described above resulting from parallel changes in interest rates across repricing categories during the first modeling year.</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4"/>
          </w:tcPr>
          <w:p>
            <w:pPr>
              <w:jc w:val="center"/>
              <w:ind w:right="330"/>
              <w:spacing w:after="0"/>
              <w:rPr>
                <w:sz w:val="20"/>
                <w:szCs w:val="20"/>
                <w:color w:val="auto"/>
              </w:rPr>
            </w:pPr>
            <w:r>
              <w:rPr>
                <w:rFonts w:ascii="Arial" w:cs="Arial" w:eastAsia="Arial" w:hAnsi="Arial"/>
                <w:sz w:val="14"/>
                <w:szCs w:val="14"/>
                <w:color w:val="auto"/>
                <w:w w:val="91"/>
              </w:rPr>
              <w:t>Calculated Increase (Decrease)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4"/>
          </w:tcPr>
          <w:p>
            <w:pPr>
              <w:jc w:val="center"/>
              <w:ind w:right="330"/>
              <w:spacing w:after="0"/>
              <w:rPr>
                <w:sz w:val="20"/>
                <w:szCs w:val="20"/>
                <w:color w:val="auto"/>
              </w:rPr>
            </w:pPr>
            <w:r>
              <w:rPr>
                <w:rFonts w:ascii="Arial" w:cs="Arial" w:eastAsia="Arial" w:hAnsi="Arial"/>
                <w:sz w:val="14"/>
                <w:szCs w:val="14"/>
                <w:color w:val="auto"/>
                <w:w w:val="93"/>
              </w:rPr>
              <w:t>in Projected Net Interest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460"/>
              <w:spacing w:after="0" w:line="149" w:lineRule="exact"/>
              <w:rPr>
                <w:sz w:val="20"/>
                <w:szCs w:val="20"/>
                <w:color w:val="auto"/>
              </w:rPr>
            </w:pPr>
            <w:r>
              <w:rPr>
                <w:rFonts w:ascii="Arial" w:cs="Arial" w:eastAsia="Arial" w:hAnsi="Arial"/>
                <w:sz w:val="14"/>
                <w:szCs w:val="14"/>
                <w:color w:val="auto"/>
                <w:w w:val="91"/>
              </w:rPr>
              <w:t>September 30,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line="154" w:lineRule="exact"/>
              <w:rPr>
                <w:sz w:val="20"/>
                <w:szCs w:val="20"/>
                <w:color w:val="auto"/>
              </w:rPr>
            </w:pPr>
            <w:r>
              <w:rPr>
                <w:rFonts w:ascii="Arial" w:cs="Arial" w:eastAsia="Arial" w:hAnsi="Arial"/>
                <w:sz w:val="14"/>
                <w:szCs w:val="14"/>
                <w:color w:val="auto"/>
              </w:rPr>
              <w:t>Changes in interest rates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740"/>
              <w:spacing w:after="0" w:line="154" w:lineRule="exact"/>
              <w:rPr>
                <w:sz w:val="20"/>
                <w:szCs w:val="20"/>
                <w:color w:val="auto"/>
              </w:rPr>
            </w:pPr>
            <w:r>
              <w:rPr>
                <w:rFonts w:ascii="Arial" w:cs="Arial" w:eastAsia="Arial" w:hAnsi="Arial"/>
                <w:sz w:val="14"/>
                <w:szCs w:val="14"/>
                <w:color w:val="auto"/>
              </w:rPr>
              <w:t>2017</w:t>
            </w:r>
          </w:p>
        </w:tc>
        <w:tc>
          <w:tcPr>
            <w:tcW w:w="15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2"/>
          </w:tcPr>
          <w:p>
            <w:pPr>
              <w:jc w:val="center"/>
              <w:ind w:right="52"/>
              <w:spacing w:after="0"/>
              <w:rPr>
                <w:sz w:val="20"/>
                <w:szCs w:val="20"/>
                <w:color w:val="auto"/>
              </w:rPr>
            </w:pPr>
            <w:r>
              <w:rPr>
                <w:rFonts w:ascii="Arial" w:cs="Arial" w:eastAsia="Arial" w:hAnsi="Arial"/>
                <w:sz w:val="14"/>
                <w:szCs w:val="14"/>
                <w:color w:val="auto"/>
                <w:w w:val="93"/>
              </w:rPr>
              <w:t>(In thousands)</w:t>
            </w:r>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20"/>
              <w:spacing w:after="0"/>
              <w:rPr>
                <w:sz w:val="20"/>
                <w:szCs w:val="20"/>
                <w:color w:val="auto"/>
              </w:rPr>
            </w:pPr>
            <w:r>
              <w:rPr>
                <w:rFonts w:ascii="Arial" w:cs="Arial" w:eastAsia="Arial" w:hAnsi="Arial"/>
                <w:sz w:val="18"/>
                <w:szCs w:val="18"/>
                <w:color w:val="auto"/>
              </w:rPr>
              <w:t>134,336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227,283</w:t>
            </w:r>
          </w:p>
        </w:tc>
        <w:tc>
          <w:tcPr>
            <w:tcW w:w="8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320"/>
              <w:spacing w:after="0"/>
              <w:rPr>
                <w:sz w:val="20"/>
                <w:szCs w:val="20"/>
                <w:color w:val="auto"/>
              </w:rPr>
            </w:pPr>
            <w:r>
              <w:rPr>
                <w:rFonts w:ascii="Arial" w:cs="Arial" w:eastAsia="Arial" w:hAnsi="Arial"/>
                <w:sz w:val="18"/>
                <w:szCs w:val="18"/>
                <w:color w:val="auto"/>
              </w:rPr>
              <w:t>96,895</w:t>
            </w:r>
          </w:p>
        </w:tc>
        <w:tc>
          <w:tcPr>
            <w:tcW w:w="1260" w:type="dxa"/>
            <w:vAlign w:val="bottom"/>
          </w:tcPr>
          <w:p>
            <w:pPr>
              <w:jc w:val="right"/>
              <w:spacing w:after="0"/>
              <w:rPr>
                <w:sz w:val="20"/>
                <w:szCs w:val="20"/>
                <w:color w:val="auto"/>
              </w:rPr>
            </w:pPr>
            <w:r>
              <w:rPr>
                <w:rFonts w:ascii="Arial" w:cs="Arial" w:eastAsia="Arial" w:hAnsi="Arial"/>
                <w:sz w:val="18"/>
                <w:szCs w:val="18"/>
                <w:color w:val="auto"/>
              </w:rPr>
              <w:t>147,400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-50 basis points</w:t>
            </w:r>
          </w:p>
        </w:tc>
        <w:tc>
          <w:tcPr>
            <w:tcW w:w="2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(a)</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(98,945)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00" w:type="dxa"/>
            <w:vAlign w:val="bottom"/>
            <w:gridSpan w:val="3"/>
          </w:tcPr>
          <w:p>
            <w:pPr>
              <w:spacing w:after="0"/>
              <w:rPr>
                <w:sz w:val="20"/>
                <w:szCs w:val="20"/>
                <w:color w:val="auto"/>
              </w:rPr>
            </w:pPr>
            <w:r>
              <w:rPr>
                <w:rFonts w:ascii="Arial" w:cs="Arial" w:eastAsia="Arial" w:hAnsi="Arial"/>
                <w:sz w:val="18"/>
                <w:szCs w:val="18"/>
                <w:color w:val="auto"/>
              </w:rPr>
              <w:t>-100 basis points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240"/>
              <w:spacing w:after="0"/>
              <w:rPr>
                <w:sz w:val="20"/>
                <w:szCs w:val="20"/>
                <w:color w:val="auto"/>
              </w:rPr>
            </w:pPr>
            <w:r>
              <w:rPr>
                <w:rFonts w:ascii="Arial" w:cs="Arial" w:eastAsia="Arial" w:hAnsi="Arial"/>
                <w:sz w:val="18"/>
                <w:szCs w:val="18"/>
                <w:color w:val="auto"/>
              </w:rPr>
              <w:t>(180,632)</w:t>
            </w:r>
          </w:p>
        </w:tc>
        <w:tc>
          <w:tcPr>
            <w:tcW w:w="1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60" w:hanging="852"/>
        <w:spacing w:after="0"/>
        <w:tabs>
          <w:tab w:leader="none" w:pos="8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did not analyze this scenario.</w:t>
      </w:r>
    </w:p>
    <w:p>
      <w:pPr>
        <w:spacing w:after="0" w:line="321"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In 2016, the Company suspended the -100 basis point scenario due to the persistent low level of interest rates. This scenario was reinstated as of June 30, 2017. The assumptions used in interest rate sensitivity modeling are inherently uncertain and, as a result, the Company cannot precisely predict the impact of changes in interest rates 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9"/>
          <w:szCs w:val="19"/>
          <w:color w:val="auto"/>
        </w:rPr>
        <w:t>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Given recent increases in short-term interest rates, management believes that the likelihood of potential volatility of interest rates has increased. As a result, as previously described, in 2017 management added interest rate swap agreements designated as hedging instruments to mitigate the Company’s exposure to such potential volatility. In light of the uncertainties and assumptions associated with the process, the amounts presented in the table are not considered significant to the Company’s past or projected net interest income.</w:t>
      </w:r>
    </w:p>
    <w:p>
      <w:pPr>
        <w:spacing w:after="0" w:line="165"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3 and 12 of Notes to Financial Statements.</w:t>
      </w:r>
    </w:p>
    <w:p>
      <w:pPr>
        <w:spacing w:after="0" w:line="18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the offsetting trading account positions associated with interest rate contracts and foreign currency and other option and futures contracts are presented in note 10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7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were $15.5 billion at September 30, 2017, $21.2 billion at September 30, 2016 and $21.6 billion at December 31, 2016. The notional amounts of foreign currency and other option and futures contracts entered into for trading account purposes were $545 million at September 30, 2017, compared with $891 million at September 30, 2016 and $471 million at December 31, 2016.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totaled $171 million and $110 million, respectively, at September 30, 2017. Effective January 2017, certain clearinghouse exchanges revised their rules to re-characterize required collateral postings for changes in fair value of exchange-traded derivatives as legal settlements of those positions. As a result, the fair value asset and liability amounts at September 30, 2017 have been reduced by contractual settlements of $89 million and $29 million, respectively. The fair values of trading account assets and liabilities were $489 million and $293 million, respectively, at September 30, 2016 and $324 million and $174 million, respectively, at December 31, 2016. Included in trading account assets were assets related to deferred compensation plans totaling $23 million at each of September 30, 2017 and 2016 and $22 million at December 31, 2016. Changes in the fair values of such assets are recorded as “trading account and foreign exchange gains” in the consolidated statement of income. Included in “other liabilities” in the consolidated balance sheet were liabilities related to deferred compensation plans totaling $26 million at each of September 30, 2017, September 30, 2016 and December 31, 2016.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$25 million at September 30, 2017, $28 million at September 30, 2016 and $24 million at December 31, 2016.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64" w:name="page65"/>
    <w:bookmarkEnd w:id="64"/>
    <w:p>
      <w:pPr>
        <w:jc w:val="both"/>
        <w:ind w:firstLine="518"/>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was $30 million in the recent quarter, compared with $47 million in the third quarter of 2016 and $52 million in the second quarter of 2017. For the nine-month periods ended September 30, 2017 and 2016, the provision for credit losses was $137 million and $128 million, respectively. Net charge-offs of loans were $25 million in the recent quarter, compared with $41 million in the corresponding 2016 quarter and $45 million in the second quarter of 2017. Net charge-offs as an annualized percentage of average loans and leases were .11% in the recent quarter, compared with .19% in the year-earlier quarter and .20% in the second quarter of 2017. Net charge-offs for the nine-month periods ended September 30 totaled $113 million in 2017 and $108 million in 2016, representing an annualized rate of .17% and .16% of average loans and leases in those respective periods. A summary of net charge-offs by loan type is presented in the table that follows.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color w:val="auto"/>
                <w:w w:val="96"/>
              </w:rPr>
              <w:t>2017</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00"/>
              <w:spacing w:after="0" w:line="137" w:lineRule="exact"/>
              <w:rPr>
                <w:sz w:val="20"/>
                <w:szCs w:val="20"/>
                <w:color w:val="auto"/>
              </w:rPr>
            </w:pPr>
            <w:r>
              <w:rPr>
                <w:rFonts w:ascii="Arial" w:cs="Arial" w:eastAsia="Arial" w:hAnsi="Arial"/>
                <w:sz w:val="14"/>
                <w:szCs w:val="14"/>
                <w:color w:val="auto"/>
              </w:rPr>
              <w:t>First</w:t>
            </w:r>
          </w:p>
        </w:tc>
        <w:tc>
          <w:tcPr>
            <w:tcW w:w="1180" w:type="dxa"/>
            <w:vAlign w:val="bottom"/>
            <w:gridSpan w:val="3"/>
          </w:tcPr>
          <w:p>
            <w:pPr>
              <w:ind w:left="240"/>
              <w:spacing w:after="0" w:line="137" w:lineRule="exact"/>
              <w:rPr>
                <w:sz w:val="20"/>
                <w:szCs w:val="20"/>
                <w:color w:val="auto"/>
              </w:rPr>
            </w:pPr>
            <w:r>
              <w:rPr>
                <w:rFonts w:ascii="Arial" w:cs="Arial" w:eastAsia="Arial" w:hAnsi="Arial"/>
                <w:sz w:val="14"/>
                <w:szCs w:val="14"/>
                <w:color w:val="auto"/>
              </w:rPr>
              <w:t>Second</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93"/>
              </w:rPr>
              <w:t>Year-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1180" w:type="dxa"/>
            <w:vAlign w:val="bottom"/>
            <w:gridSpan w:val="3"/>
          </w:tcPr>
          <w:p>
            <w:pPr>
              <w:ind w:left="240"/>
              <w:spacing w:after="0"/>
              <w:rPr>
                <w:sz w:val="20"/>
                <w:szCs w:val="20"/>
                <w:color w:val="auto"/>
              </w:rPr>
            </w:pPr>
            <w:r>
              <w:rPr>
                <w:rFonts w:ascii="Arial" w:cs="Arial" w:eastAsia="Arial" w:hAnsi="Arial"/>
                <w:sz w:val="14"/>
                <w:szCs w:val="14"/>
                <w:color w:val="auto"/>
              </w:rPr>
              <w:t>Quarter</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Third Quarter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(5,637)</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4,752</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2,178</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21,948</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18,803</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23,067</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42,567</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24,899</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center"/>
              <w:ind w:left="798"/>
              <w:spacing w:after="0"/>
              <w:rPr>
                <w:sz w:val="20"/>
                <w:szCs w:val="20"/>
                <w:color w:val="auto"/>
              </w:rPr>
            </w:pPr>
            <w:r>
              <w:rPr>
                <w:rFonts w:ascii="Arial" w:cs="Arial" w:eastAsia="Arial" w:hAnsi="Arial"/>
                <w:sz w:val="14"/>
                <w:szCs w:val="14"/>
                <w:color w:val="auto"/>
                <w:w w:val="96"/>
              </w:rPr>
              <w:t>2016</w:t>
            </w: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00"/>
              <w:spacing w:after="0" w:line="137" w:lineRule="exact"/>
              <w:rPr>
                <w:sz w:val="20"/>
                <w:szCs w:val="20"/>
                <w:color w:val="auto"/>
              </w:rPr>
            </w:pPr>
            <w:r>
              <w:rPr>
                <w:rFonts w:ascii="Arial" w:cs="Arial" w:eastAsia="Arial" w:hAnsi="Arial"/>
                <w:sz w:val="14"/>
                <w:szCs w:val="14"/>
                <w:color w:val="auto"/>
              </w:rPr>
              <w:t>First</w:t>
            </w:r>
          </w:p>
        </w:tc>
        <w:tc>
          <w:tcPr>
            <w:tcW w:w="1180" w:type="dxa"/>
            <w:vAlign w:val="bottom"/>
            <w:gridSpan w:val="3"/>
          </w:tcPr>
          <w:p>
            <w:pPr>
              <w:ind w:left="240"/>
              <w:spacing w:after="0" w:line="137" w:lineRule="exact"/>
              <w:rPr>
                <w:sz w:val="20"/>
                <w:szCs w:val="20"/>
                <w:color w:val="auto"/>
              </w:rPr>
            </w:pPr>
            <w:r>
              <w:rPr>
                <w:rFonts w:ascii="Arial" w:cs="Arial" w:eastAsia="Arial" w:hAnsi="Arial"/>
                <w:sz w:val="14"/>
                <w:szCs w:val="14"/>
                <w:color w:val="auto"/>
              </w:rPr>
              <w:t>Second</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93"/>
              </w:rPr>
              <w:t>Year-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Quarter</w:t>
            </w:r>
          </w:p>
        </w:tc>
        <w:tc>
          <w:tcPr>
            <w:tcW w:w="1180" w:type="dxa"/>
            <w:vAlign w:val="bottom"/>
            <w:gridSpan w:val="3"/>
          </w:tcPr>
          <w:p>
            <w:pPr>
              <w:ind w:left="240"/>
              <w:spacing w:after="0"/>
              <w:rPr>
                <w:sz w:val="20"/>
                <w:szCs w:val="20"/>
                <w:color w:val="auto"/>
              </w:rPr>
            </w:pPr>
            <w:r>
              <w:rPr>
                <w:rFonts w:ascii="Arial" w:cs="Arial" w:eastAsia="Arial" w:hAnsi="Arial"/>
                <w:sz w:val="14"/>
                <w:szCs w:val="14"/>
                <w:color w:val="auto"/>
              </w:rPr>
              <w:t>Quarter</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Third Quarter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5"/>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(3,132)</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(1,141)</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(1,866)</w:t>
            </w:r>
          </w:p>
        </w:tc>
        <w:tc>
          <w:tcPr>
            <w:tcW w:w="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4,835</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26,139</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22,563</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42,240</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41,375</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8"/>
          <w:szCs w:val="18"/>
          <w:color w:val="auto"/>
        </w:rPr>
        <w:t>Reflected in net charge-offs of commercial loans and leases was: an $8 million charge-off in the second quarter of 2017 associated with a provider of asset management, trading, and merger and acquisition advisory services; a $6 million charge-off in the first quarter of 2017 associated with a producer of powdered cellulose and fiber filler products used for food and industrial applications; a $12 million charge-off of loans to a commercial maintenance services provider in the third quarter of 2016 and a $7 million recovery of a previously charged-off loan in the second quarter of 2016. Included in net charge-offs of consumer loans and leases were net charge-offs during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65" w:name="page66"/>
    <w:bookmarkEnd w:id="65"/>
    <w:p>
      <w:pPr>
        <w:jc w:val="both"/>
        <w:spacing w:after="0" w:line="257" w:lineRule="auto"/>
        <w:rPr>
          <w:sz w:val="20"/>
          <w:szCs w:val="20"/>
          <w:color w:val="auto"/>
        </w:rPr>
      </w:pPr>
      <w:r>
        <w:rPr>
          <w:rFonts w:ascii="Arial" w:cs="Arial" w:eastAsia="Arial" w:hAnsi="Arial"/>
          <w:sz w:val="20"/>
          <w:szCs w:val="20"/>
          <w:color w:val="auto"/>
        </w:rPr>
        <w:t>quarters ended September 30, 2017, September 30, 2016 and June 30, 2017, respectively, of: automobile loans of $9 million, $7 million and $7 million; recreational vehicle loans of $4 million, $4 million and $2 million; and home equity loans and lines of credit secured by one-to-four family residential properties of $2 million, $5 million and $3 million. Beginning in the first quarter of 2016, the Company accelerated the charge off of consumer loans associated with customers who were either deceased or had filed for bankruptcy that, in accordance with GAAP, had previously been considered when determining the level of the allowance for credit losses and were charged-off following the Company’s normal charge-off procedures to the extent the loans subsequently became delinquent. Reflected in consumer loan charge-offs in the second quarter of 2016 was a $6 million charge-off of a personal usage loan. For the nine-month periods ended September 30, 2017 and 2016, net consumer loan charge-offs included the following: automobile loans of $25 million and $24 million, respectively; recreational vehicle loans of $11 million and $19 million, respectively; and home equity loans and lines of credit of $8 million and $14 million, respectively.</w:t>
      </w:r>
    </w:p>
    <w:p>
      <w:pPr>
        <w:spacing w:after="0" w:line="184"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$1.1 billion, $2.0 billion and $1.8 billion at September 30, 2017, September 30, 2016 and December 31, 2016, respectively. The nonaccretable balance related to remaining principal losses associated with loans acquired at a discount as of September 30, 2017 and December 31, 2016 is presented in the accompanying table.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NONACCRETABLE BALANCE - PRINCIPAL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4"/>
                <w:szCs w:val="14"/>
                <w:color w:val="auto"/>
                <w:w w:val="93"/>
              </w:rPr>
              <w:t>Remaining balance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Borders>
              <w:top w:val="single" w:sz="8" w:color="auto"/>
            </w:tcBorders>
            <w:gridSpan w:val="3"/>
          </w:tcPr>
          <w:p>
            <w:pPr>
              <w:ind w:left="40"/>
              <w:spacing w:after="0" w:line="137" w:lineRule="exact"/>
              <w:rPr>
                <w:sz w:val="20"/>
                <w:szCs w:val="20"/>
                <w:color w:val="auto"/>
              </w:rPr>
            </w:pPr>
            <w:r>
              <w:rPr>
                <w:rFonts w:ascii="Arial" w:cs="Arial" w:eastAsia="Arial" w:hAnsi="Arial"/>
                <w:sz w:val="14"/>
                <w:szCs w:val="14"/>
                <w:color w:val="auto"/>
              </w:rPr>
              <w:t>September 30,</w:t>
            </w:r>
          </w:p>
        </w:tc>
        <w:tc>
          <w:tcPr>
            <w:tcW w:w="980" w:type="dxa"/>
            <w:vAlign w:val="bottom"/>
            <w:tcBorders>
              <w:top w:val="single" w:sz="8" w:color="auto"/>
            </w:tcBorders>
          </w:tcPr>
          <w:p>
            <w:pPr>
              <w:jc w:val="right"/>
              <w:ind w:right="15"/>
              <w:spacing w:after="0" w:line="137"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2017</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31,524</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36,128</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w:t>
            </w: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80,742</w:t>
            </w:r>
          </w:p>
        </w:tc>
        <w:tc>
          <w:tcPr>
            <w:tcW w:w="4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at a premium was $12.1 billion and $14.2 billion at September 30, 2017 and December 31, 2016,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66" w:name="page67"/>
    <w:bookmarkEnd w:id="66"/>
    <w:p>
      <w:pPr>
        <w:jc w:val="both"/>
        <w:ind w:firstLine="518"/>
        <w:spacing w:after="0" w:line="279" w:lineRule="auto"/>
        <w:rPr>
          <w:sz w:val="20"/>
          <w:szCs w:val="20"/>
          <w:color w:val="auto"/>
        </w:rPr>
      </w:pPr>
      <w:r>
        <w:rPr>
          <w:rFonts w:ascii="Arial" w:cs="Arial" w:eastAsia="Arial" w:hAnsi="Arial"/>
          <w:sz w:val="19"/>
          <w:szCs w:val="19"/>
          <w:color w:val="auto"/>
        </w:rPr>
        <w:t>Nonaccrual loans aggregated $869 million or .99% of total loans and leases outstanding at September 30, 2017, compared with $837 million or .93% a year earlier, $920 million or 1.01% at December 31, 2016 and $872 million or .98% at June 30, 2017. The higher levels of nonaccrual loans since September 30, 2016 reflect the migration of previously performing residential real estate loans obtained in the acquisition of Hudson City that became past due over 90 days after September 30, 2016. The lower level of nonaccrual loans at September 30, 2017 as compared with December 31, 2016 reflects the effect of borrower repayment performance and charge-offs.</w:t>
      </w:r>
    </w:p>
    <w:p>
      <w:pPr>
        <w:spacing w:after="0" w:line="270"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Accruing loans past due 90 days or more (excluding loans acquired at a discount) totaled $261 million or .30% of total loans and leases at September 30, 2017, compared with $317 million or .35% at September 30, 2016, $301 million or .33% at December 31, 2016 and $265 million or .30% at June 30, 2017. Those amounts included loans guaranteed by government-related entities of $252 million, $282 million, $283 million and $235 million at September 30, 2017, September 30, 2016, December 31, 2016 and June 30, 2017,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$207 million at September 30, 2017, $225 million at September 30, 2016, $224 million at December 31, 2016 and $185 million at June 30, 2017. The remaining accruing loans past due 90 days or more not guaranteed by government-related entities were loans considered to be with creditworthy borrowers that were in the process of collection or renewal.</w:t>
      </w:r>
    </w:p>
    <w:p>
      <w:pPr>
        <w:spacing w:after="0" w:line="16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$467 million at September 30, 2017, or .5% of total loans. Of that amount, $411 million was related to the Hudson City acquisition. Purchased impaired loans totaled $617 million and $578 million at September 30 and December 31, 2016, respectively.</w:t>
      </w:r>
    </w:p>
    <w:p>
      <w:pPr>
        <w:spacing w:after="0" w:line="192" w:lineRule="exact"/>
        <w:rPr>
          <w:sz w:val="20"/>
          <w:szCs w:val="20"/>
          <w:color w:val="auto"/>
        </w:rPr>
      </w:pPr>
    </w:p>
    <w:p>
      <w:pPr>
        <w:jc w:val="both"/>
        <w:ind w:right="20" w:firstLine="571"/>
        <w:spacing w:after="0" w:line="253" w:lineRule="auto"/>
        <w:rPr>
          <w:sz w:val="20"/>
          <w:szCs w:val="20"/>
          <w:color w:val="auto"/>
        </w:rPr>
      </w:pPr>
      <w:r>
        <w:rPr>
          <w:rFonts w:ascii="Arial" w:cs="Arial" w:eastAsia="Arial" w:hAnsi="Arial"/>
          <w:sz w:val="21"/>
          <w:szCs w:val="21"/>
          <w:color w:val="auto"/>
        </w:rPr>
        <w:t>Accruing loans acquired at a discount past due 90 days or more are loans that could not be specifically identified as impaired as of the acquisition date, but were recorded at estimated fair value as of such date. Such loans totaled $56 million at September 30, 2017, compared with $65 million at September 30, 2016 and $61 million at December 31, 2016.</w:t>
      </w:r>
    </w:p>
    <w:p>
      <w:pPr>
        <w:spacing w:after="0" w:line="182"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4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$184 million, $170 million and $171 million at September 30, 2017, September 30, 2016 and December 31, 2016,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7" w:name="page68"/>
    <w:bookmarkEnd w:id="67"/>
    <w:p>
      <w:pPr>
        <w:jc w:val="both"/>
        <w:ind w:firstLine="518"/>
        <w:spacing w:after="0" w:line="258" w:lineRule="auto"/>
        <w:rPr>
          <w:sz w:val="20"/>
          <w:szCs w:val="20"/>
          <w:color w:val="auto"/>
        </w:rPr>
      </w:pPr>
      <w:r>
        <w:rPr>
          <w:rFonts w:ascii="Arial" w:cs="Arial" w:eastAsia="Arial" w:hAnsi="Arial"/>
          <w:sz w:val="20"/>
          <w:szCs w:val="20"/>
          <w:color w:val="auto"/>
        </w:rPr>
        <w:t>Nonaccrual commercial loans and leases were $204 million at September 30, 2017, $231 million at September 30, 2016, $261 million at December 31, 2016 and $201 million at June 30, 2017. Commercial real estate loans classified as nonaccrual aggregated $222 million at September 30, 2017, $198 million at September 30, 2016, $211 million at December 31, 2016 and $225 million at June 30, 2017. Nonaccrual commercial real estate loans included construction-related loans of $22 million, $41 million, $35 million and $23 million at September 30, 2017, September 30, 2016, December 31, 2016 and June 30, 2017, respectively. Those nonaccrual construction loans included loans to residential builders and developers of $2 million, $20 million, $17 million and $7 million at September 30, 2017, September 30, 2016, December 31, 2016 and June 30, 2017, respectively. Information about the location of nonaccrual and charged-off loans to residential real estate builders and developers as of and for the three-month period ended September 30, 2017 is presented in the accompanying table.</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RESIDENTIAL BUILDER AND DEVELOPER LOANS, NET OF UNEARNED DISCOUNT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710"/>
              <w:spacing w:after="0"/>
              <w:rPr>
                <w:sz w:val="20"/>
                <w:szCs w:val="20"/>
                <w:color w:val="auto"/>
              </w:rPr>
            </w:pPr>
            <w:r>
              <w:rPr>
                <w:rFonts w:ascii="Arial" w:cs="Arial" w:eastAsia="Arial" w:hAnsi="Arial"/>
                <w:sz w:val="14"/>
                <w:szCs w:val="14"/>
                <w:color w:val="auto"/>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5"/>
          </w:tcPr>
          <w:p>
            <w:pPr>
              <w:jc w:val="right"/>
              <w:ind w:right="804"/>
              <w:spacing w:after="0"/>
              <w:rPr>
                <w:sz w:val="20"/>
                <w:szCs w:val="20"/>
                <w:color w:val="auto"/>
              </w:rPr>
            </w:pPr>
            <w:r>
              <w:rPr>
                <w:rFonts w:ascii="Arial" w:cs="Arial" w:eastAsia="Arial" w:hAnsi="Arial"/>
                <w:sz w:val="14"/>
                <w:szCs w:val="14"/>
                <w:color w:val="auto"/>
                <w:w w:val="91"/>
              </w:rPr>
              <w:t>September 30, 2017</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550"/>
              <w:spacing w:after="0"/>
              <w:rPr>
                <w:sz w:val="20"/>
                <w:szCs w:val="20"/>
                <w:color w:val="auto"/>
              </w:rPr>
            </w:pPr>
            <w:r>
              <w:rPr>
                <w:rFonts w:ascii="Arial" w:cs="Arial" w:eastAsia="Arial" w:hAnsi="Arial"/>
                <w:sz w:val="14"/>
                <w:szCs w:val="14"/>
                <w:color w:val="auto"/>
              </w:rPr>
              <w:t>September 30,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464"/>
              <w:spacing w:after="0" w:line="155" w:lineRule="exact"/>
              <w:rPr>
                <w:sz w:val="20"/>
                <w:szCs w:val="20"/>
                <w:color w:val="auto"/>
              </w:rPr>
            </w:pPr>
            <w:r>
              <w:rPr>
                <w:rFonts w:ascii="Arial" w:cs="Arial" w:eastAsia="Arial" w:hAnsi="Arial"/>
                <w:sz w:val="14"/>
                <w:szCs w:val="14"/>
                <w:color w:val="auto"/>
              </w:rPr>
              <w:t>Nonaccrual</w:t>
            </w:r>
          </w:p>
        </w:tc>
        <w:tc>
          <w:tcPr>
            <w:tcW w:w="540" w:type="dxa"/>
            <w:vAlign w:val="bottom"/>
          </w:tcPr>
          <w:p>
            <w:pPr>
              <w:spacing w:after="0"/>
              <w:rPr>
                <w:sz w:val="13"/>
                <w:szCs w:val="13"/>
                <w:color w:val="auto"/>
              </w:rPr>
            </w:pPr>
          </w:p>
        </w:tc>
        <w:tc>
          <w:tcPr>
            <w:tcW w:w="1740" w:type="dxa"/>
            <w:vAlign w:val="bottom"/>
            <w:tcBorders>
              <w:top w:val="single" w:sz="8" w:color="auto"/>
              <w:bottom w:val="single" w:sz="8" w:color="auto"/>
            </w:tcBorders>
            <w:gridSpan w:val="4"/>
          </w:tcPr>
          <w:p>
            <w:pPr>
              <w:ind w:left="20"/>
              <w:spacing w:after="0" w:line="155" w:lineRule="exact"/>
              <w:rPr>
                <w:sz w:val="20"/>
                <w:szCs w:val="20"/>
                <w:color w:val="auto"/>
              </w:rPr>
            </w:pPr>
            <w:r>
              <w:rPr>
                <w:rFonts w:ascii="Arial" w:cs="Arial" w:eastAsia="Arial" w:hAnsi="Arial"/>
                <w:sz w:val="14"/>
                <w:szCs w:val="14"/>
                <w:color w:val="auto"/>
                <w:w w:val="93"/>
              </w:rPr>
              <w:t>Net Charge-offs (Recoveries)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5"/>
              </w:rPr>
              <w:t>Annualized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4"/>
              <w:spacing w:after="0" w:line="149" w:lineRule="exact"/>
              <w:rPr>
                <w:sz w:val="20"/>
                <w:szCs w:val="20"/>
                <w:color w:val="auto"/>
              </w:rPr>
            </w:pPr>
            <w:r>
              <w:rPr>
                <w:rFonts w:ascii="Arial" w:cs="Arial" w:eastAsia="Arial" w:hAnsi="Arial"/>
                <w:sz w:val="14"/>
                <w:szCs w:val="14"/>
                <w:color w:val="auto"/>
                <w:w w:val="97"/>
              </w:rPr>
              <w:t>Percent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0"/>
              </w:rPr>
              <w:t>Outstanding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7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w w:val="99"/>
              </w:rPr>
              <w:t>Balances(b)</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4"/>
                <w:szCs w:val="14"/>
                <w:color w:val="auto"/>
                <w:w w:val="86"/>
              </w:rPr>
              <w:t>Balances</w:t>
            </w:r>
          </w:p>
        </w:tc>
        <w:tc>
          <w:tcPr>
            <w:tcW w:w="30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Arial" w:cs="Arial" w:eastAsia="Arial" w:hAnsi="Arial"/>
                <w:sz w:val="14"/>
                <w:szCs w:val="14"/>
                <w:color w:val="auto"/>
              </w:rPr>
              <w:t>Balances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Balances</w:t>
            </w:r>
          </w:p>
        </w:tc>
        <w:tc>
          <w:tcPr>
            <w:tcW w:w="1060" w:type="dxa"/>
            <w:vAlign w:val="bottom"/>
            <w:gridSpan w:val="2"/>
          </w:tcPr>
          <w:p>
            <w:pPr>
              <w:jc w:val="center"/>
              <w:ind w:right="250"/>
              <w:spacing w:after="0"/>
              <w:rPr>
                <w:sz w:val="20"/>
                <w:szCs w:val="20"/>
                <w:color w:val="auto"/>
              </w:rPr>
            </w:pPr>
            <w:r>
              <w:rPr>
                <w:rFonts w:ascii="Arial" w:cs="Arial" w:eastAsia="Arial" w:hAnsi="Arial"/>
                <w:sz w:val="14"/>
                <w:szCs w:val="14"/>
                <w:color w:val="auto"/>
                <w:w w:val="90"/>
              </w:rPr>
              <w:t>Balances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4"/>
                <w:szCs w:val="14"/>
                <w:color w:val="auto"/>
                <w:w w:val="96"/>
              </w:rPr>
              <w:t>(Dollars in thousands)</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New York</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430,628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Pennsylvania</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(3,608)</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Mid-Atlantic (a)</w:t>
            </w:r>
          </w:p>
        </w:tc>
        <w:tc>
          <w:tcPr>
            <w:tcW w:w="2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469,064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663,269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1,663,893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540" w:type="dxa"/>
            <w:vAlign w:val="bottom"/>
            <w:tcBorders>
              <w:top w:val="single" w:sz="8" w:color="CFF0FC"/>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300" w:type="dxa"/>
            <w:vAlign w:val="bottom"/>
            <w:tcBorders>
              <w:top w:val="single" w:sz="8" w:color="CFF0FC"/>
              <w:bottom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Maryland, New Jersey, Virginia, West Virginia and the District of Columbia.</w:t>
      </w:r>
    </w:p>
    <w:p>
      <w:pPr>
        <w:spacing w:after="0" w:line="49" w:lineRule="exact"/>
        <w:rPr>
          <w:rFonts w:ascii="Arial" w:cs="Arial" w:eastAsia="Arial" w:hAnsi="Arial"/>
          <w:sz w:val="18"/>
          <w:szCs w:val="18"/>
          <w:i w:val="1"/>
          <w:iCs w:val="1"/>
          <w:color w:val="auto"/>
        </w:rPr>
      </w:pPr>
    </w:p>
    <w:p>
      <w:pPr>
        <w:ind w:left="520" w:hanging="512"/>
        <w:spacing w:after="0"/>
        <w:tabs>
          <w:tab w:leader="none" w:pos="5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$16 million of loans not secured by real estate, of which approximately $1 million are in nonaccrual status.</w:t>
      </w:r>
    </w:p>
    <w:p>
      <w:pPr>
        <w:spacing w:after="0" w:line="226"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Residential real estate loans in nonaccrual status aggregated $338 million at September 30, 2017, compared with $303 million at September 30, 2016, $336 million at December 31, 2016 and $343 million at June 30, 2017. The increase in residential real estate loans classified as nonaccrual subsequent to September 30, 2016 reflects the migration of previously performing loans obtained in the acquisition of Hudson City that became more than 90 days delinquent. Such nonaccrual residential real estate loans totaled $211 million at each of September 30 and June 30, 2017, $149 million at September 30, 2016 and $190 million at December 31, 2016. Those loans could not be identified as purchased impaired loans at the acquisition date because the borrowers were making loan payments at that time and the loans were not recorded at a discount. Included in residential real estate loans classified as nonaccrual were limited documentation first mortgage loans of $102 million, $89 million, $107 million and $106 million at September 30, 2017, September 30, 2016, December 31, 2016 and June 30, 2017, respectively.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aggregated $250 million at September 30, 2017, compared with $281 million at each of September 30, 2016 and December 31, 2016 and $233 million at June 30, 2017. A substantial portion of such amounts related to guaranteed loans repurchased from government-related entities. Information about the location of nonaccrual and charged-off residential real estate loans as of and for the quarter ended September 30, 2017 is presented in the accompanying table.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148"/>
              <w:spacing w:after="0"/>
              <w:rPr>
                <w:sz w:val="20"/>
                <w:szCs w:val="20"/>
                <w:color w:val="auto"/>
              </w:rPr>
            </w:pPr>
            <w:r>
              <w:rPr>
                <w:rFonts w:ascii="Arial" w:cs="Arial" w:eastAsia="Arial" w:hAnsi="Arial"/>
                <w:sz w:val="14"/>
                <w:szCs w:val="14"/>
                <w:color w:val="auto"/>
                <w:w w:val="85"/>
              </w:rPr>
              <w:t>Quarter Ended September 30,</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120"/>
              <w:spacing w:after="0" w:line="159" w:lineRule="exact"/>
              <w:rPr>
                <w:sz w:val="20"/>
                <w:szCs w:val="20"/>
                <w:color w:val="auto"/>
              </w:rPr>
            </w:pPr>
            <w:r>
              <w:rPr>
                <w:rFonts w:ascii="Arial" w:cs="Arial" w:eastAsia="Arial" w:hAnsi="Arial"/>
                <w:sz w:val="14"/>
                <w:szCs w:val="14"/>
                <w:color w:val="auto"/>
              </w:rPr>
              <w:t>September 30, 2017</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left="548"/>
              <w:spacing w:after="0" w:line="159" w:lineRule="exact"/>
              <w:rPr>
                <w:sz w:val="20"/>
                <w:szCs w:val="20"/>
                <w:color w:val="auto"/>
              </w:rPr>
            </w:pPr>
            <w:r>
              <w:rPr>
                <w:rFonts w:ascii="Arial" w:cs="Arial" w:eastAsia="Arial" w:hAnsi="Arial"/>
                <w:sz w:val="14"/>
                <w:szCs w:val="14"/>
                <w:color w:val="auto"/>
                <w:w w:val="83"/>
              </w:rPr>
              <w:t>2017</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560"/>
              <w:spacing w:after="0" w:line="155" w:lineRule="exact"/>
              <w:rPr>
                <w:sz w:val="20"/>
                <w:szCs w:val="20"/>
                <w:color w:val="auto"/>
              </w:rPr>
            </w:pPr>
            <w:r>
              <w:rPr>
                <w:rFonts w:ascii="Arial" w:cs="Arial" w:eastAsia="Arial" w:hAnsi="Arial"/>
                <w:sz w:val="14"/>
                <w:szCs w:val="14"/>
                <w:color w:val="auto"/>
                <w:w w:val="98"/>
              </w:rPr>
              <w:t>Nonaccrual</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86"/>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128"/>
              <w:spacing w:after="0" w:line="145" w:lineRule="exact"/>
              <w:rPr>
                <w:sz w:val="20"/>
                <w:szCs w:val="20"/>
                <w:color w:val="auto"/>
              </w:rPr>
            </w:pPr>
            <w:r>
              <w:rPr>
                <w:rFonts w:ascii="Arial" w:cs="Arial" w:eastAsia="Arial" w:hAnsi="Arial"/>
                <w:sz w:val="14"/>
                <w:szCs w:val="14"/>
                <w:color w:val="auto"/>
                <w:w w:val="89"/>
              </w:rPr>
              <w:t>Annualized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28"/>
              <w:spacing w:after="0"/>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4"/>
              </w:rPr>
              <w:t>Percent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28"/>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w w:val="95"/>
              </w:rPr>
              <w:t>Outstanding</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128"/>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Balances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Balances</w:t>
            </w: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3"/>
              </w:rPr>
              <w:t>Balances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83"/>
              </w:rPr>
              <w:t>Balances</w:t>
            </w:r>
          </w:p>
        </w:tc>
        <w:tc>
          <w:tcPr>
            <w:tcW w:w="900" w:type="dxa"/>
            <w:vAlign w:val="bottom"/>
            <w:gridSpan w:val="2"/>
          </w:tcPr>
          <w:p>
            <w:pPr>
              <w:jc w:val="center"/>
              <w:ind w:right="128"/>
              <w:spacing w:after="0" w:line="159" w:lineRule="exact"/>
              <w:rPr>
                <w:sz w:val="20"/>
                <w:szCs w:val="20"/>
                <w:color w:val="auto"/>
              </w:rPr>
            </w:pPr>
            <w:r>
              <w:rPr>
                <w:rFonts w:ascii="Arial" w:cs="Arial" w:eastAsia="Arial" w:hAnsi="Arial"/>
                <w:sz w:val="14"/>
                <w:szCs w:val="14"/>
                <w:color w:val="auto"/>
                <w:w w:val="86"/>
              </w:rPr>
              <w:t>Balances</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ind w:left="56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5,749,347</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77,500</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1,023</w:t>
            </w:r>
          </w:p>
        </w:tc>
        <w:tc>
          <w:tcPr>
            <w:tcW w:w="3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1,449,304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1,149,341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13,122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(412)</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4,472,114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58,123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1,004,391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10,438</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3,283,823</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61,418</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573</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17,108,320</w:t>
            </w:r>
          </w:p>
        </w:tc>
        <w:tc>
          <w:tcPr>
            <w:tcW w:w="3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235,691</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2,237</w:t>
            </w:r>
          </w:p>
        </w:tc>
        <w:tc>
          <w:tcPr>
            <w:tcW w:w="320" w:type="dxa"/>
            <w:vAlign w:val="bottom"/>
          </w:tcPr>
          <w:p>
            <w:pPr>
              <w:spacing w:after="0"/>
              <w:rPr>
                <w:sz w:val="17"/>
                <w:szCs w:val="17"/>
                <w:color w:val="auto"/>
              </w:rPr>
            </w:pPr>
          </w:p>
        </w:tc>
        <w:tc>
          <w:tcPr>
            <w:tcW w:w="9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5,032</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1,936</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(66)</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3,742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(17)</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22,302</w:t>
            </w:r>
          </w:p>
        </w:tc>
        <w:tc>
          <w:tcPr>
            <w:tcW w:w="34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672</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3.01%</w:t>
            </w:r>
          </w:p>
        </w:tc>
        <w:tc>
          <w:tcPr>
            <w:tcW w:w="1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c>
          <w:tcPr>
            <w:tcW w:w="320" w:type="dxa"/>
            <w:vAlign w:val="bottom"/>
            <w:vMerge w:val="continue"/>
          </w:tcPr>
          <w:p>
            <w:pPr>
              <w:spacing w:after="0"/>
              <w:rPr>
                <w:sz w:val="17"/>
                <w:szCs w:val="17"/>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1,351,590</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40,086</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3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65,542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(112)</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38,316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2,605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1,207,609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25,694</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31,445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440,038</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25,990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(165)</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3,134,540</w:t>
            </w:r>
          </w:p>
        </w:tc>
        <w:tc>
          <w:tcPr>
            <w:tcW w:w="34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101,918</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3.25%</w:t>
            </w:r>
          </w:p>
        </w:tc>
        <w:tc>
          <w:tcPr>
            <w:tcW w:w="1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320" w:type="dxa"/>
            <w:vAlign w:val="bottom"/>
          </w:tcPr>
          <w:p>
            <w:pPr>
              <w:spacing w:after="0"/>
              <w:rPr>
                <w:sz w:val="17"/>
                <w:szCs w:val="17"/>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1,293,963</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15,927</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699</w:t>
            </w:r>
          </w:p>
        </w:tc>
        <w:tc>
          <w:tcPr>
            <w:tcW w:w="3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809,772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668,522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6,544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468</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60,068</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207,006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28,365</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3,067,696</w:t>
            </w:r>
          </w:p>
        </w:tc>
        <w:tc>
          <w:tcPr>
            <w:tcW w:w="34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34,210</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1,366</w:t>
            </w:r>
          </w:p>
        </w:tc>
        <w:tc>
          <w:tcPr>
            <w:tcW w:w="320" w:type="dxa"/>
            <w:vAlign w:val="bottom"/>
          </w:tcPr>
          <w:p>
            <w:pPr>
              <w:spacing w:after="0"/>
              <w:rPr>
                <w:sz w:val="17"/>
                <w:szCs w:val="17"/>
                <w:color w:val="auto"/>
              </w:rPr>
            </w:pPr>
          </w:p>
        </w:tc>
        <w:tc>
          <w:tcPr>
            <w:tcW w:w="9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835,542</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20,598</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2.47%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634</w:t>
            </w:r>
          </w:p>
        </w:tc>
        <w:tc>
          <w:tcPr>
            <w:tcW w:w="3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326,133</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3,844</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(75)</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719,782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11,402</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117,989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280,435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2,089</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204</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41,420</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1,761</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(200)</w:t>
            </w:r>
          </w:p>
        </w:tc>
        <w:tc>
          <w:tcPr>
            <w:tcW w:w="9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2,321,301</w:t>
            </w:r>
          </w:p>
        </w:tc>
        <w:tc>
          <w:tcPr>
            <w:tcW w:w="340" w:type="dxa"/>
            <w:vAlign w:val="bottom"/>
            <w:vMerge w:val="continue"/>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40,890</w:t>
            </w:r>
          </w:p>
        </w:tc>
        <w:tc>
          <w:tcPr>
            <w:tcW w:w="320" w:type="dxa"/>
            <w:vAlign w:val="bottom"/>
          </w:tcPr>
          <w:p>
            <w:pPr>
              <w:spacing w:after="0"/>
              <w:rPr>
                <w:sz w:val="17"/>
                <w:szCs w:val="17"/>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1.76%</w:t>
            </w:r>
          </w:p>
        </w:tc>
        <w:tc>
          <w:tcPr>
            <w:tcW w:w="100" w:type="dxa"/>
            <w:vAlign w:val="bottom"/>
            <w:vMerge w:val="continue"/>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992</w:t>
            </w:r>
          </w:p>
        </w:tc>
        <w:tc>
          <w:tcPr>
            <w:tcW w:w="320" w:type="dxa"/>
            <w:vAlign w:val="bottom"/>
          </w:tcPr>
          <w:p>
            <w:pPr>
              <w:spacing w:after="0"/>
              <w:rPr>
                <w:sz w:val="17"/>
                <w:szCs w:val="17"/>
                <w:color w:val="auto"/>
              </w:rPr>
            </w:pPr>
          </w:p>
        </w:tc>
        <w:tc>
          <w:tcPr>
            <w:tcW w:w="9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3"/>
        </w:trPr>
        <w:tc>
          <w:tcPr>
            <w:tcW w:w="42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3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753</w:t>
            </w:r>
          </w:p>
        </w:tc>
        <w:tc>
          <w:tcPr>
            <w:tcW w:w="5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4,190</w:t>
            </w:r>
          </w:p>
        </w:tc>
        <w:tc>
          <w:tcPr>
            <w:tcW w:w="3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w:t>
            </w:r>
          </w:p>
        </w:tc>
        <w:tc>
          <w:tcPr>
            <w:tcW w:w="320" w:type="dxa"/>
            <w:vAlign w:val="bottom"/>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3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7,665</w:t>
            </w:r>
          </w:p>
        </w:tc>
        <w:tc>
          <w:tcPr>
            <w:tcW w:w="3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484</w:t>
            </w:r>
          </w:p>
        </w:tc>
        <w:tc>
          <w:tcPr>
            <w:tcW w:w="320" w:type="dxa"/>
            <w:vAlign w:val="bottom"/>
          </w:tcPr>
          <w:p>
            <w:pPr>
              <w:spacing w:after="0"/>
              <w:rPr>
                <w:sz w:val="13"/>
                <w:szCs w:val="13"/>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6.31%</w:t>
            </w:r>
          </w:p>
        </w:tc>
        <w:tc>
          <w:tcPr>
            <w:tcW w:w="1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18</w:t>
            </w:r>
          </w:p>
        </w:tc>
        <w:tc>
          <w:tcPr>
            <w:tcW w:w="320" w:type="dxa"/>
            <w:vAlign w:val="bottom"/>
          </w:tcPr>
          <w:p>
            <w:pPr>
              <w:spacing w:after="0"/>
              <w:rPr>
                <w:sz w:val="13"/>
                <w:szCs w:val="13"/>
                <w:color w:val="auto"/>
              </w:rPr>
            </w:pPr>
          </w:p>
        </w:tc>
        <w:tc>
          <w:tcPr>
            <w:tcW w:w="9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18"/>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Virginia, West Virginia and the District of Columbia.</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9" w:name="page70"/>
    <w:bookmarkEnd w:id="69"/>
    <w:p>
      <w:pPr>
        <w:jc w:val="both"/>
        <w:ind w:firstLine="518"/>
        <w:spacing w:after="0" w:line="245" w:lineRule="auto"/>
        <w:rPr>
          <w:sz w:val="20"/>
          <w:szCs w:val="20"/>
          <w:color w:val="auto"/>
        </w:rPr>
      </w:pPr>
      <w:r>
        <w:rPr>
          <w:rFonts w:ascii="Arial" w:cs="Arial" w:eastAsia="Arial" w:hAnsi="Arial"/>
          <w:sz w:val="21"/>
          <w:szCs w:val="21"/>
          <w:color w:val="auto"/>
        </w:rPr>
        <w:t>Nonaccrual consumer loans were $105 million at September 30, 2017, compared with $104 million at September 30, 2016, $112 million at December 31, 2016 and $103 million at June 30, 2017. Included in nonaccrual consumer loans at September 30, 2017, September 30, 2016, December 31, 2016 and June 30, 2017 were: automobile loans of $21 million, $14 million, $19 million and $17 million, respectively; recreational vehicle loans of $5 million, $6 million, $7 million and $5 million, respectively; and outstanding balances of home equity loans and lines of credit of $76 million, $80 million, $82 million and $77 million, respectively. Information about the location of nonaccrual and charged-off home equity loans and lines of credit as of and for the quarter ended September 30, 2017 is presented in the accompanying table.</w:t>
      </w:r>
    </w:p>
    <w:p>
      <w:pPr>
        <w:spacing w:after="0" w:line="19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Information about past due and nonaccrual loans as of September 30, 2017 and December 31, 2016 is also included in note 4 of Notes to Financial Statements.</w:t>
      </w:r>
    </w:p>
    <w:p>
      <w:pPr>
        <w:spacing w:after="0" w:line="171"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Real estate and other foreclosed assets totaled $111 million at September 30, 2017, compared with $160 million at September 30, 2016, $139 million at December 31, 2016 and $104 million at June 30, 2017. Net gains or losses resulting from sales of real estate and other foreclosed assets were not material in the three-month periods ended September 30, 2017, September 30, 2016 or June 30, 2017. At September 30, 2017, the Company’s holding of residential real estate-related properties comprised approximately 96% of foreclosed assets.</w:t>
      </w:r>
    </w:p>
    <w:p>
      <w:pPr>
        <w:spacing w:after="0" w:line="18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A comparative summary of nonperforming assets and certain past due loan data and credit quality ratios is presented in the accompanying table.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RENOGIATED AND IMPAIRED LOAN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w w:val="98"/>
              </w:rPr>
              <w:t>2017 Quarters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4"/>
          </w:tcPr>
          <w:p>
            <w:pPr>
              <w:ind w:left="600"/>
              <w:spacing w:after="0"/>
              <w:rPr>
                <w:sz w:val="20"/>
                <w:szCs w:val="20"/>
                <w:color w:val="auto"/>
              </w:rPr>
            </w:pPr>
            <w:r>
              <w:rPr>
                <w:rFonts w:ascii="Arial" w:cs="Arial" w:eastAsia="Arial" w:hAnsi="Arial"/>
                <w:sz w:val="14"/>
                <w:szCs w:val="14"/>
                <w:color w:val="auto"/>
              </w:rPr>
              <w:t>2016 Quarters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Third</w:t>
            </w:r>
          </w:p>
        </w:tc>
        <w:tc>
          <w:tcPr>
            <w:tcW w:w="90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Second</w:t>
            </w: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color w:val="auto"/>
              </w:rPr>
              <w:t>First</w:t>
            </w:r>
          </w:p>
        </w:tc>
        <w:tc>
          <w:tcPr>
            <w:tcW w:w="380" w:type="dxa"/>
            <w:vAlign w:val="bottom"/>
            <w:tcBorders>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ind w:left="240"/>
              <w:spacing w:after="0" w:line="155" w:lineRule="exact"/>
              <w:rPr>
                <w:sz w:val="20"/>
                <w:szCs w:val="20"/>
                <w:color w:val="auto"/>
              </w:rPr>
            </w:pPr>
            <w:r>
              <w:rPr>
                <w:rFonts w:ascii="Arial" w:cs="Arial" w:eastAsia="Arial" w:hAnsi="Arial"/>
                <w:sz w:val="14"/>
                <w:szCs w:val="14"/>
                <w:color w:val="auto"/>
              </w:rPr>
              <w:t>Fourth</w:t>
            </w:r>
          </w:p>
        </w:tc>
        <w:tc>
          <w:tcPr>
            <w:tcW w:w="7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color w:val="auto"/>
              </w:rPr>
              <w:t>Third</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color w:val="auto"/>
              </w:rPr>
              <w:t>(Dollars in thousands)</w:t>
            </w: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869,362</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872,374</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926,675</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920,015</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837,362</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110,515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104,424</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119,155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139,206</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979,877</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976,798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1,045,830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1,059,221</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997,243</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261,288</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265,461</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280,019</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300,659</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317,282</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34,687</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39,296</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39,610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40,610</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252,072</w:t>
            </w:r>
          </w:p>
        </w:tc>
        <w:tc>
          <w:tcPr>
            <w:tcW w:w="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235,227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252,552</w:t>
            </w:r>
          </w:p>
        </w:tc>
        <w:tc>
          <w:tcPr>
            <w:tcW w:w="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282,659</w:t>
            </w:r>
          </w:p>
        </w:tc>
        <w:tc>
          <w:tcPr>
            <w:tcW w:w="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282,077</w:t>
            </w:r>
          </w:p>
        </w:tc>
        <w:tc>
          <w:tcPr>
            <w:tcW w:w="4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2"/>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226,672</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221,892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191,343</w:t>
            </w:r>
          </w:p>
        </w:tc>
        <w:tc>
          <w:tcPr>
            <w:tcW w:w="38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190,374</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217,559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accruing loans past due 90 days or more(b)</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56,225</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63,732</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61,144</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65,182</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customer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779,340</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838,476</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890,431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927,446</w:t>
            </w: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981,105</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Carrying amount</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466,943</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512,393</w:t>
            </w:r>
          </w:p>
        </w:tc>
        <w:tc>
          <w:tcPr>
            <w:tcW w:w="1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552,935</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578,032</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616,991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discount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.99%</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.98%</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1.01%</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.93%</w:t>
            </w:r>
          </w:p>
        </w:tc>
      </w:tr>
      <w:tr>
        <w:trPr>
          <w:trHeight w:val="215"/>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 leases and real estate</w:t>
            </w:r>
          </w:p>
        </w:tc>
        <w:tc>
          <w:tcPr>
            <w:tcW w:w="1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foreclosed assets</w:t>
            </w:r>
          </w:p>
        </w:tc>
        <w:tc>
          <w:tcPr>
            <w:tcW w:w="1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1.11%</w:t>
            </w:r>
          </w:p>
        </w:tc>
        <w:tc>
          <w:tcPr>
            <w:tcW w:w="11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1.10%</w:t>
            </w:r>
          </w:p>
        </w:tc>
        <w:tc>
          <w:tcPr>
            <w:tcW w:w="12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1.17%</w:t>
            </w:r>
          </w:p>
        </w:tc>
        <w:tc>
          <w:tcPr>
            <w:tcW w:w="12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1.16%</w:t>
            </w:r>
          </w:p>
        </w:tc>
        <w:tc>
          <w:tcPr>
            <w:tcW w:w="10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1.11%</w:t>
            </w: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Accruing loans past due 90 days or more (a) to total loans and</w:t>
            </w:r>
          </w:p>
        </w:tc>
        <w:tc>
          <w:tcPr>
            <w:tcW w:w="1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320" w:type="dxa"/>
            <w:vAlign w:val="bottom"/>
          </w:tcPr>
          <w:p>
            <w:pPr>
              <w:ind w:left="140"/>
              <w:spacing w:after="0"/>
              <w:rPr>
                <w:sz w:val="20"/>
                <w:szCs w:val="20"/>
                <w:color w:val="auto"/>
              </w:rPr>
            </w:pPr>
            <w:r>
              <w:rPr>
                <w:rFonts w:ascii="Arial" w:cs="Arial" w:eastAsia="Arial" w:hAnsi="Arial"/>
                <w:sz w:val="18"/>
                <w:szCs w:val="18"/>
                <w:color w:val="auto"/>
              </w:rPr>
              <w:t>leases, net of unearned discount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0</wp:posOffset>
            </wp:positionV>
            <wp:extent cx="34988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23" w:lineRule="exact"/>
        <w:rPr>
          <w:rFonts w:ascii="Arial" w:cs="Arial" w:eastAsia="Arial" w:hAnsi="Arial"/>
          <w:sz w:val="18"/>
          <w:szCs w:val="18"/>
          <w:i w:val="1"/>
          <w:iCs w:val="1"/>
          <w:color w:val="auto"/>
        </w:rPr>
      </w:pPr>
    </w:p>
    <w:p>
      <w:pPr>
        <w:ind w:left="520" w:right="20" w:hanging="488"/>
        <w:spacing w:after="0" w:line="250" w:lineRule="auto"/>
        <w:tabs>
          <w:tab w:leader="none" w:pos="419"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23"/>
        <w:spacing w:after="0"/>
        <w:tabs>
          <w:tab w:leader="none" w:pos="460" w:val="left"/>
        </w:tabs>
        <w:numPr>
          <w:ilvl w:val="1"/>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-816610</wp:posOffset>
            </wp:positionV>
            <wp:extent cx="34988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0" w:name="page71"/>
    <w:bookmarkEnd w:id="70"/>
    <w:p>
      <w:pPr>
        <w:jc w:val="both"/>
        <w:ind w:firstLine="518"/>
        <w:spacing w:after="0" w:line="286"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 associated with the Company’s first and second lien loans secured by residential real estate, including loans obtained in the acquisition of Hudson City that were not classified as purchased impaired;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63" w:lineRule="exact"/>
        <w:rPr>
          <w:sz w:val="20"/>
          <w:szCs w:val="20"/>
          <w:color w:val="auto"/>
        </w:rPr>
      </w:pPr>
    </w:p>
    <w:p>
      <w:pPr>
        <w:jc w:val="both"/>
        <w:ind w:right="20" w:firstLine="518"/>
        <w:spacing w:after="0" w:line="271" w:lineRule="auto"/>
        <w:rPr>
          <w:sz w:val="20"/>
          <w:szCs w:val="20"/>
          <w:color w:val="auto"/>
        </w:rPr>
      </w:pPr>
      <w:r>
        <w:rPr>
          <w:rFonts w:ascii="Arial" w:cs="Arial" w:eastAsia="Arial" w:hAnsi="Arial"/>
          <w:sz w:val="19"/>
          <w:szCs w:val="19"/>
          <w:color w:val="auto"/>
        </w:rPr>
        <w:t>Management cautiously and conservatively evaluated the allowance for credit losses as of September 30, 2017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w:t>
      </w:r>
    </w:p>
    <w:p>
      <w:pPr>
        <w:spacing w:after="0" w:line="4" w:lineRule="exact"/>
        <w:rPr>
          <w:sz w:val="20"/>
          <w:szCs w:val="20"/>
          <w:color w:val="auto"/>
        </w:rPr>
      </w:pPr>
    </w:p>
    <w:p>
      <w:pPr>
        <w:jc w:val="both"/>
        <w:ind w:firstLine="8"/>
        <w:spacing w:after="0" w:line="257" w:lineRule="auto"/>
        <w:tabs>
          <w:tab w:leader="none" w:pos="331"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amount of loan growth experienced by the Company. While there has been general improvement in economic conditions, concerns continue to exist about the strength and sustainability of such improvements; the volatile nature of global markets, including the impact international economic conditions could have on the U.S. economy; Federal Reserve positioning of monetary policy; and continued stagnant population growth in the upstate New York and central Pennsylvania regions (approximately 55% of the Company’s loans and leases are to customers in New York State and Pennsylvania).</w:t>
      </w:r>
    </w:p>
    <w:p>
      <w:pPr>
        <w:spacing w:after="0" w:line="18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utilizes a loan grading system which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$2.4 billion at each of September 30, 2017 and December 31, 2016, compared with $2.5 billion at September 30, 2016 and $2.3 billion at June 30, 2017. Approximately 97% of loan balances added to the criticized category during the recent quarter were less than 90 days past due and 86% had a current payment status. Given payment performance, amount of supporting collateral, and, in certain instances, the existence of loan guarantees, the Company still expects to collect the full outstanding principal balance on most of those loans.</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are responsible to continuously review and reassign loan grades to pass and criticized loans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1" w:name="page72"/>
    <w:bookmarkEnd w:id="71"/>
    <w:p>
      <w:pPr>
        <w:jc w:val="both"/>
        <w:spacing w:after="0" w:line="268" w:lineRule="auto"/>
        <w:rPr>
          <w:sz w:val="20"/>
          <w:szCs w:val="20"/>
          <w:color w:val="auto"/>
        </w:rPr>
      </w:pPr>
      <w:r>
        <w:rPr>
          <w:rFonts w:ascii="Arial" w:cs="Arial" w:eastAsia="Arial" w:hAnsi="Arial"/>
          <w:sz w:val="19"/>
          <w:szCs w:val="19"/>
          <w:color w:val="auto"/>
        </w:rPr>
        <w:t>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2017, approximately 57% of the Company’s home equity portfolio consisted of first lien loans and lines of credit. Of the remaining junior lien loans in the portfolio, approximately 69% (or approximately 30%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September 30, 2017, the balance of junior lien loans and lines that were in nonaccrual status solely as a result of first lien loan performance was $10 million, compared with $14 million at September 30, 2016, $12 million at December 31, 2016 and $11 million at June 30, 2017.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2017, approximately 83% of all outstanding balances of home equity lines of credit related to lines that were still in the draw period, the weighted-average remaining draw periods were approximately five years, and approximately 20% were making contractually allowed payments that do not include any repayment of principal.</w:t>
      </w:r>
    </w:p>
    <w:p>
      <w:pPr>
        <w:spacing w:after="0" w:line="184"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2" w:name="page73"/>
    <w:bookmarkEnd w:id="72"/>
    <w:p>
      <w:pPr>
        <w:jc w:val="both"/>
        <w:ind w:firstLine="518"/>
        <w:spacing w:after="0" w:line="268" w:lineRule="auto"/>
        <w:rPr>
          <w:sz w:val="20"/>
          <w:szCs w:val="20"/>
          <w:color w:val="auto"/>
        </w:rPr>
      </w:pPr>
      <w:r>
        <w:rPr>
          <w:rFonts w:ascii="Arial" w:cs="Arial" w:eastAsia="Arial" w:hAnsi="Arial"/>
          <w:sz w:val="19"/>
          <w:szCs w:val="19"/>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43%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9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Management believes that the allowance for credit losses at September 30, 2017 appropriately reflected credit losses inherent in the portfolio as of that date. The allowance for credit losses was $1.01 billion, or 1.15% of total loans and leases at September 30, 2017, compared with $976 million or 1.09% at September 30, 2016, $989 million or 1.09% at December 31, 2016 and $1.01 billion or 1.13% at June 30, 2017. The ratio of the allowance to total loans and leases at each respective date reflects the impact of loans obtained in acquisition transactions subsequent to 2008 that have been recorded at estimated fair value. As noted earlier, GAAP prohibits any carry-over of an allowance for credit losses for acquired loans recorded at fair value. However, for loans acquired at a premium, GAAP provides that an allowance for credit losses be recognized for incurred losses inherent in the portfolio.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117% at each of September 30, 2017 and 2016, compared with 107% at December 31, 2016 and 116% at June 30, 2017. Given the Company’s general position as a secured lender and its practice of charging off loan balances when collection is deemed doubtful, that ratio and changes in that ratio are generally not an indicative measure of the adequacy of the Company’s allowance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jc w:val="both"/>
        <w:ind w:right="20"/>
        <w:spacing w:after="0" w:line="289" w:lineRule="auto"/>
        <w:rPr>
          <w:sz w:val="20"/>
          <w:szCs w:val="20"/>
          <w:color w:val="auto"/>
        </w:rPr>
      </w:pPr>
      <w:r>
        <w:rPr>
          <w:rFonts w:ascii="Arial" w:cs="Arial" w:eastAsia="Arial" w:hAnsi="Arial"/>
          <w:sz w:val="20"/>
          <w:szCs w:val="20"/>
          <w:color w:val="auto"/>
        </w:rPr>
        <w:t>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Other income totaled $459 million in the third quarter of 2017, compared with $491 million in the corresponding 2016 period and $461 million in the second quarter of 2017. The higher other income in last year’s third quarter resulted predominantly from $28 million of gains on bank investment securities. As compared with the second quarter of 2017, higher mortgage banking revenues in the recent quarter were largely offset by lower credit-related fees.</w:t>
      </w:r>
    </w:p>
    <w:p>
      <w:pPr>
        <w:spacing w:after="0" w:line="186"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Mortgage banking revenues were $97 million in the recent quarter, compared with $104 million in the third quarter of 2016 and $86 million in the second quarter of 2017.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$63 million in the third quarter of 2017, compared with $67 million in the year-earlier quarter and $61 million in 2017’s second quarter. The decline in residential mortgage banking revenues in the recent quarter as compared with the corresponding 2016 quarter was the result of lower gains from origination activities, reflecting a 9% decline in origination volumes. The improvement from 2017’s second quarter was due to higher servicing fees.</w:t>
      </w:r>
    </w:p>
    <w:p>
      <w:pPr>
        <w:spacing w:after="0" w:line="1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New commitments to originate residential real estate loans to be sold were approximately $757 million in the recently completed quarter, compared with $836 million in the third quarter of 2016 and $773 million in the second quarter of 2017.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$17 million in each of the second and third quarters of 2017, compared with gains of $21 million in the third quarter of 2016.</w:t>
      </w:r>
    </w:p>
    <w:p>
      <w:pPr>
        <w:spacing w:after="0" w:line="162"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Loans held for sale that were secured by residential real estate were $347 million at September 30, 2017, $415 million at September 30, 2016 and $414 million at December 31, 2016. Commitments to sell residential real estate loans and commitments to originate residential real estate loans for sale at pre-determined rates aggregated $658 million and $483 million, respectively, at September 30, 2017, $845 million and $636 million, respectively, at September 30, 2016, and $777 million and $479 million, respectively, at December 31, 2016. Net recognized unrealized gains on residential real estate loans held for sale, commitments to sell loans, and commitments to originate loans for sale were $15 million at each of September 30, 2017 and December 31, 2016, and $22 million at September 30, 2016. Changes in such net unrealized gains are recorded in mortgage banking revenues and resulted in net decreases in revenues of $2 million in the recent quarter, compared with net increases of $3 million in the third quarter of 2016 and $4 million in the second quarter of 2017.</w:t>
      </w:r>
    </w:p>
    <w:p>
      <w:pPr>
        <w:spacing w:after="0" w:line="2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Revenues from servicing residential real estate loans for others were $46 million in each of the third quarters of 2017 and 2016, compared with $44 million during the quarter ended June 30, 2017. Residential real estate loans serviced for others aggregated $81.9 billion at September 30, 2017, $55.0 billion at September 30, 2016, $53.2 billion at December 31, 2016 and $72.6 billion at June 30, 2017. Reflected in residential real estate loans serviced for others were loans sub-serviced for others of $59.3 billion at September 30, 2017, $32.1 billion at September 30, 2016, $30.4 billion at December 31, 2016 and $49.9 billion at June 30, 2017. Revenues earned for sub-servicing loans aggregated $26 million for the three-month period ended September 30, 2017, compared with $25 million for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4" w:name="page75"/>
    <w:bookmarkEnd w:id="74"/>
    <w:p>
      <w:pPr>
        <w:jc w:val="both"/>
        <w:spacing w:after="0" w:line="260" w:lineRule="auto"/>
        <w:rPr>
          <w:sz w:val="20"/>
          <w:szCs w:val="20"/>
          <w:color w:val="auto"/>
        </w:rPr>
      </w:pPr>
      <w:r>
        <w:rPr>
          <w:rFonts w:ascii="Arial" w:cs="Arial" w:eastAsia="Arial" w:hAnsi="Arial"/>
          <w:sz w:val="20"/>
          <w:szCs w:val="20"/>
          <w:color w:val="auto"/>
        </w:rPr>
        <w:t>each of the three-month periods ended June 30, 2017 and September 30, 2016. During 2017, the Company acquired additional sub-servicing of residential real estate loans as follows: in March, approximately $12.4 billion of outstanding principal balances were added; in June, outstanding principal balances of approximately $11.2 billion were added; and during September, approximately $12.0 billion of outstanding principal balances were added. The contractual servicing rights associated with loans sub-serviced by the Company were predominantly held by affiliates of Bayview Lending Group LLC (“BLG”). Information about the Company’s relationship with BLG and its affiliates is included in note 15 of Notes to Financial Statements.</w:t>
      </w:r>
    </w:p>
    <w:p>
      <w:pPr>
        <w:spacing w:after="0" w:line="18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Capitalized servicing rights consist largely of servicing associated with loans sold by the Company. Capitalized residential mortgage loan servicing assets totaled $116 million at September 30, 2017, compared with $117 million at each of September 30, 2016 and December 31, 2016.</w:t>
      </w:r>
    </w:p>
    <w:p>
      <w:pPr>
        <w:spacing w:after="0" w:line="1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Commercial mortgage banking revenues totaled $34 million in the third quarter of 2017, compared with $37 million in the corresponding 2016 period and $25 million in the second quarter of 2017. Included in such amounts were revenues from loan origination and sales activities of $21 million in the recently completed quarter, compared with $25 million and $11 million in the third quarter of 2016 and the second quarter of 2017, respectively. Commercial real estate loans originated for sale to other investors aggregated approximately $839 million in the third quarter of 2017, compared with $721 million in the year-earlier quarter and $510 million in the second quarter of 2017. Loan servicing revenues were $13 million in the recent quarter, compared with $11 million in the third quarter of 2016 and $14 million in the second 2017 quarter. Capitalized commercial mortgage servicing assets totaled $111 million and $92 million at September 30, 2017 and 2016, respectively, and $104 million at December 31, 2016. Commercial real estate loans serviced for other investors totaled $15.7 billion, $11.3 billion, and $11.8 billion at September 30, 2017, September 30, 2016 and December 31, 2016, respectively, and included $3.2 billion, $2.7 billion and $2.8 billion, respectively, of loan balances for which investors had recourse to the Company if such balances are ultimately uncollectible. In January 2017, the Company purchased commercial mortgage servicing rights and other assets associated with approximately $2.7 billion of loans. The purchase price and assets acquired were not material to the Company’s consolidated financial position. Commitments to sell commercial real estate loans and commitments to originate commercial real estate loans for sale were $394 million and $171 million, respectively, at September 30, 2017, $694 million and $403 million, respectively, at September 30, 2016 and $713 million and $70 million, respectively, at December 31, 2016. Commercial real estate loans held for sale at September 30, 2017, September 30, 2016 and December 31, 2016 were $224 million, $290 million and $643 million, respectively. The higher balance at December 31, 2016 reflected loans originated late in 2016 that were not delivered to investors until 2017.</w:t>
      </w:r>
    </w:p>
    <w:p>
      <w:pPr>
        <w:spacing w:after="0" w:line="16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8"/>
          <w:szCs w:val="18"/>
          <w:color w:val="auto"/>
        </w:rPr>
        <w:t>Service charges on deposit accounts were $109 million in the third quarter of 2017, compared with $108 million in the similar 2016 quarter and $106 million in the second quarter of 2017. Brokerage services income, which includes revenues from the sale of mutual funds and annuities and securities brokerage fees, aggregated $15 million during the recently completed quarter, compared with $16 million in the third quarter of 2016 and $17 million in the second 2017 quarter. Trading account and foreign exchange activity resulted in gains of $7 million in the third quarter of 2017, compared with gains of $13 million and $8 million in the third quarter of 2016 and the second quarter of 2017, respectively. The decline in such gains in the two most recent quarters as compared with the third quarter of 2016 reflects reduced activity related to interest rate swap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53"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5" w:name="page76"/>
    <w:bookmarkEnd w:id="75"/>
    <w:p>
      <w:pPr>
        <w:jc w:val="both"/>
        <w:spacing w:after="0" w:line="270" w:lineRule="auto"/>
        <w:rPr>
          <w:sz w:val="20"/>
          <w:szCs w:val="20"/>
          <w:color w:val="auto"/>
        </w:rPr>
      </w:pPr>
      <w:r>
        <w:rPr>
          <w:rFonts w:ascii="Arial" w:cs="Arial" w:eastAsia="Arial" w:hAnsi="Arial"/>
          <w:sz w:val="19"/>
          <w:szCs w:val="19"/>
          <w:color w:val="auto"/>
        </w:rPr>
        <w:t>management services are offered, including asset management, fiduciary services and family office services. Trust income totaled $125 million in the third quarter of 2017, compared with $119 million in the third quarter of 2016 and $127 million in second quarter of 2017. Revenues associated with the ICS business were approximately $64 million, $58 million and $63 million during the quarters ended September 30, 2017, September 30, 2016 and June 30, 2017, respectively. The higher revenues in the two most recent quarters as compared with the third quarter of 2016 reflect increased fees earned from money-market funds and stronger sales activities. Revenues attributable to WAS were approximately $56 million, $52 million and $60 million for the three-month periods ended September 30, 2017, September 30, 2016 and June 30, 2017, respectively. The increase in the recent quarter as compared with the similar 2016 period largely reflects the impact of improved equity market performance and stronger sales activities. The second quarter of 2017 included $4 million of annual tax preparation fees. Total trust assets, which include assets under management and assets under administration, totaled $230.5 billion at September 30, 2017, compared with $208.4 billion at September 30, 2016 and $210.6 billion at December 31, 2016. Trust assets under management were $76.9 billion, $70.8 billion and $70.7 billion at September 30, 2017, September 30, 2016 and December 31, 2016, respectively. Trust assets under management include the Company’s proprietary mutual funds’ assets of $10.7 billion, $11.5 billion and $10.9 billion at September 30, 2017, September 30, 2016 and December 31, 2016, respectively. Additional trust income from investment management activities aggregated $5 million in the recent quarter, $8 million in the third quarter of 2016 and $4 million in the second quarter of 2017. That income largely relates to fees earned from retail customer investment accounts and from an affiliated investment manager. Assets managed by that affiliated manager totaled $6.6 billion at September 30, 2017, $7.0 billion at September 30, 2016 and $7.3 billion at December 31, 2016. The Company’s trust income from that affiliate was not material during any of the quarters then-ended.</w:t>
      </w:r>
    </w:p>
    <w:p>
      <w:pPr>
        <w:spacing w:after="0" w:line="167"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8"/>
          <w:szCs w:val="18"/>
          <w:color w:val="auto"/>
        </w:rPr>
        <w:t>The Company realized gains from sales of investment securities of $28 million during the third quarter of 2016, when the Company sold substantially all of its collateralized debt obligations that had been held in the available-for-sale investment securities portfolio and that had been obtained through the acquisition of other banks. In total, securities with an amortized cost of $28 million were sold. Divestiture of the majority of those securities would have been required prior to July 21, 2017 in accordance with the provisions of the Volcker Rule. There were no significant gains or losses on investment securities in the second or third quarters of 2017.</w:t>
      </w:r>
    </w:p>
    <w:p>
      <w:pPr>
        <w:spacing w:after="0" w:line="14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Other revenues from operations were $107 million in the third quarter of 2017, compared with $104 million in the year-earlier quarter and $117 million in the second quarter of 2017. The higher other revenues from operations in the second quarter of 2017 reflects a greater amount of letter of credit and other credit-related fees in that quarter. Included in other revenues from operations were the following significant components. Letter of credit and other credit-related fees aggregated $25 million in the recent quarter, compared with $31 million and $35 million in the third quarter of 2016 and the second 2017 quarter, respectively. The lower revenues in the recent quarter as compared with those prior periods predominantly resulted from declines in fees for providing loan syndication services. Tax-exempt income from bank owned life insurance, which includes increases in the cash surrender value of life insurance policies and benefits received, aggregated $16 million in the most recent quarter, compared with $12 million and $14 million in the third quarter of 2016 and second quarter of 2017, respectively. Revenues from merchant discount and credit card fees were $31 million in the quarter ended September 30, 2017, compared with $28 million and $29 million during the quarters ended September 30, 2016 and June 30, 2017, respectively. Insurance-related sales commissions and other revenues were $10 million in the third quarter of 2017, compared with $11 million in each of the year-earlier quarter and the second quarter of 2017. M&amp;T’s share of the operating losses of BLG recognized using the equity method of accounting and cash distributions received resulted in losses of $2 million in the third quarter of 2016 and income of $1 million in the second quarter of 2017. There was no income or loss attributable to M&amp;T’s investment in BLG in the recent quarter. During the second quarter of 2017, the operating losses of BLG resulted in M&amp;T reducing the carrying value of its investment in BLG to zero. During that quarter, M&amp;T received a cash distribution from BLG that resulted in the recognition of income by M&amp;T. M&amp;T expects cash distributions from BLG in the future, but the timing and amount of those distributions cannot be estimated at this time. BLG is entitled to receive distributions from affiliates that provide asset management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6" w:name="page77"/>
    <w:bookmarkEnd w:id="76"/>
    <w:p>
      <w:pPr>
        <w:jc w:val="both"/>
        <w:ind w:right="20"/>
        <w:spacing w:after="0" w:line="264" w:lineRule="auto"/>
        <w:rPr>
          <w:sz w:val="20"/>
          <w:szCs w:val="20"/>
          <w:color w:val="auto"/>
        </w:rPr>
      </w:pPr>
      <w:r>
        <w:rPr>
          <w:rFonts w:ascii="Arial" w:cs="Arial" w:eastAsia="Arial" w:hAnsi="Arial"/>
          <w:sz w:val="21"/>
          <w:szCs w:val="21"/>
          <w:color w:val="auto"/>
        </w:rPr>
        <w:t>other services that are available for distribution to BLG’s owners, including M&amp;T. Information about the Company’s relationship with BLG and its affiliates is included in note 15 of Notes to Financial Statements.</w:t>
      </w:r>
    </w:p>
    <w:p>
      <w:pPr>
        <w:spacing w:after="0" w:line="171"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Other income aggregated $1.37 billion during the first nine months of 2017, $7 million higher than $1.36 billion in the first nine months of 2016. That increase was largely attributable to higher trust income, merchant discount and credit card fees, and credit-related fees, and lower losses related to M&amp;T’s share of the operating losses of BLG. Partially offsetting those improvements were lower mortgage banking revenues and trading account and foreign exchange gains in the 2017 period and gains on investment securities recognized during the 2016 period.</w:t>
      </w:r>
    </w:p>
    <w:p>
      <w:pPr>
        <w:spacing w:after="0" w:line="189"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Mortgage banking revenues totaled $268 million and $275 million during the nine-month periods ended September 30, 2017 and 2016, respectively. Residential mortgage banking revenues aggregated $183 million in the first nine months of 2017, compared with $192 million during the nine-month period ended September 30, 2016. New commitments to originate residential real estate loans to be sold aggregated $2.3 billion and $2.4 billion during the first nine months of 2017 and 2016,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$47 million and $54 million in the nine-month periods ended September 30, 2017 and 2016, respectively. Revenues from servicing residential mortgage loans for others through September 30 were $136 million in 2017 and $137 million in 2016. Included in servicing revenues were sub-servicing revenues aggregating $74 million and $73 million in the first nine months of 2017 and 2016, respectively. Commercial mortgage banking revenues were $85 million and $83 million in the nine months ended September 30, 2017 and 2016, respectively. Commercial real estate loans originated for sale to other investors totaled $1.7 billion and $1.6 billion in the nine-month periods ended September 30, 2017 and 2016, respectively.</w:t>
      </w:r>
    </w:p>
    <w:p>
      <w:pPr>
        <w:spacing w:after="0" w:line="18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Service charges on deposit accounts aggregated $320 million during the first nine months of 2017, compared with $314 million in the year-earlier period. Trust income totaled $372 million and $350 million during the first nine months of 2017 and 2016, respectively. The increase in trust income in 2017 as compared with 2016 was largely due to higher revenues from the ICS business, reflecting increased fees earned from money-market funds and stronger sales activities, and from the WAS business, resulting from improved equity market performance and stronger sales activities. Brokerage services income was $49 million and $48 million in the nine-month periods ended September 30, 2017 and 2016, respectively. Trading account and foreign exchange activity resulted in gains of $25 million and $33 million for the first nine months of 2017 and 2016, respectively. The decline resulted predominantly from reduced activity associated with interest rate swap agreements executed on behalf of commercial customers. Gains on investment securities were not significant in 2017 and were $29 million in the nine-month period ended September 30, 2016.</w:t>
      </w:r>
    </w:p>
    <w:p>
      <w:pPr>
        <w:spacing w:after="0" w:line="275"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Other revenues from operations totaled $335 million in the first nine months of 2017, compared with $311 million in the similar 2016 period. Other revenues from operations include the following significant components. Letter of credit and other credit-related fees aggregated $94 million and $89 million in 2017 and 2016, respectively. The higher revenues in the 2017 period were largely attributable to fees for providing loan syndication services. Income from bank owned life insurance totaled $44 million in 2017 and $41 million in 2016. Merchant discount and credit card fees were $88 million and $81 million in the first nine months of 2017 and 2016, respectively. The higher revenues in the 2017 period were largely attributable to increased transaction volumes related to merchant activity and usage of the Company’s credit card products. Insurance-related commissions and other revenues aggregated $33 million and $32 million in 2017 and 2016, respectively. M&amp;T’s investment in BLG resulted in losses of $1 million in 2017 and $8 million in 2016.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7" w:name="page78"/>
    <w:bookmarkEnd w:id="77"/>
    <w:p>
      <w:pPr>
        <w:spacing w:after="0"/>
        <w:rPr>
          <w:sz w:val="20"/>
          <w:szCs w:val="20"/>
          <w:color w:val="auto"/>
        </w:rPr>
      </w:pPr>
      <w:r>
        <w:rPr>
          <w:rFonts w:ascii="Arial" w:cs="Arial" w:eastAsia="Arial" w:hAnsi="Arial"/>
          <w:sz w:val="21"/>
          <w:szCs w:val="21"/>
          <w:b w:val="1"/>
          <w:bCs w:val="1"/>
          <w:color w:val="auto"/>
        </w:rPr>
        <w:t>Other Expense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Other expense aggregated $806 million in the third quarter of 2017, compared with $752 million in the year-earlier quarter and $751 million in the 2017’s second quarter. Included in those amounts are expenses considered to be “nonoperating” in nature consisting of amortization of core deposit and other intangible assets of $8 million in the two most recent quarters and $10 million in the third quarter of 2016. Exclusive of those nonoperating expenses, noninterest operating expenses were $798 million in the third quarter of 2017, compared with $743 million in each of the third quarter of 2016 and the second quarter of 2017. The most significant factors for the increased level of operating expenses in the recent quarter as compared with the earlier quarters were increased legal-related and professional services costs. As of September 30, 2017, the Company increased its reserve for legal matters by $50 million. Table 2 provides a reconciliation of other expense to noninterest operating expense.</w:t>
      </w:r>
    </w:p>
    <w:p>
      <w:pPr>
        <w:spacing w:after="0" w:line="18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Other expense for the first nine months of 2017 aggregated $2.34 billion, $66 million higher than $2.28 billion in the first nine months of 2016. Included in those amounts are expenses considered to be “nonoperating” in nature consisting of amortization of core deposit and other intangible assets of $24 million and $34 million in the nine-month periods ended September 30, 2017 and 2016, respectively, and merger-related expenses of $36 million in the first nine months of 2016. Exclusive of those nonoperating expenses, noninterest operating expenses for the nine months of 2017 increased 5% to $2.32 billion from $2.21 billion from the corresponding 2016 period. That $111 million increase was largely due to higher legal-related and professional service costs and increased expenses for salaries, including incentive compensation.</w:t>
      </w:r>
    </w:p>
    <w:p>
      <w:pPr>
        <w:spacing w:after="0" w:line="192"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Salaries and employee benefits expense totaled $399 million in each of the recent quarter and the second quarter of 2017, compared with $400 million in the third quarter 2016. During the first nine months of 2017 and 2016, salaries and employee benefits expense totaled $1.25 billion and $1.23 billion, respectively. The higher level of expenses in the first nine months of 2017 as compared with the similar 2016 period was largely attributable to the impact of annual merit increases and higher incentive compensation costs. Salaries and employee benefits expense included stock-based compensation of $10 million in each of the three-month periods ended September 30, 2017, September 30, 2016 and June 30, 2017, and $52 million and $55 million during the nine-month periods ended September 30, 2017 and 2016, respectively. The number of full-time equivalent employees was 16,478 at September 30, 2017, 16,709 at September 30, 2016, 16,593 at December 31, 2016 and 16,526 at June 30, 2017, respectively.</w:t>
      </w:r>
    </w:p>
    <w:p>
      <w:pPr>
        <w:spacing w:after="0" w:line="16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$399 million and $343 million in the quarters ended September 30, 2017 and September 30, 2016, respectively, and $344 million in the second quarter of 2017. On that same basis, such expenses were $1.07 billion and $984 million in the nine-month periods ended September 30, 2017 and 2016, respectively. The increases in nonpersonnel operating expenses reflected in the third 2017 quarter as compared with the year-earlier quarter and the second quarter of 2017, and in the first nine months of 2017 as compared with the first nine months of 2016, were predominantly the result of higher legal-related and professional services costs, including the $50 million increase in the Company’s reserve for legal matters as of September 30, 2017.</w:t>
      </w:r>
    </w:p>
    <w:p>
      <w:pPr>
        <w:spacing w:after="0" w:line="180"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56.0% during the recent quarter, compared with 55.9% during the third quarter of 2016 and 52.7% in the second quarter of 2017. The efficiency ratios for the nine-month periods ended September 30, 2017 and 2016 were 55.2% and 56.0%, respectively. The calculation of the efficiency ratio is presented in Table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provision for income taxes for the third quarter of 2017 was $225 million, compared with $200 million and $215 million in the year-earlier quarter and the second quarter of 2017, respectively. For the nine-month periods ended September 30, 2017 and 2016, the provision for income taxes was $609 million and $564 million, respectively. As noted earlier, M&amp;T adopted new accounting guidance for share-based transactions during the first quarter of 2017. That guidance requires that all excess tax benefits and tax deficiencies associated with share-based compensation be recognized as a component of income tax expense in the income statement. Previously, tax effects resulting from changes to M&amp;T’s share price subsequent to the grant date were recorded through shareholders’ equity at the time of vesting or exercise. The adoption of the amended accounting guidance resulted in an $18 million reduction of income tax expense in the initial 2017 quarter. The impact of the amended guidance on the second and third quarters of 2017 was not significant. As discussed earlier, the October 2017 settlement between Wilmington Trust Corporation and the U.S. Attorney’s Office for the District of Delaware resulted in a $44 million payment by Wilmington Trust Corporation that is not deductible for income tax purposes, resulting in a higher effective tax rate in the recent quarter. The effective tax rates were 38.7%, 36.4% and 36.1% for the quarters ended September 30, 2017, September 30, 2016 and June 30, 2017, respectively, and 35.9% and 36.4% for the nine-month periods ended September 30, 2017 and 2016, respectively. Excluding the impact on income tax expense of the Wilmington Trust Corporation matter, the effective tax rate would have been 35.8% in the third quarter of 2017.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59"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Company’s effective tax rate in future periods will also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Shareholders’ equity was $16.3 billion at each of September 30, 2017 and 2016, representing 13.55% and 12.88% of total assets, respectively, compared with $16.5 billion or 13.35% at December 31, 2016.</w:t>
      </w:r>
    </w:p>
    <w:p>
      <w:pPr>
        <w:spacing w:after="0" w:line="6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Included in shareholders’ equity was preferred stock with financial statement carrying values of $1.2 billion at each of September 30, 2017, September 30, 2016 and December 31, 2016. Further information concerning M&amp;T’s preferred stock can be found in note 6 of Notes to Financial Statements.</w:t>
      </w:r>
    </w:p>
    <w:p>
      <w:pPr>
        <w:spacing w:after="0" w:line="182"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Reflecting the impact of repurchases of M&amp;T’s common stock, common shareholders’ equity was $15.1 billion at each of September 30, 2017 and 2016, or $99.70 per share and $97.47 per share, respectively, compared with $15.3 billion, or $97.64 at December 31, 2016. Tangible equity per common share, which excludes goodwill and core deposit and other intangible assets and applicable deferred tax balances, was $69.02 at the end of the recent quarter, compared with $67.42 a year earlier and $67.85 at December 31, 2016. The Company’s ratio of tangible common equity to tangible assets was 9.02% at September 30, 2017, compared with 8.55% a year earlier and 8.92% at December 31, 2016. Reconciliations of total common shareholders’ equity and tangible common equity and total assets and tangible assets as of each of those respective dates are presented in table 2.</w:t>
      </w:r>
    </w:p>
    <w:p>
      <w:pPr>
        <w:spacing w:after="0" w:line="1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$18 million, or $.12 per common share, at September 30, 2017 and $175 million, or $1.13 per common share, at September 30, 2016, compared with net unrealized losses of $16 million, or $.10 per common share, at December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21"/>
          <w:szCs w:val="21"/>
          <w:color w:val="auto"/>
        </w:rPr>
        <w:t>31, 2016. Changes in unrealized gains and losses on investment securities are predominantly reflective of the impact of changes in interest rates on the values of such securities.</w:t>
      </w:r>
    </w:p>
    <w:p>
      <w:pPr>
        <w:spacing w:after="0" w:line="171"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Reflected in the carrying amount of available for sale investment securities at September 30, 2017 were pre-tax effect unrealized losses of $86 million on securities with an amortized cost of $6.3 billion and pre-tax effect unrealized gains of $133 million on securities with an amortized cost of $5.1 billion. Information about unrealized gains and losses as of September 30, 2017 and December 31, 2016 is included in note 3 of Notes to Financial Statements. Information concerning the Company’s fair valuations of investment securities is provided in note 12 of Notes to Financial Statements.</w:t>
      </w:r>
    </w:p>
    <w:p>
      <w:pPr>
        <w:spacing w:after="0" w:line="18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As of September 30, 2017, based on a review of each of the securities in the investment securities portfolio, the Company concluded that the declines in the values of any securities containing an unrealized loss were temporary and that any other-than-temporary impairment charges were not appropriate. As of September 30, 2017,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7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September 30, 2017 and December 31, 2016, the Company had in its held-to-maturity portfolio privately issued mortgage-backed securities with an amortized cost basis of $141 million and $158 million, respectively, and a fair value of $112 million and $121 million, respectively. At September 30, 2017, 85% of the mortgage-backed securities were in the most senior tranche of the securitization structure with 22% being independently rated as investment grade. The mortgage-backed securities are generally collateralized by residential and small-balance commercial real estate loans originated between 2004 and 2008 and had a weighted-average credit enhancement of 17% at September 30, 2017,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33% and 64% respectively. Given the terms of the securitization structure, the bonds held by the Company may defer interest payments in certain circumstances, but after considering the repayment structure and estimated future collateral cash flows of each individual senior and subordinate tranche bond, the Company has concluded that as of September 30, 2017,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170"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$260 million, or $1.72 per common share, at September 30, 2017, $285 million, or $1.84 per common share, at September 30, 2016 and $273 million, or $1.75 per common share, at December 31,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0" w:name="page81"/>
    <w:bookmarkEnd w:id="80"/>
    <w:p>
      <w:pPr>
        <w:jc w:val="both"/>
        <w:ind w:firstLine="518"/>
        <w:spacing w:after="0" w:line="256" w:lineRule="auto"/>
        <w:rPr>
          <w:sz w:val="20"/>
          <w:szCs w:val="20"/>
          <w:color w:val="auto"/>
        </w:rPr>
      </w:pPr>
      <w:r>
        <w:rPr>
          <w:rFonts w:ascii="Arial" w:cs="Arial" w:eastAsia="Arial" w:hAnsi="Arial"/>
          <w:sz w:val="20"/>
          <w:szCs w:val="20"/>
          <w:color w:val="auto"/>
        </w:rPr>
        <w:t>Consistent with its revised 2016 Capital Plan filed with the Federal Reserve, M&amp;T repurchased 3,233,196 common shares for $532 million during the first quarter of 2017 and 1,409,807 common shares for $225 million in the second quarter of 2017. On June 28, 2017, M&amp;T announced that the Federal Reserve did not object to M&amp;T’s 2017 Capital Plan. That plan includes the repurchase of up to $900 million of common shares during the four-quarter period beginning on July 1, 2017 and an increase in the quarterly common stock cash dividend in the second quarter of 2018 of up to $.05 per share to $.80 per share. M&amp;T may also continue to pay dividends and interest on other equity and debt instruments included in regulatory capital, including preferred stock, trust preferred securities and subordinated debt that were outstanding at December 31, 2016, consistent with the contractual terms of those instruments. Dividends are subject to declaration by M&amp;T’s Board of Directors. Furthermore, on July 18, 2017, M&amp;T’s Board of Directors authorized a new stock repurchase program to repurchase up to $900 million of shares of its common stock subject to all applicable regulatory reporting limitations, including those set forth in M&amp;T’s 2017 Capital Plan. During the recent quarter, M&amp;T repurchased 1,382,746 common shares for $225 million in accordance with that program. In total, M&amp;T repurchased 6,025,749 common shares during the first nine months of 2017 for an aggregate amount of $982 million. M&amp;T repurchased 5,307,595 shares of common stock during the first nine months of 2016 at a total cost of $604 million.</w:t>
      </w:r>
    </w:p>
    <w:p>
      <w:pPr>
        <w:spacing w:after="0" w:line="214" w:lineRule="exact"/>
        <w:rPr>
          <w:sz w:val="20"/>
          <w:szCs w:val="20"/>
          <w:color w:val="auto"/>
        </w:rPr>
      </w:pPr>
    </w:p>
    <w:p>
      <w:pPr>
        <w:jc w:val="both"/>
        <w:ind w:firstLine="476"/>
        <w:spacing w:after="0" w:line="271" w:lineRule="auto"/>
        <w:rPr>
          <w:sz w:val="20"/>
          <w:szCs w:val="20"/>
          <w:color w:val="auto"/>
        </w:rPr>
      </w:pPr>
      <w:r>
        <w:rPr>
          <w:rFonts w:ascii="Arial" w:cs="Arial" w:eastAsia="Arial" w:hAnsi="Arial"/>
          <w:sz w:val="20"/>
          <w:szCs w:val="20"/>
          <w:color w:val="auto"/>
        </w:rPr>
        <w:t>Cash dividends declared on M&amp;T’s common stock aggregated $114 million in the recent quarter, compared with $109 million and $115 million in the quarters ended September 30, 2016 and June 30, 2017, respectively. Cash dividends on common stock during the nine-month periods ended September 30, 2017 and 2016 were $344 million and $332 million, respectively.</w:t>
      </w:r>
    </w:p>
    <w:p>
      <w:pPr>
        <w:spacing w:after="0" w:line="27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9"/>
          <w:szCs w:val="19"/>
          <w:color w:val="auto"/>
        </w:rPr>
        <w:t>Cash dividends declared on preferred stock totaled $18 million during each of the two most recent quarters, as compared with $20 million in the third quarter of 2016. The decline in preferred stock dividends in the two most recent quarters as compared with the third quarter of 2016 resulted from the lower dividend rate for the $500 million of Series F preferred stock issued in October 2016 as compared with the like-amount of Series D preferred stock that had been redeemed in December 2016.</w:t>
      </w:r>
    </w:p>
    <w:p>
      <w:pPr>
        <w:spacing w:after="0" w:line="117" w:lineRule="exact"/>
        <w:rPr>
          <w:sz w:val="20"/>
          <w:szCs w:val="20"/>
          <w:color w:val="auto"/>
        </w:rPr>
      </w:pPr>
    </w:p>
    <w:p>
      <w:pPr>
        <w:jc w:val="both"/>
        <w:ind w:right="20" w:firstLine="476"/>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103" w:lineRule="exact"/>
        <w:rPr>
          <w:sz w:val="20"/>
          <w:szCs w:val="20"/>
          <w:color w:val="auto"/>
        </w:rPr>
      </w:pPr>
    </w:p>
    <w:p>
      <w:pPr>
        <w:ind w:left="760" w:hanging="374"/>
        <w:spacing w:after="0"/>
        <w:tabs>
          <w:tab w:leader="none" w:pos="7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36"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130" w:lineRule="exact"/>
        <w:rPr>
          <w:rFonts w:ascii="Arial" w:cs="Arial" w:eastAsia="Arial" w:hAnsi="Arial"/>
          <w:sz w:val="21"/>
          <w:szCs w:val="21"/>
          <w:color w:val="auto"/>
        </w:rPr>
      </w:pPr>
    </w:p>
    <w:p>
      <w:pPr>
        <w:ind w:left="760" w:right="20" w:hanging="374"/>
        <w:spacing w:after="0" w:line="264" w:lineRule="auto"/>
        <w:tabs>
          <w:tab w:leader="none" w:pos="7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130"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5"/>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130"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 addition, capital regulations provide for the phase-in of a “capital conservation buffer” composed entirely of CET1 on top of these minimum risk-weighted asset ratios. When fully phased-in on January 1, 2019 the capital conservation buffer will be 2.5%. For 2017, the phase-in transition portion of that buffer is 1.25%.</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September 30, 2017 are presented in the accompanying 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1" w:name="page82"/>
    <w:bookmarkEnd w:id="81"/>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September 30,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color w:val="auto"/>
              </w:rPr>
              <w:t>M&amp;T</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Wilmington</w:t>
            </w:r>
          </w:p>
        </w:tc>
      </w:tr>
      <w:tr>
        <w:trPr>
          <w:trHeight w:val="167"/>
        </w:trPr>
        <w:tc>
          <w:tcPr>
            <w:tcW w:w="532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(Consolidated)</w:t>
            </w:r>
          </w:p>
        </w:tc>
        <w:tc>
          <w:tcPr>
            <w:tcW w:w="1300" w:type="dxa"/>
            <w:vAlign w:val="bottom"/>
            <w:gridSpan w:val="2"/>
          </w:tcPr>
          <w:p>
            <w:pPr>
              <w:ind w:left="360"/>
              <w:spacing w:after="0"/>
              <w:rPr>
                <w:sz w:val="20"/>
                <w:szCs w:val="20"/>
                <w:color w:val="auto"/>
              </w:rPr>
            </w:pPr>
            <w:r>
              <w:rPr>
                <w:rFonts w:ascii="Arial" w:cs="Arial" w:eastAsia="Arial" w:hAnsi="Arial"/>
                <w:sz w:val="14"/>
                <w:szCs w:val="14"/>
                <w:color w:val="auto"/>
              </w:rPr>
              <w:t>Bank</w:t>
            </w:r>
          </w:p>
        </w:tc>
        <w:tc>
          <w:tcPr>
            <w:tcW w:w="1200" w:type="dxa"/>
            <w:vAlign w:val="bottom"/>
          </w:tcPr>
          <w:p>
            <w:pPr>
              <w:jc w:val="center"/>
              <w:spacing w:after="0"/>
              <w:rPr>
                <w:sz w:val="20"/>
                <w:szCs w:val="20"/>
                <w:color w:val="auto"/>
              </w:rPr>
            </w:pPr>
            <w:r>
              <w:rPr>
                <w:rFonts w:ascii="Arial" w:cs="Arial" w:eastAsia="Arial" w:hAnsi="Arial"/>
                <w:sz w:val="14"/>
                <w:szCs w:val="14"/>
                <w:color w:val="auto"/>
                <w:w w:val="95"/>
              </w:rPr>
              <w:t>Trust, N.A.</w:t>
            </w:r>
          </w:p>
        </w:tc>
      </w:tr>
      <w:tr>
        <w:trPr>
          <w:trHeight w:val="453"/>
        </w:trPr>
        <w:tc>
          <w:tcPr>
            <w:tcW w:w="5320" w:type="dxa"/>
            <w:vAlign w:val="bottom"/>
          </w:tcPr>
          <w:p>
            <w:pPr>
              <w:spacing w:after="0"/>
              <w:rPr>
                <w:sz w:val="20"/>
                <w:szCs w:val="20"/>
                <w:color w:val="auto"/>
              </w:rPr>
            </w:pPr>
            <w:r>
              <w:rPr>
                <w:rFonts w:ascii="Arial" w:cs="Arial" w:eastAsia="Arial" w:hAnsi="Arial"/>
                <w:sz w:val="18"/>
                <w:szCs w:val="18"/>
                <w:color w:val="auto"/>
              </w:rPr>
              <w:t>Common equity Tier 1</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10.98%</w:t>
            </w:r>
          </w:p>
        </w:tc>
        <w:tc>
          <w:tcPr>
            <w:tcW w:w="18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10.69%</w:t>
            </w:r>
          </w:p>
        </w:tc>
        <w:tc>
          <w:tcPr>
            <w:tcW w:w="260" w:type="dxa"/>
            <w:vAlign w:val="bottom"/>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67.58%</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12.25%</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10.69%</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67.58%</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Total capital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14.87%</w:t>
            </w:r>
          </w:p>
        </w:tc>
        <w:tc>
          <w:tcPr>
            <w:tcW w:w="1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12.99%</w:t>
            </w:r>
          </w:p>
        </w:tc>
        <w:tc>
          <w:tcPr>
            <w:tcW w:w="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68.14%</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10.35%</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9.05%</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14.55%</w:t>
            </w:r>
          </w:p>
        </w:tc>
      </w:tr>
    </w:tbl>
    <w:p>
      <w:pPr>
        <w:spacing w:after="0" w:line="203" w:lineRule="exact"/>
        <w:rPr>
          <w:sz w:val="20"/>
          <w:szCs w:val="20"/>
          <w:color w:val="auto"/>
        </w:rPr>
      </w:pPr>
    </w:p>
    <w:p>
      <w:pPr>
        <w:jc w:val="both"/>
        <w:ind w:firstLine="476"/>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2016.</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5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 As disclosed in M&amp;T’s Form 10-K for the year ended December 31, 2016, in the fourth quarter of 2016 the Company revised its funds transfer pricing allocation related to borrowings. Additionally, during the second quarter of 2017, the Company revised its funds transfer pricing allocation related to certain deposit categories. As a result of the changes and as described in note 14 of Notes to Financial Statements, prior period financial information has been reclassified to provide segment information on a comparable basis.</w:t>
      </w:r>
    </w:p>
    <w:p>
      <w:pPr>
        <w:spacing w:after="0" w:line="21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9"/>
          <w:szCs w:val="19"/>
          <w:color w:val="auto"/>
        </w:rPr>
        <w:t>The Business Banking segment contributed net income of $31 million during the quarter ended September 30, 2017, compared with $24 million in the third quarter of 2016 and $29 million in the second quarter of 2017. As compared with the third quarter of 2016, the recent quarter’s higher net income primarily reflected an $8 million increase in net interest income that resulted from a widening of the net interest margin on deposits of 16 basis points and an increase in average outstanding deposit balances of $629 million. The improvement in net income in 2017’s third quarter as compared with the immediately preceding quarter reflected a $4 million increase in net interest income. That improvement was attributable to higher average outstanding deposit balances of $254 million, a widening of the net interest margin on deposits of 3 basis points and the impact of one additional day in the current quarter. Net income earned by the Business Banking segment totaled $85 million during the first nine months of 2017, compared with $77 million in the year-earlier period. That 10% increase in net income was attributable to a $16 million rise in net interest income and higher merchant discount and credit card fees of $2 million offset, in part, by a $5 million increase in the provision for credit losses, predominantly due to higher net charge-offs. The improvement in net interest income reflected a widening of the net interest margin on deposits of 15 basis points and an increase in average outstanding deposit balances of $399 million.</w:t>
      </w:r>
    </w:p>
    <w:p>
      <w:pPr>
        <w:spacing w:after="0" w:line="200"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Net income of the Commercial Banking segment was $110 million in the recent quarter, compared with $103 million in 2016’s third quarter and $106 million in the second quarter of 2017. The recent quarter’s 7% rise in net income as compared with the third quarter of 2016 was largely due to a $12 million decrease in the provision for credit losses and a $6 million increase in net interest income. Those favorable factors were partially offset by an $8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19"/>
          <w:szCs w:val="19"/>
          <w:color w:val="auto"/>
        </w:rPr>
        <w:t>million decline in letter of credit and credit-related fees, primarily due to lower loan syndication fees. The higher net interest income resulted predominately from a widening of the net interest margin on deposits of 40 basis points and higher average outstanding balances of loans of $780 million, partially offset by a narrowing of the net interest margin on loans of 15 basis points and lower average deposit balances of $795 million. The increase in net income in the recent quarter as compared with the second quarter of 2017 was largely due to a $13 million decrease in the provision for credit losses and higher net interest income of $3 million, reflecting the impact of one additional day in the current quarter, partially offset by a $9 million decrease in credit-related fees, primarily due to lower loan syndication fees. Year-to-date net income for the Commercial Banking segment totaled $328 million in 2017, compared with $309 million in 2016. That improvement was largely due to higher net interest income of $19 million, a $7 million decline in the provision for credit losses and a $4 million increase on gains on sales of previously leased equipment. The improvement in net interest income reflected a widening of the net interest margin on deposits of 31 basis points and higher average loan balances of $1.3 billion, partially offset by a narrowing of the net interest margin on loans of 17 basis points.</w:t>
      </w:r>
    </w:p>
    <w:p>
      <w:pPr>
        <w:spacing w:after="0" w:line="19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The Commercial Real Estate segment recorded net income of $97 million in the third quarter of 2017, compared with $90 million in the year-earlier period and $87 million in the second quarter of 2017. The recent quarter’s improvement in net income as compared with the third quarter of 2016 reflects a $10 million rise in net interest income and a $3 million decrease in the provision for credit losses, partially offset by lower trading account and foreign exchange gains of $5 million, due predominately to reduced activity related to interest rate swap transactions executed on behalf of customers. The higher net interest income resulted from an increase in average outstanding loan balances of $1.1 billion and a widening of the net interest margin on deposits of 46 basis points, partially offset by a narrowing of the net interest margin on loans of 5 basis points. The recent quarter’s 11% increase in net income as compared with the immediately preceding quarter reflected higher mortgage banking revenues as previously noted, resulting from increased loan origination activities, and a $5 million increase in net interest income. The higher net interest income resulted largely from a widening of net interest margin on loans of 4 basis points and the impact of one additional day in the current quarter. Net income for the Commercial Real Estate segment totaled $269 million in the first nine months of 2017, compared with $255 million in the similar 2016 period. That improvement resulted from a rise in net interest income of $33 million and higher letter of credit and other credit-related fees of $4 million, partially offset by lower trading account and foreign exchange gains of $11 million and a $5 million increase in personnel-related expenses. The higher net interest income resulted from increased average outstanding loan balances of $2.2 billion and a widening of the net interest margin on deposits of 37 basis points offset, in part, by a narrowing of the net interest margin on loans of 13 basis points. The lower trading account and foreign exchange gains during the nine-month period ended September 30, 2017 resulted from decreased activity related to interest rate swap transactions executed on behalf of customers.</w:t>
      </w:r>
    </w:p>
    <w:p>
      <w:pPr>
        <w:spacing w:after="0" w:line="197"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Net income earned by the Discretionary Portfolio segment totaled $32 million during the three-month period ended September 30, 2017, compared with $46 million in the year-earlier period and $30 million in the second quarter of 2017. Reflected in the results for the third quarter of 2016 were net after-tax investment securities gains of $17 million ($28 million pre-tax), while there were no significant gains or losses on investment securities in 2017. Largely in response to the provisions of the Dodd-Frank Act commonly referred to as the “Volcker Rule,” the Company sold substantially all of its collateralized debt obligations in 2016’s third quarter. In addition to those gains on investment securities, contributing to the recent quarter decline in net income as compared with the third quarter of 2016 was a $17 million decline in net interest income, due largely to lower average outstanding loan balances of $3.4 billion and a narrowing of the net interest margin on loans of 9 basis points. Partially offsetting those unfavorable factors were a $6 million decline in the provision for credit losses and lower loan and other real estate servicing costs. As compared with the second quarter of 2017, a $6 million decrease in the provision for credit losses and lower operating expenses in the recent quarter were largely offset by a $7 million decline in net interest income. The lower net interest income reflected decreased average outstanding loan balances of $758 million and a narrowing of the net interest margin on investment securities of 6 basis points. The Discretionary Portfolio segment recorded net income of $95 million and $135 million in the first nine months of 2017 and 2016, respectively. That year-over-year decline was predominantly the result of a $57 million decrease in net interest income and the noted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3" w:name="page84"/>
    <w:bookmarkEnd w:id="83"/>
    <w:p>
      <w:pPr>
        <w:jc w:val="both"/>
        <w:spacing w:after="0" w:line="249" w:lineRule="auto"/>
        <w:rPr>
          <w:sz w:val="20"/>
          <w:szCs w:val="20"/>
          <w:color w:val="auto"/>
        </w:rPr>
      </w:pPr>
      <w:r>
        <w:rPr>
          <w:rFonts w:ascii="Arial" w:cs="Arial" w:eastAsia="Arial" w:hAnsi="Arial"/>
          <w:sz w:val="21"/>
          <w:szCs w:val="21"/>
          <w:color w:val="auto"/>
        </w:rPr>
        <w:t>investment securities gains recorded in 2016, partially offset by lower loan and other real estate-related servicing costs. The decrease in net interest income reflected lower average outstanding loan balances of $3.6 billion and a 12 basis point narrowing of the net interest margin on loans, each largely due to pay downs of loans obtained in the acquisition of Hudson City, partially offset by a widening of the net interest margin on investment securities of 9 basis points.</w:t>
      </w:r>
    </w:p>
    <w:p>
      <w:pPr>
        <w:spacing w:after="0" w:line="213" w:lineRule="exact"/>
        <w:rPr>
          <w:sz w:val="20"/>
          <w:szCs w:val="20"/>
          <w:color w:val="auto"/>
        </w:rPr>
      </w:pPr>
    </w:p>
    <w:p>
      <w:pPr>
        <w:jc w:val="both"/>
        <w:ind w:firstLine="761"/>
        <w:spacing w:after="0" w:line="275" w:lineRule="auto"/>
        <w:rPr>
          <w:sz w:val="20"/>
          <w:szCs w:val="20"/>
          <w:color w:val="auto"/>
        </w:rPr>
      </w:pPr>
      <w:r>
        <w:rPr>
          <w:rFonts w:ascii="Arial" w:cs="Arial" w:eastAsia="Arial" w:hAnsi="Arial"/>
          <w:sz w:val="19"/>
          <w:szCs w:val="19"/>
          <w:color w:val="auto"/>
        </w:rPr>
        <w:t>Net income recorded by the Residential Mortgage Banking segment aggregated $14 million in each of the two most recent quarters, compared with $16 million in the third quarter of 2016. The decline in net income for the third quarter of 2017 as compared with the year-earlier period was predominantly attributable to lower revenues of $7 million associated with mortgage origination and sales activities (including intersegment revenues) and servicing income. As compared with the second quarter of 2017, increased personnel expenses and a decrease in net interest income were largely offset by higher origination and servicing income. Year-to-date net income for this segment totaled $37 million in 2017 and $43 million in 2016. Contributing to that decline were decreased revenues from mortgage origination and sales activities (including intersegment revenues) and from servicing residential real estate loans.</w:t>
      </w:r>
    </w:p>
    <w:p>
      <w:pPr>
        <w:spacing w:after="0" w:line="192"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8"/>
          <w:szCs w:val="18"/>
          <w:color w:val="auto"/>
        </w:rPr>
        <w:t>Net income for the Retail Banking segment totaled $96 million in the quarter ended September 30, 2017, compared with $75 million in the year-earlier period and $100 million in the second quarter of 2017. As compared with the third quarter of 2016, a $30 million rise in net interest income in the recent quarter and decreases in advertising, marketing and personnel-related costs contributed to the improvement. The higher net interest income was due to a 39 basis point widening of the net interest margin on deposits offset, in part, by lower average outstanding deposit balances of $3.9 billion. The modest decline in net income in the recent quarter as compared with the second quarter of 2017 reflected a $7 million rise in the provision for credit losses and an increase in equipment and net occupancy costs of $5 million. Partially offsetting those unfavorable factors was a $7 million increase in net interest income, resulting largely from a widening of the net interest margin on deposits of 6 basis points, the impact of one additional day in the current quarter and an increase in the average outstanding loan balances of $420 million, partially offset by lower average outstanding deposit balances of $1.4 billion. The Retail Banking segment recorded net income of $283 million and $219 million in the first nine months of 2017 and 2016, respectively. That improvement was predominantly due to a $79 million rise in net interest income, primarily reflecting a widening of the net interest margin on deposits of 34 basis points that was offset, in part, by lower average outstanding deposit balances of $3.1 billion, and a $14 million decrease in the provision for credit losses due, in part, to higher levels of partial charge-offs recognized in the first quarter of 2016 associated with loans for which the Company identified that the customer was either bankrupt or deceased.</w:t>
      </w:r>
    </w:p>
    <w:p>
      <w:pPr>
        <w:spacing w:after="0" w:line="19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results of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of $24 million for the third quarter of 2017 and $3 million in the corresponding 2016 quarter, compared with net income of $16 million in the second quarter of 2017. The higher net loss in the recent quarter as compared with the year-earlier quarter resulted largely from increased legal-related and professional services costs of $66 million (including additions to the reserve for legal matters of $50 million in 2017’s third quarter) and a $6 million increase in personnel-related expenses. Those unfavorable factors were partially offset by the favorable impact from the Company’s allocation methodologies in the recent quarter and higher trust income of $6 million. As compared with the net income earned in the second quarter of 2017, the recent quarter’s net loss predominately reflected the $50 million addition to the reserve for legal matters, partially offset by the favorable impact from the Company’s allocation methodology. The “All Other” category had net losses of $12 million and $54 million for the nine-month periods ended September 30, 2017 and 2016, respectively. The lower net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4" w:name="page85"/>
    <w:bookmarkEnd w:id="84"/>
    <w:p>
      <w:pPr>
        <w:jc w:val="both"/>
        <w:spacing w:after="0" w:line="262" w:lineRule="auto"/>
        <w:rPr>
          <w:sz w:val="20"/>
          <w:szCs w:val="20"/>
          <w:color w:val="auto"/>
        </w:rPr>
      </w:pPr>
      <w:r>
        <w:rPr>
          <w:rFonts w:ascii="Arial" w:cs="Arial" w:eastAsia="Arial" w:hAnsi="Arial"/>
          <w:sz w:val="20"/>
          <w:szCs w:val="20"/>
          <w:color w:val="auto"/>
        </w:rPr>
        <w:t>loss in the 2017 period was predominantly due to: merger-related expenses of $36 million in 2016 (there were no such expenses in 2017); higher trust income of $22 million; tax benefits of $19 million recognized in 2017 associated with the adoption of new accounting guidance requiring that excess tax benefits associated with share-based compensation be recognized in income tax expense in the income statement; and the favorable impact from the Company’s allocation methodology. Those favorable factors were partially offset by higher legal-related and professional services costs and personnel-related expenses during 2017.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7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Table 1</w:t>
            </w:r>
          </w:p>
        </w:tc>
        <w:tc>
          <w:tcPr>
            <w:tcW w:w="0" w:type="dxa"/>
            <w:vAlign w:val="bottom"/>
          </w:tcPr>
          <w:p>
            <w:pPr>
              <w:spacing w:after="0"/>
              <w:rPr>
                <w:sz w:val="1"/>
                <w:szCs w:val="1"/>
                <w:color w:val="auto"/>
              </w:rPr>
            </w:pPr>
          </w:p>
        </w:tc>
      </w:tr>
      <w:tr>
        <w:trPr>
          <w:trHeight w:val="322"/>
        </w:trPr>
        <w:tc>
          <w:tcPr>
            <w:tcW w:w="4740" w:type="dxa"/>
            <w:vAlign w:val="bottom"/>
          </w:tcPr>
          <w:p>
            <w:pPr>
              <w:spacing w:after="0"/>
              <w:rPr>
                <w:sz w:val="20"/>
                <w:szCs w:val="20"/>
                <w:color w:val="auto"/>
              </w:rPr>
            </w:pPr>
            <w:r>
              <w:rPr>
                <w:rFonts w:ascii="Arial" w:cs="Arial" w:eastAsia="Arial" w:hAnsi="Arial"/>
                <w:sz w:val="20"/>
                <w:szCs w:val="20"/>
                <w:color w:val="auto"/>
              </w:rPr>
              <w:t>QUARTERLY TRENDS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color w:val="auto"/>
                <w:w w:val="84"/>
              </w:rPr>
              <w:t>2017 Quarters</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6"/>
              </w:rPr>
              <w:t>2016 Quarters</w:t>
            </w: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37"/>
              <w:spacing w:after="0"/>
              <w:rPr>
                <w:sz w:val="20"/>
                <w:szCs w:val="20"/>
                <w:color w:val="auto"/>
              </w:rPr>
            </w:pPr>
            <w:r>
              <w:rPr>
                <w:rFonts w:ascii="Arial" w:cs="Arial" w:eastAsia="Arial" w:hAnsi="Arial"/>
                <w:sz w:val="13"/>
                <w:szCs w:val="13"/>
                <w:color w:val="auto"/>
              </w:rPr>
              <w:t>Third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Second</w:t>
            </w:r>
          </w:p>
        </w:tc>
        <w:tc>
          <w:tcPr>
            <w:tcW w:w="20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3"/>
                <w:szCs w:val="13"/>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Fourth</w:t>
            </w:r>
          </w:p>
        </w:tc>
        <w:tc>
          <w:tcPr>
            <w:tcW w:w="28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Third</w:t>
            </w:r>
          </w:p>
        </w:tc>
        <w:tc>
          <w:tcPr>
            <w:tcW w:w="300" w:type="dxa"/>
            <w:vAlign w:val="bottom"/>
          </w:tcPr>
          <w:p>
            <w:pPr>
              <w:spacing w:after="0"/>
              <w:rPr>
                <w:sz w:val="13"/>
                <w:szCs w:val="1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Second</w:t>
            </w:r>
          </w:p>
        </w:tc>
        <w:tc>
          <w:tcPr>
            <w:tcW w:w="300" w:type="dxa"/>
            <w:vAlign w:val="bottom"/>
          </w:tcPr>
          <w:p>
            <w:pPr>
              <w:spacing w:after="0"/>
              <w:rPr>
                <w:sz w:val="13"/>
                <w:szCs w:val="13"/>
                <w:color w:val="auto"/>
              </w:rPr>
            </w:pPr>
          </w:p>
        </w:tc>
        <w:tc>
          <w:tcPr>
            <w:tcW w:w="660" w:type="dxa"/>
            <w:vAlign w:val="bottom"/>
          </w:tcPr>
          <w:p>
            <w:pPr>
              <w:jc w:val="right"/>
              <w:ind w:right="156"/>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Earnings and dividends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1,066,038</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1,039,149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1,014,032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990,284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976,240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977,143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979,166</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100,076</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92,213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91,773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107,137</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111,175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106,802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100,870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interest income</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965,962</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946,936</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922,259</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883,147</w:t>
            </w: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865,065</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870,341</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878,296</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30,000</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52,000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62,000</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459,429</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460,816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446,845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465,459</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491,350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448,254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420,933</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Less: other expense</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806,025</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750,635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787,852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769,103</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752,392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749,895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776,095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Income before income taxes</w:t>
            </w: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589,366</w:t>
            </w:r>
          </w:p>
        </w:tc>
        <w:tc>
          <w:tcPr>
            <w:tcW w:w="2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605,117</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526,252</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517,503</w:t>
            </w:r>
          </w:p>
        </w:tc>
        <w:tc>
          <w:tcPr>
            <w:tcW w:w="2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557,023</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536,700</w:t>
            </w:r>
          </w:p>
        </w:tc>
        <w:tc>
          <w:tcPr>
            <w:tcW w:w="3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474,134</w:t>
            </w:r>
          </w:p>
        </w:tc>
        <w:tc>
          <w:tcPr>
            <w:tcW w:w="3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224,615</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215,328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169,326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179,549</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200,314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194,147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169,274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8,828</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8,736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7,999</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6,725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4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Net income</w:t>
            </w: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355,923</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381,053</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348,927</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330,571</w:t>
            </w:r>
          </w:p>
        </w:tc>
        <w:tc>
          <w:tcPr>
            <w:tcW w:w="28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349,984</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336,031</w:t>
            </w:r>
          </w:p>
        </w:tc>
        <w:tc>
          <w:tcPr>
            <w:tcW w:w="300" w:type="dxa"/>
            <w:vAlign w:val="bottom"/>
            <w:tcBorders>
              <w:bottom w:val="single" w:sz="8" w:color="CFF0FC"/>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298,528</w:t>
            </w:r>
          </w:p>
        </w:tc>
        <w:tc>
          <w:tcPr>
            <w:tcW w:w="3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335,804</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360,662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328,567</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307,797</w:t>
            </w: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326,998</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312,974</w:t>
            </w: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275,748</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Per common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2.21</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151,347</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152,857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154,427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155,123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155,493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157,802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158,734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26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151,691</w:t>
            </w:r>
          </w:p>
        </w:tc>
        <w:tc>
          <w:tcPr>
            <w:tcW w:w="2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153,276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154,949</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155,700</w:t>
            </w: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156,026</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158,341</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159,181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7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3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8.89</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8.13</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8.68</w:t>
            </w:r>
          </w:p>
        </w:tc>
        <w:tc>
          <w:tcPr>
            <w:tcW w:w="30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8.38</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7.44</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(taxable-equivalent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basis)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w:t>
            </w:r>
          </w:p>
        </w:tc>
        <w:tc>
          <w:tcPr>
            <w:tcW w:w="3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74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3"/>
                <w:szCs w:val="13"/>
                <w:color w:val="auto"/>
              </w:rPr>
              <w:t>unearned discount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1.04</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1.01</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.93</w:t>
            </w:r>
          </w:p>
        </w:tc>
        <w:tc>
          <w:tcPr>
            <w:tcW w:w="30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.96</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47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360,658</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385,974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354,035</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336,095</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355,929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350,604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320,064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Annualized return 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13.03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13.05</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11.93</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12.77</w:t>
            </w:r>
          </w:p>
        </w:tc>
        <w:tc>
          <w:tcPr>
            <w:tcW w:w="30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12.68</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11.62</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56.00</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52.74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56.42</w:t>
            </w:r>
          </w:p>
        </w:tc>
        <w:tc>
          <w:tcPr>
            <w:tcW w:w="2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55.92</w:t>
            </w:r>
          </w:p>
        </w:tc>
        <w:tc>
          <w:tcPr>
            <w:tcW w:w="3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55.06</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57.00</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20"/>
                <w:szCs w:val="20"/>
                <w:color w:val="auto"/>
              </w:rPr>
            </w:pPr>
            <w:r>
              <w:rPr>
                <w:rFonts w:ascii="Arial" w:cs="Arial" w:eastAsia="Arial" w:hAnsi="Arial"/>
                <w:sz w:val="13"/>
                <w:szCs w:val="13"/>
                <w:color w:val="auto"/>
              </w:rPr>
              <w:t>Average balances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119,515</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120,765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122,978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125,734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124,725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123,706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123,252</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114,872</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116,117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118,326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121,079</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120,064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119,039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118,577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108,642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109,987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114,254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112,864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111,872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111,211</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15,443</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15,913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15,999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15,417</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14,361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14,914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88,386</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89,268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89,797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89,977</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88,732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88,155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87,584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93,134</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94,201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96,300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96,914</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95,852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94,033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92,391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15,069</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15,053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15,181</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15,115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15,145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15,047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10,426</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10,405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10,439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10,526</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10,454</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10,478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10,372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120,402</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120,897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123,223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123,449</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126,841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123,821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124,626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115,761</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116,251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118,573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118,797</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122,183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119,157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119,955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109,365</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109,976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112,287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112,192</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115,293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112,057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15,816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16,250</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14,734</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14,963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15,467</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87,925</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89,081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89,313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90,853</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89,646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88,522</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87,872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93,513</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93,541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97,043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95,494</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98,137</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94,650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94,215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74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 cumulative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380"/>
              <w:spacing w:after="0"/>
              <w:rPr>
                <w:sz w:val="20"/>
                <w:szCs w:val="20"/>
                <w:color w:val="auto"/>
              </w:rPr>
            </w:pPr>
            <w:r>
              <w:rPr>
                <w:rFonts w:ascii="Arial" w:cs="Arial" w:eastAsia="Arial" w:hAnsi="Arial"/>
                <w:sz w:val="13"/>
                <w:szCs w:val="13"/>
                <w:color w:val="auto"/>
              </w:rPr>
              <w:t>preferred dividends (c)</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15,083</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15,049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14,978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15,252</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15,106</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15,237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15,120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10,403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10,600</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10,448</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10,573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10,449</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99.70</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98.66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97.40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97.64</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97.47</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96.49</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69.02</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68.20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67.16</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67.85</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66.95</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65.65</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Market price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High</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166.85</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164.03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173.72</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158.35</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121.11</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119.24</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60"/>
              <w:spacing w:after="0"/>
              <w:rPr>
                <w:sz w:val="20"/>
                <w:szCs w:val="20"/>
                <w:color w:val="auto"/>
              </w:rPr>
            </w:pPr>
            <w:r>
              <w:rPr>
                <w:rFonts w:ascii="Arial" w:cs="Arial" w:eastAsia="Arial" w:hAnsi="Arial"/>
                <w:sz w:val="13"/>
                <w:szCs w:val="13"/>
                <w:color w:val="auto"/>
              </w:rPr>
              <w:t>Low</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141.12</w:t>
            </w:r>
          </w:p>
        </w:tc>
        <w:tc>
          <w:tcPr>
            <w:tcW w:w="2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147.55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149.51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112.25</w:t>
            </w: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111.13</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107.01</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Closing</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161.04</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161.95</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154.73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156.43</w:t>
            </w: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116.10</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118.23</w:t>
            </w:r>
          </w:p>
        </w:tc>
        <w:tc>
          <w:tcPr>
            <w:tcW w:w="3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111.00</w:t>
            </w:r>
          </w:p>
        </w:tc>
        <w:tc>
          <w:tcPr>
            <w:tcW w:w="3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right="20" w:hanging="512"/>
        <w:spacing w:after="0" w:line="235" w:lineRule="auto"/>
        <w:tabs>
          <w:tab w:leader="none" w:pos="52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20" w:hanging="512"/>
        <w:spacing w:after="0" w:line="229" w:lineRule="auto"/>
        <w:tabs>
          <w:tab w:leader="none" w:pos="520" w:val="left"/>
        </w:tabs>
        <w:numPr>
          <w:ilvl w:val="0"/>
          <w:numId w:val="26"/>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0" w:lineRule="exact"/>
        <w:rPr>
          <w:rFonts w:ascii="Arial" w:cs="Arial" w:eastAsia="Arial" w:hAnsi="Arial"/>
          <w:sz w:val="13"/>
          <w:szCs w:val="13"/>
          <w:i w:val="1"/>
          <w:iCs w:val="1"/>
          <w:color w:val="auto"/>
        </w:rPr>
      </w:pPr>
    </w:p>
    <w:p>
      <w:pPr>
        <w:ind w:left="5620" w:hanging="101"/>
        <w:spacing w:after="0"/>
        <w:tabs>
          <w:tab w:leader="none" w:pos="5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Table 2</w:t>
            </w:r>
          </w:p>
        </w:tc>
        <w:tc>
          <w:tcPr>
            <w:tcW w:w="0" w:type="dxa"/>
            <w:vAlign w:val="bottom"/>
          </w:tcPr>
          <w:p>
            <w:pPr>
              <w:spacing w:after="0"/>
              <w:rPr>
                <w:sz w:val="1"/>
                <w:szCs w:val="1"/>
                <w:color w:val="auto"/>
              </w:rPr>
            </w:pPr>
          </w:p>
        </w:tc>
      </w:tr>
      <w:tr>
        <w:trPr>
          <w:trHeight w:val="338"/>
        </w:trPr>
        <w:tc>
          <w:tcPr>
            <w:tcW w:w="6360" w:type="dxa"/>
            <w:vAlign w:val="bottom"/>
            <w:gridSpan w:val="8"/>
          </w:tcPr>
          <w:p>
            <w:pPr>
              <w:spacing w:after="0"/>
              <w:rPr>
                <w:sz w:val="20"/>
                <w:szCs w:val="20"/>
                <w:color w:val="auto"/>
              </w:rPr>
            </w:pPr>
            <w:r>
              <w:rPr>
                <w:rFonts w:ascii="Arial" w:cs="Arial" w:eastAsia="Arial" w:hAnsi="Arial"/>
                <w:sz w:val="20"/>
                <w:szCs w:val="20"/>
                <w:color w:val="auto"/>
                <w:w w:val="96"/>
              </w:rPr>
              <w:t>RECONCILIATION OF QUARTERLY GAAP TO NON-GAAP MEASURES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color w:val="auto"/>
              </w:rPr>
              <w:t>2017 Quarters</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3"/>
                <w:szCs w:val="13"/>
                <w:color w:val="auto"/>
              </w:rPr>
              <w:t>2016 Quarters</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560"/>
              <w:spacing w:after="0" w:line="143" w:lineRule="exact"/>
              <w:rPr>
                <w:sz w:val="20"/>
                <w:szCs w:val="20"/>
                <w:color w:val="auto"/>
              </w:rPr>
            </w:pPr>
            <w:r>
              <w:rPr>
                <w:rFonts w:ascii="Arial" w:cs="Arial" w:eastAsia="Arial" w:hAnsi="Arial"/>
                <w:sz w:val="13"/>
                <w:szCs w:val="13"/>
                <w:color w:val="auto"/>
              </w:rPr>
              <w:t>Third</w:t>
            </w:r>
          </w:p>
        </w:tc>
        <w:tc>
          <w:tcPr>
            <w:tcW w:w="120" w:type="dxa"/>
            <w:vAlign w:val="bottom"/>
          </w:tcPr>
          <w:p>
            <w:pPr>
              <w:spacing w:after="0"/>
              <w:rPr>
                <w:sz w:val="12"/>
                <w:szCs w:val="12"/>
                <w:color w:val="auto"/>
              </w:rPr>
            </w:pPr>
          </w:p>
        </w:tc>
        <w:tc>
          <w:tcPr>
            <w:tcW w:w="960" w:type="dxa"/>
            <w:vAlign w:val="bottom"/>
            <w:gridSpan w:val="2"/>
          </w:tcPr>
          <w:p>
            <w:pPr>
              <w:jc w:val="right"/>
              <w:ind w:right="520"/>
              <w:spacing w:after="0" w:line="143" w:lineRule="exact"/>
              <w:rPr>
                <w:sz w:val="20"/>
                <w:szCs w:val="20"/>
                <w:color w:val="auto"/>
              </w:rPr>
            </w:pPr>
            <w:r>
              <w:rPr>
                <w:rFonts w:ascii="Arial" w:cs="Arial" w:eastAsia="Arial" w:hAnsi="Arial"/>
                <w:sz w:val="13"/>
                <w:szCs w:val="13"/>
                <w:color w:val="auto"/>
                <w:w w:val="95"/>
              </w:rPr>
              <w:t>Second</w:t>
            </w:r>
          </w:p>
        </w:tc>
        <w:tc>
          <w:tcPr>
            <w:tcW w:w="160" w:type="dxa"/>
            <w:vAlign w:val="bottom"/>
          </w:tcPr>
          <w:p>
            <w:pPr>
              <w:spacing w:after="0"/>
              <w:rPr>
                <w:sz w:val="12"/>
                <w:szCs w:val="12"/>
                <w:color w:val="auto"/>
              </w:rPr>
            </w:pPr>
          </w:p>
        </w:tc>
        <w:tc>
          <w:tcPr>
            <w:tcW w:w="580" w:type="dxa"/>
            <w:vAlign w:val="bottom"/>
          </w:tcPr>
          <w:p>
            <w:pPr>
              <w:jc w:val="right"/>
              <w:ind w:right="197"/>
              <w:spacing w:after="0" w:line="143" w:lineRule="exact"/>
              <w:rPr>
                <w:sz w:val="20"/>
                <w:szCs w:val="20"/>
                <w:color w:val="auto"/>
              </w:rPr>
            </w:pPr>
            <w:r>
              <w:rPr>
                <w:rFonts w:ascii="Arial" w:cs="Arial" w:eastAsia="Arial" w:hAnsi="Arial"/>
                <w:sz w:val="13"/>
                <w:szCs w:val="13"/>
                <w:color w:val="auto"/>
              </w:rPr>
              <w:t>First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40"/>
              <w:spacing w:after="0" w:line="143" w:lineRule="exact"/>
              <w:rPr>
                <w:sz w:val="20"/>
                <w:szCs w:val="20"/>
                <w:color w:val="auto"/>
              </w:rPr>
            </w:pPr>
            <w:r>
              <w:rPr>
                <w:rFonts w:ascii="Arial" w:cs="Arial" w:eastAsia="Arial" w:hAnsi="Arial"/>
                <w:sz w:val="13"/>
                <w:szCs w:val="13"/>
                <w:color w:val="auto"/>
              </w:rPr>
              <w:t>Fourth</w:t>
            </w:r>
          </w:p>
        </w:tc>
        <w:tc>
          <w:tcPr>
            <w:tcW w:w="160" w:type="dxa"/>
            <w:vAlign w:val="bottom"/>
          </w:tcPr>
          <w:p>
            <w:pPr>
              <w:spacing w:after="0"/>
              <w:rPr>
                <w:sz w:val="12"/>
                <w:szCs w:val="12"/>
                <w:color w:val="auto"/>
              </w:rPr>
            </w:pPr>
          </w:p>
        </w:tc>
        <w:tc>
          <w:tcPr>
            <w:tcW w:w="920" w:type="dxa"/>
            <w:vAlign w:val="bottom"/>
            <w:gridSpan w:val="2"/>
          </w:tcPr>
          <w:p>
            <w:pPr>
              <w:jc w:val="right"/>
              <w:ind w:right="560"/>
              <w:spacing w:after="0" w:line="143" w:lineRule="exact"/>
              <w:rPr>
                <w:sz w:val="20"/>
                <w:szCs w:val="20"/>
                <w:color w:val="auto"/>
              </w:rPr>
            </w:pPr>
            <w:r>
              <w:rPr>
                <w:rFonts w:ascii="Arial" w:cs="Arial" w:eastAsia="Arial" w:hAnsi="Arial"/>
                <w:sz w:val="13"/>
                <w:szCs w:val="13"/>
                <w:color w:val="auto"/>
              </w:rPr>
              <w:t>Third</w:t>
            </w:r>
          </w:p>
        </w:tc>
        <w:tc>
          <w:tcPr>
            <w:tcW w:w="140" w:type="dxa"/>
            <w:vAlign w:val="bottom"/>
          </w:tcPr>
          <w:p>
            <w:pPr>
              <w:spacing w:after="0"/>
              <w:rPr>
                <w:sz w:val="12"/>
                <w:szCs w:val="12"/>
                <w:color w:val="auto"/>
              </w:rPr>
            </w:pPr>
          </w:p>
        </w:tc>
        <w:tc>
          <w:tcPr>
            <w:tcW w:w="960" w:type="dxa"/>
            <w:vAlign w:val="bottom"/>
            <w:gridSpan w:val="2"/>
          </w:tcPr>
          <w:p>
            <w:pPr>
              <w:jc w:val="right"/>
              <w:ind w:right="540"/>
              <w:spacing w:after="0" w:line="143" w:lineRule="exact"/>
              <w:rPr>
                <w:sz w:val="20"/>
                <w:szCs w:val="20"/>
                <w:color w:val="auto"/>
              </w:rPr>
            </w:pPr>
            <w:r>
              <w:rPr>
                <w:rFonts w:ascii="Arial" w:cs="Arial" w:eastAsia="Arial" w:hAnsi="Arial"/>
                <w:sz w:val="13"/>
                <w:szCs w:val="13"/>
                <w:color w:val="auto"/>
                <w:w w:val="90"/>
              </w:rPr>
              <w:t>Second</w:t>
            </w:r>
          </w:p>
        </w:tc>
        <w:tc>
          <w:tcPr>
            <w:tcW w:w="160" w:type="dxa"/>
            <w:vAlign w:val="bottom"/>
          </w:tcPr>
          <w:p>
            <w:pPr>
              <w:spacing w:after="0"/>
              <w:rPr>
                <w:sz w:val="12"/>
                <w:szCs w:val="12"/>
                <w:color w:val="auto"/>
              </w:rPr>
            </w:pPr>
          </w:p>
        </w:tc>
        <w:tc>
          <w:tcPr>
            <w:tcW w:w="600" w:type="dxa"/>
            <w:vAlign w:val="bottom"/>
          </w:tcPr>
          <w:p>
            <w:pPr>
              <w:jc w:val="right"/>
              <w:ind w:right="216"/>
              <w:spacing w:after="0" w:line="143"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355,923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381,053</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348,927</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330,571</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349,984</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336,031</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4,735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4,921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5,108</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5,945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6,936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7,637</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Net operating income</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360,658</w:t>
            </w:r>
          </w:p>
        </w:tc>
        <w:tc>
          <w:tcPr>
            <w:tcW w:w="3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385,974</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354,035</w:t>
            </w:r>
          </w:p>
        </w:tc>
        <w:tc>
          <w:tcPr>
            <w:tcW w:w="3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336,095</w:t>
            </w:r>
          </w:p>
        </w:tc>
        <w:tc>
          <w:tcPr>
            <w:tcW w:w="3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355,929</w:t>
            </w:r>
          </w:p>
        </w:tc>
        <w:tc>
          <w:tcPr>
            <w:tcW w:w="3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350,604</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320,064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1.98</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Merger-related expenses (a)</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Diluted net operating earnings per common share</w:t>
            </w:r>
          </w:p>
        </w:tc>
        <w:tc>
          <w:tcPr>
            <w:tcW w:w="1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2.24</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2.38</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2.15</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2.01</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2.13</w:t>
            </w:r>
          </w:p>
        </w:tc>
        <w:tc>
          <w:tcPr>
            <w:tcW w:w="3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2.07</w:t>
            </w:r>
          </w:p>
        </w:tc>
        <w:tc>
          <w:tcPr>
            <w:tcW w:w="3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806,025</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750,635</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787,852</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769,103</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752,392</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749,895</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(7,808)</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(8,113)</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(8,420)</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(9,089)</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(9,787)</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(11,418)</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(12,319)</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Merger-related expenses</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(12,593)</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(23,162)</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Noninterest operating expense</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798,217</w:t>
            </w:r>
          </w:p>
        </w:tc>
        <w:tc>
          <w:tcPr>
            <w:tcW w:w="3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742,522</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779,432</w:t>
            </w:r>
          </w:p>
        </w:tc>
        <w:tc>
          <w:tcPr>
            <w:tcW w:w="3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760,014</w:t>
            </w:r>
          </w:p>
        </w:tc>
        <w:tc>
          <w:tcPr>
            <w:tcW w:w="3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742,605</w:t>
            </w:r>
          </w:p>
        </w:tc>
        <w:tc>
          <w:tcPr>
            <w:tcW w:w="3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725,884</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740,614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Merger-related expenses</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Salaries and employee benefits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Equipment and net occupancy</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Outside data processing and software</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Advertising and marketing</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6,327</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Printing, postage and supplies</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Other costs of operations</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4,970</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12,593</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23,162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Efficiency ratio</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Noninterest operating expense (numerator)</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798,217</w:t>
            </w:r>
          </w:p>
        </w:tc>
        <w:tc>
          <w:tcPr>
            <w:tcW w:w="3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742,522</w:t>
            </w:r>
          </w:p>
        </w:tc>
        <w:tc>
          <w:tcPr>
            <w:tcW w:w="3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779,432</w:t>
            </w:r>
          </w:p>
        </w:tc>
        <w:tc>
          <w:tcPr>
            <w:tcW w:w="3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760,014</w:t>
            </w:r>
          </w:p>
        </w:tc>
        <w:tc>
          <w:tcPr>
            <w:tcW w:w="3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742,605</w:t>
            </w:r>
          </w:p>
        </w:tc>
        <w:tc>
          <w:tcPr>
            <w:tcW w:w="3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725,884</w:t>
            </w:r>
          </w:p>
        </w:tc>
        <w:tc>
          <w:tcPr>
            <w:tcW w:w="3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740,614</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Taxable-equivalent net interest income</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965,962</w:t>
            </w: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946,936</w:t>
            </w: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922,259</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883,147</w:t>
            </w: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865,065</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870,341</w:t>
            </w: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878,296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Other income</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459,429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460,816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446,845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465,459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491,350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448,254</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420,933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Less: Gain on bank investment securities</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28,480</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Denominator</w:t>
            </w:r>
          </w:p>
        </w:tc>
        <w:tc>
          <w:tcPr>
            <w:tcW w:w="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1,425,391</w:t>
            </w:r>
          </w:p>
        </w:tc>
        <w:tc>
          <w:tcPr>
            <w:tcW w:w="3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1,407,769</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1,369,104</w:t>
            </w:r>
          </w:p>
        </w:tc>
        <w:tc>
          <w:tcPr>
            <w:tcW w:w="3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1,347,040</w:t>
            </w:r>
          </w:p>
        </w:tc>
        <w:tc>
          <w:tcPr>
            <w:tcW w:w="3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1,327,935</w:t>
            </w:r>
          </w:p>
        </w:tc>
        <w:tc>
          <w:tcPr>
            <w:tcW w:w="3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1,318,331</w:t>
            </w:r>
          </w:p>
        </w:tc>
        <w:tc>
          <w:tcPr>
            <w:tcW w:w="3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6"/>
              </w:rPr>
              <w:t>1,299,225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Efficiency ratio</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56.00%</w:t>
            </w: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52.74%</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56.93%</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56.42%</w:t>
            </w:r>
          </w:p>
        </w:tc>
        <w:tc>
          <w:tcPr>
            <w:tcW w:w="1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55.92%</w:t>
            </w: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55.06%</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57.00%</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 (in millions)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Average assets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Average assets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119,515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120,765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122,978</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125,734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124,725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123,706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(90)</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(102)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(112)</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3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3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3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assets</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114,872</w:t>
            </w:r>
          </w:p>
        </w:tc>
        <w:tc>
          <w:tcPr>
            <w:tcW w:w="3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116,117</w:t>
            </w:r>
          </w:p>
        </w:tc>
        <w:tc>
          <w:tcPr>
            <w:tcW w:w="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118,326</w:t>
            </w:r>
          </w:p>
        </w:tc>
        <w:tc>
          <w:tcPr>
            <w:tcW w:w="3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121,079</w:t>
            </w:r>
          </w:p>
        </w:tc>
        <w:tc>
          <w:tcPr>
            <w:tcW w:w="3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120,064</w:t>
            </w:r>
          </w:p>
        </w:tc>
        <w:tc>
          <w:tcPr>
            <w:tcW w:w="3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119,039</w:t>
            </w:r>
          </w:p>
        </w:tc>
        <w:tc>
          <w:tcPr>
            <w:tcW w:w="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118,577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Average common equity</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Average total equity</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16,301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16,285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16,323</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16,673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16,347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16,377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16,279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(1,232)</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(1,232)</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(1,232)</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(1,492)</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(1,232)</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(1,232)</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4040" w:type="dxa"/>
            <w:vAlign w:val="bottom"/>
          </w:tcPr>
          <w:p>
            <w:pPr>
              <w:ind w:left="260"/>
              <w:spacing w:after="0" w:line="143" w:lineRule="exact"/>
              <w:rPr>
                <w:sz w:val="20"/>
                <w:szCs w:val="20"/>
                <w:color w:val="auto"/>
              </w:rPr>
            </w:pPr>
            <w:r>
              <w:rPr>
                <w:rFonts w:ascii="Arial" w:cs="Arial" w:eastAsia="Arial" w:hAnsi="Arial"/>
                <w:sz w:val="13"/>
                <w:szCs w:val="13"/>
                <w:color w:val="auto"/>
              </w:rPr>
              <w:t>Average common equity</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15,069</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15,053</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15,091</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15,181</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15,115</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15,145</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(90)</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(102)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(112)</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3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3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3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common equity</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10,426</w:t>
            </w:r>
          </w:p>
        </w:tc>
        <w:tc>
          <w:tcPr>
            <w:tcW w:w="3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10,405</w:t>
            </w:r>
          </w:p>
        </w:tc>
        <w:tc>
          <w:tcPr>
            <w:tcW w:w="3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10,439</w:t>
            </w:r>
          </w:p>
        </w:tc>
        <w:tc>
          <w:tcPr>
            <w:tcW w:w="3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10,526</w:t>
            </w:r>
          </w:p>
        </w:tc>
        <w:tc>
          <w:tcPr>
            <w:tcW w:w="3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10,454</w:t>
            </w:r>
          </w:p>
        </w:tc>
        <w:tc>
          <w:tcPr>
            <w:tcW w:w="3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10,478</w:t>
            </w:r>
          </w:p>
        </w:tc>
        <w:tc>
          <w:tcPr>
            <w:tcW w:w="3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10,372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At end of quarter</w:t>
            </w: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120,402</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120,897</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123,223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123,449</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126,841</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123,821</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124,626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(4,593)</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(86)</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(95)</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(98)</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(107)</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(117)</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3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3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3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3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3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Total tangible assets</w:t>
            </w:r>
          </w:p>
        </w:tc>
        <w:tc>
          <w:tcPr>
            <w:tcW w:w="1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115,761</w:t>
            </w:r>
          </w:p>
        </w:tc>
        <w:tc>
          <w:tcPr>
            <w:tcW w:w="3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116,251</w:t>
            </w:r>
          </w:p>
        </w:tc>
        <w:tc>
          <w:tcPr>
            <w:tcW w:w="3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118,573</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118,797</w:t>
            </w:r>
          </w:p>
        </w:tc>
        <w:tc>
          <w:tcPr>
            <w:tcW w:w="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122,183</w:t>
            </w:r>
          </w:p>
        </w:tc>
        <w:tc>
          <w:tcPr>
            <w:tcW w:w="3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119,157</w:t>
            </w:r>
          </w:p>
        </w:tc>
        <w:tc>
          <w:tcPr>
            <w:tcW w:w="3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119,955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Total equity</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16,318</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16,284</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16,487</w:t>
            </w: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16,341</w:t>
            </w: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16,472</w:t>
            </w: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(1,232)</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(1,232)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(1,232)</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(1,232)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(1,232)</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(1,232)</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Undeclared dividends — cumulative preferred stock</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4040" w:type="dxa"/>
            <w:vAlign w:val="bottom"/>
          </w:tcPr>
          <w:p>
            <w:pPr>
              <w:ind w:left="260"/>
              <w:spacing w:after="0" w:line="143" w:lineRule="exact"/>
              <w:rPr>
                <w:sz w:val="20"/>
                <w:szCs w:val="20"/>
                <w:color w:val="auto"/>
              </w:rPr>
            </w:pPr>
            <w:r>
              <w:rPr>
                <w:rFonts w:ascii="Arial" w:cs="Arial" w:eastAsia="Arial" w:hAnsi="Arial"/>
                <w:sz w:val="13"/>
                <w:szCs w:val="13"/>
                <w:color w:val="auto"/>
                <w:w w:val="99"/>
              </w:rPr>
              <w:t>Common equity, net of undeclared cumulative preferred dividends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15,083</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15,049</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14,978</w:t>
            </w: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15,252</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15,106</w:t>
            </w: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15,237</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15,120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(4,593)</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(86)</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(95)</w:t>
            </w:r>
          </w:p>
        </w:tc>
        <w:tc>
          <w:tcPr>
            <w:tcW w:w="14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(98)</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(107)</w:t>
            </w:r>
          </w:p>
        </w:tc>
        <w:tc>
          <w:tcPr>
            <w:tcW w:w="140" w:type="dxa"/>
            <w:vAlign w:val="bottom"/>
          </w:tcPr>
          <w:p>
            <w:pPr>
              <w:spacing w:after="0"/>
              <w:rPr>
                <w:sz w:val="12"/>
                <w:szCs w:val="1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34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3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3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3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3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ind w:left="260"/>
              <w:spacing w:after="0" w:line="143" w:lineRule="exact"/>
              <w:rPr>
                <w:sz w:val="20"/>
                <w:szCs w:val="20"/>
                <w:color w:val="auto"/>
              </w:rPr>
            </w:pPr>
            <w:r>
              <w:rPr>
                <w:rFonts w:ascii="Arial" w:cs="Arial" w:eastAsia="Arial" w:hAnsi="Arial"/>
                <w:sz w:val="13"/>
                <w:szCs w:val="13"/>
                <w:color w:val="auto"/>
              </w:rPr>
              <w:t>Total tangible common equity</w:t>
            </w: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10,442</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10,403</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10,328</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10,600</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10,448</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10,573</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8"/>
        </w:trPr>
        <w:tc>
          <w:tcPr>
            <w:tcW w:w="7740" w:type="dxa"/>
            <w:vAlign w:val="bottom"/>
            <w:gridSpan w:val="15"/>
          </w:tcPr>
          <w:p>
            <w:pPr>
              <w:spacing w:after="0"/>
              <w:rPr>
                <w:sz w:val="20"/>
                <w:szCs w:val="20"/>
                <w:color w:val="auto"/>
              </w:rPr>
            </w:pPr>
            <w:r>
              <w:rPr>
                <w:rFonts w:ascii="Arial" w:cs="Arial" w:eastAsia="Arial" w:hAnsi="Arial"/>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color w:val="auto"/>
                <w:w w:val="94"/>
              </w:rPr>
              <w:t>2017 Third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jc w:val="center"/>
              <w:ind w:left="520"/>
              <w:spacing w:after="0"/>
              <w:rPr>
                <w:sz w:val="20"/>
                <w:szCs w:val="20"/>
                <w:color w:val="auto"/>
              </w:rPr>
            </w:pPr>
            <w:r>
              <w:rPr>
                <w:rFonts w:ascii="Arial" w:cs="Arial" w:eastAsia="Arial" w:hAnsi="Arial"/>
                <w:sz w:val="14"/>
                <w:szCs w:val="14"/>
                <w:color w:val="auto"/>
                <w:w w:val="91"/>
              </w:rPr>
              <w:t>2017 Second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2017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88"/>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9"/>
              </w:rPr>
              <w:t>Average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Arial" w:cs="Arial" w:eastAsia="Arial" w:hAnsi="Arial"/>
                <w:sz w:val="14"/>
                <w:szCs w:val="14"/>
                <w:color w:val="auto"/>
                <w:w w:val="86"/>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10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Balance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12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Interest</w:t>
            </w:r>
          </w:p>
        </w:tc>
        <w:tc>
          <w:tcPr>
            <w:tcW w:w="620" w:type="dxa"/>
            <w:vAlign w:val="bottom"/>
          </w:tcPr>
          <w:p>
            <w:pPr>
              <w:jc w:val="right"/>
              <w:ind w:right="99"/>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6"/>
              </w:rPr>
              <w:t>Average balance in millions; interest in thousands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discount*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217,953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213,840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22,290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201,126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382,352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33,214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361,313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347,010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204,008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210,152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217,263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157,721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147,597</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140,170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88,386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962,034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89,268</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932,902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89,797</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905,569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14,970</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4,741</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12,162</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14,632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81,707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15,060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87,171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15,113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88,573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subdivisions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88,682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93,791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15,999</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95,973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108,642</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1,066,038</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109,987</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1,039,149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112,008</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1,014,032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(1,011)</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(1,003)</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1,283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10,690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8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119,515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120,765</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122,978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Savings and interest-checking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deposits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53,287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37,714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53,611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30,543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53,260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25,634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8,559</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16,303</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9,561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18,998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61,129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52,016</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62,333</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47,127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63,013</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44,897</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212</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47,506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8,292</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44,708</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8,423</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46,660</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69,406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100,076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70,837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92,213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71,620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91,773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32,005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31,868</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33,287</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1,748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103,214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104,480</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106,655</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16,301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16,285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16,323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 and</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119,515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120,765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122,978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3.32</w:t>
            </w: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3.15</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earning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965,962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946,936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922,259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4"/>
          </w:tcPr>
          <w:p>
            <w:pPr>
              <w:jc w:val="right"/>
              <w:spacing w:after="0"/>
              <w:rPr>
                <w:sz w:val="20"/>
                <w:szCs w:val="20"/>
                <w:color w:val="auto"/>
              </w:rPr>
            </w:pPr>
            <w:r>
              <w:rPr>
                <w:rFonts w:ascii="Arial" w:cs="Arial" w:eastAsia="Arial" w:hAnsi="Arial"/>
                <w:sz w:val="20"/>
                <w:szCs w:val="20"/>
                <w:color w:val="auto"/>
              </w:rPr>
              <w:t>Table 3 (continued)</w:t>
            </w:r>
          </w:p>
        </w:tc>
        <w:tc>
          <w:tcPr>
            <w:tcW w:w="0" w:type="dxa"/>
            <w:vAlign w:val="bottom"/>
          </w:tcPr>
          <w:p>
            <w:pPr>
              <w:spacing w:after="0"/>
              <w:rPr>
                <w:sz w:val="1"/>
                <w:szCs w:val="1"/>
                <w:color w:val="auto"/>
              </w:rPr>
            </w:pPr>
          </w:p>
        </w:tc>
      </w:tr>
      <w:tr>
        <w:trPr>
          <w:trHeight w:val="338"/>
        </w:trPr>
        <w:tc>
          <w:tcPr>
            <w:tcW w:w="9060" w:type="dxa"/>
            <w:vAlign w:val="bottom"/>
            <w:gridSpan w:val="13"/>
          </w:tcPr>
          <w:p>
            <w:pPr>
              <w:spacing w:after="0"/>
              <w:rPr>
                <w:sz w:val="20"/>
                <w:szCs w:val="20"/>
                <w:color w:val="auto"/>
              </w:rPr>
            </w:pPr>
            <w:r>
              <w:rPr>
                <w:rFonts w:ascii="Arial" w:cs="Arial" w:eastAsia="Arial" w:hAnsi="Arial"/>
                <w:sz w:val="20"/>
                <w:szCs w:val="20"/>
                <w:color w:val="auto"/>
              </w:rPr>
              <w:t>AVERAGE BALANCE SHEETS AND ANNUALIZED TAXABLE-EQUIVALENT RATES (continued)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4"/>
                <w:szCs w:val="14"/>
                <w:color w:val="auto"/>
                <w:w w:val="88"/>
              </w:rPr>
              <w:t>Average</w:t>
            </w:r>
          </w:p>
        </w:tc>
        <w:tc>
          <w:tcPr>
            <w:tcW w:w="130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2016 Fourth Quarter</w:t>
            </w: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20" w:type="dxa"/>
            <w:vAlign w:val="bottom"/>
          </w:tcPr>
          <w:p>
            <w:pPr>
              <w:spacing w:after="0"/>
              <w:rPr>
                <w:sz w:val="24"/>
                <w:szCs w:val="2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Average</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2016 Third Quarter</w:t>
            </w:r>
          </w:p>
        </w:tc>
        <w:tc>
          <w:tcPr>
            <w:tcW w:w="76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color w:val="auto"/>
                <w:w w:val="90"/>
              </w:rPr>
              <w:t>Balance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Interest</w:t>
            </w:r>
          </w:p>
        </w:tc>
        <w:tc>
          <w:tcPr>
            <w:tcW w:w="72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Interest</w:t>
            </w:r>
          </w:p>
        </w:tc>
        <w:tc>
          <w:tcPr>
            <w:tcW w:w="760" w:type="dxa"/>
            <w:vAlign w:val="bottom"/>
          </w:tcPr>
          <w:p>
            <w:pPr>
              <w:jc w:val="right"/>
              <w:ind w:right="180"/>
              <w:spacing w:after="0"/>
              <w:rPr>
                <w:sz w:val="20"/>
                <w:szCs w:val="20"/>
                <w:color w:val="auto"/>
              </w:rPr>
            </w:pPr>
            <w:r>
              <w:rPr>
                <w:rFonts w:ascii="Arial" w:cs="Arial" w:eastAsia="Arial" w:hAnsi="Arial"/>
                <w:sz w:val="14"/>
                <w:szCs w:val="14"/>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6"/>
                <w:szCs w:val="16"/>
                <w:color w:val="auto"/>
              </w:rPr>
              <w:t>discount*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21,936</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191,228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21,480</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185,552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w:t>
            </w:r>
          </w:p>
        </w:tc>
        <w:tc>
          <w:tcPr>
            <w:tcW w:w="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336,597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31,252</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319,694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23,096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223,758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24,058</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235,813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12,123</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138,144</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136,592</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89,977</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889,727</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88,732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877,651</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11,833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9,681</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12,355</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14,511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80,510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13,418</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78,259</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7,078</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6,745</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15,417</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88,366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85,892</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114,254</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990,284</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112,864</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976,240</w:t>
            </w:r>
          </w:p>
        </w:tc>
        <w:tc>
          <w:tcPr>
            <w:tcW w:w="3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11,191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0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125,734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Savings and interest-checking deposits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54,055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26,798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52,516</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24,067</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10,936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23,766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12,334</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27,886</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65,197</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50,783</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65,070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52,157</w:t>
            </w:r>
          </w:p>
        </w:tc>
        <w:tc>
          <w:tcPr>
            <w:tcW w:w="3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9,901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56,203</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58,849</w:t>
            </w: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0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75,298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107,137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75,588</w:t>
            </w: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111,175</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31,717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30,782</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109,061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108,378</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16,673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125,734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124,725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Arial" w:cs="Arial" w:eastAsia="Arial" w:hAnsi="Arial"/>
                <w:sz w:val="16"/>
                <w:szCs w:val="16"/>
                <w:color w:val="auto"/>
              </w:rPr>
              <w:t>Net interest income/margin on earning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883,147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865,065</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9" w:name="page90"/>
    <w:bookmarkEnd w:id="89"/>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4.Controls and Procedures.</w:t>
      </w:r>
    </w:p>
    <w:p>
      <w:pPr>
        <w:spacing w:after="0" w:line="110" w:lineRule="exact"/>
        <w:rPr>
          <w:sz w:val="20"/>
          <w:szCs w:val="20"/>
          <w:color w:val="auto"/>
        </w:rPr>
      </w:pPr>
    </w:p>
    <w:p>
      <w:pPr>
        <w:jc w:val="both"/>
        <w:ind w:firstLine="526"/>
        <w:spacing w:after="0" w:line="249" w:lineRule="auto"/>
        <w:tabs>
          <w:tab w:leader="none" w:pos="844" w:val="left"/>
        </w:tabs>
        <w:numPr>
          <w:ilvl w:val="0"/>
          <w:numId w:val="31"/>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Darren J. King, Executive Vice President and Chief Financial Officer, concluded that M&amp;T’s disclosure controls and procedures were effective as of September 30, 2017.</w:t>
      </w:r>
    </w:p>
    <w:p>
      <w:pPr>
        <w:spacing w:after="0" w:line="78" w:lineRule="exact"/>
        <w:rPr>
          <w:rFonts w:ascii="Arial" w:cs="Arial" w:eastAsia="Arial" w:hAnsi="Arial"/>
          <w:sz w:val="21"/>
          <w:szCs w:val="21"/>
          <w:color w:val="auto"/>
        </w:rPr>
      </w:pPr>
    </w:p>
    <w:p>
      <w:pPr>
        <w:jc w:val="both"/>
        <w:ind w:firstLine="526"/>
        <w:spacing w:after="0" w:line="247" w:lineRule="auto"/>
        <w:tabs>
          <w:tab w:leader="none" w:pos="817" w:val="left"/>
        </w:tabs>
        <w:numPr>
          <w:ilvl w:val="0"/>
          <w:numId w:val="31"/>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2017 that have materially affected, or are reasonably likely to materially affect, M&amp;T’s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811"/>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Wilmington Trust Corporation Investigative and Litigation Matters</w:t>
      </w:r>
    </w:p>
    <w:p>
      <w:pPr>
        <w:spacing w:after="0" w:line="11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i w:val="1"/>
          <w:iCs w:val="1"/>
          <w:color w:val="auto"/>
        </w:rPr>
        <w:t xml:space="preserve">DOJ Investigation (United States v. Wilmington Trust Corp., et al, District of Delaware, Crim. No. 15-23-RGA): </w:t>
      </w:r>
      <w:r>
        <w:rPr>
          <w:rFonts w:ascii="Arial" w:cs="Arial" w:eastAsia="Arial" w:hAnsi="Arial"/>
          <w:sz w:val="20"/>
          <w:szCs w:val="20"/>
          <w:color w:val="auto"/>
        </w:rPr>
        <w:t>Prior to M&amp;T’s</w:t>
      </w:r>
      <w:r>
        <w:rPr>
          <w:rFonts w:ascii="Arial" w:cs="Arial" w:eastAsia="Arial" w:hAnsi="Arial"/>
          <w:sz w:val="20"/>
          <w:szCs w:val="20"/>
          <w:i w:val="1"/>
          <w:iCs w:val="1"/>
          <w:color w:val="auto"/>
        </w:rPr>
        <w:t xml:space="preserve"> </w:t>
      </w:r>
      <w:r>
        <w:rPr>
          <w:rFonts w:ascii="Arial" w:cs="Arial" w:eastAsia="Arial" w:hAnsi="Arial"/>
          <w:sz w:val="20"/>
          <w:szCs w:val="20"/>
          <w:color w:val="auto"/>
        </w:rPr>
        <w:t>acquisition of Wilmington Trust Corporation, the Department of Justice (“DOJ”) commenced an investigation of Wilmington Trust Corporation relating to Wilmington Trust Corporation’s financial reporting and securities filings, as well as certain commercial real estate lending relationships involving its subsidiary bank, Wilmington Trust Company, all of which relate to filings and activities occurring prior to the acquisition of Wilmington Trust Corporation by M&amp;T. On January 6, 2016, the U.S. Attorney for the District of Delaware obtained an indictment against Wilmington Trust Corporation relating to alleged conduct that occurred prior to M&amp;T’s acquisition of Wilmington Trust Corporation in May 2011. On October 9, 2017, Wilmington Trust Corporation reached a civil settlement with the U.S. Attorney’s Office for the District of Delaware to resolve this matter. Under the terms of the agreement, Wilmington Trust Corporation agreed to pay $60 million. The settlement amount included $16 million previously paid by Wilmington Trust Corporation to the U.S. Securities and Exchange Commission in a related action. Wilmington Trust Corporation did not admit any liability, nor was there any finding of wrongdoing. All indictments and charges against Wilmington Trust Corporation were dismissed by Court order on October 12,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90" w:name="page91"/>
    <w:bookmarkEnd w:id="90"/>
    <w:p>
      <w:pPr>
        <w:jc w:val="both"/>
        <w:ind w:firstLine="552"/>
        <w:spacing w:after="0" w:line="273" w:lineRule="auto"/>
        <w:rPr>
          <w:sz w:val="20"/>
          <w:szCs w:val="20"/>
          <w:color w:val="auto"/>
        </w:rPr>
      </w:pPr>
      <w:r>
        <w:rPr>
          <w:rFonts w:ascii="Arial" w:cs="Arial" w:eastAsia="Arial" w:hAnsi="Arial"/>
          <w:sz w:val="19"/>
          <w:szCs w:val="19"/>
          <w:i w:val="1"/>
          <w:iCs w:val="1"/>
          <w:color w:val="auto"/>
        </w:rPr>
        <w:t xml:space="preserve">In Re Wilmington Trust Securities Litigation (U.S. District Court, District of Delaware, Case No. 10-CV-0990-SLR): </w:t>
      </w:r>
      <w:r>
        <w:rPr>
          <w:rFonts w:ascii="Arial" w:cs="Arial" w:eastAsia="Arial" w:hAnsi="Arial"/>
          <w:sz w:val="19"/>
          <w:szCs w:val="19"/>
          <w:color w:val="auto"/>
        </w:rPr>
        <w:t>Beginning 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and Wilmington Trust Corporation moved to dismiss. The Court issued an order denying Wilmington Trust Corporation’s motion to dismiss on March 20, 2014. Fact discovery commenced. Plaintiffs’ motion for class certification was granted on September 3, 2015. On April 13, 2016, the Court issued an order staying fact discovery in the case pending completion of the trial in </w:t>
      </w:r>
      <w:r>
        <w:rPr>
          <w:rFonts w:ascii="Arial" w:cs="Arial" w:eastAsia="Arial" w:hAnsi="Arial"/>
          <w:sz w:val="19"/>
          <w:szCs w:val="19"/>
          <w:i w:val="1"/>
          <w:iCs w:val="1"/>
          <w:color w:val="auto"/>
        </w:rPr>
        <w:t>U.S. v. Wilmington Trust Corp., et al.</w:t>
      </w:r>
      <w:r>
        <w:rPr>
          <w:rFonts w:ascii="Arial" w:cs="Arial" w:eastAsia="Arial" w:hAnsi="Arial"/>
          <w:sz w:val="19"/>
          <w:szCs w:val="19"/>
          <w:color w:val="auto"/>
        </w:rPr>
        <w:t xml:space="preserve"> On September 19, 2016, the plaintiffs filed a motion to modify the stay of discovery in this matter to allow for additional, limited discovery. On December 19, 2016, the Court issued an order lifting the existing stay in its entirety. The Court has removed this matter from the trial calendar, to be rescheduled at some future date.</w:t>
      </w:r>
    </w:p>
    <w:p>
      <w:pPr>
        <w:spacing w:after="0" w:line="194" w:lineRule="exact"/>
        <w:rPr>
          <w:sz w:val="20"/>
          <w:szCs w:val="20"/>
          <w:color w:val="auto"/>
        </w:rPr>
      </w:pPr>
    </w:p>
    <w:p>
      <w:pPr>
        <w:jc w:val="both"/>
        <w:ind w:firstLine="552"/>
        <w:spacing w:after="0" w:line="283" w:lineRule="auto"/>
        <w:rPr>
          <w:sz w:val="20"/>
          <w:szCs w:val="20"/>
          <w:color w:val="auto"/>
        </w:rPr>
      </w:pPr>
      <w:r>
        <w:rPr>
          <w:rFonts w:ascii="Arial" w:cs="Arial" w:eastAsia="Arial" w:hAnsi="Arial"/>
          <w:sz w:val="19"/>
          <w:szCs w:val="19"/>
          <w:color w:val="auto"/>
        </w:rPr>
        <w:t>Due to their complex nature, it is difficult to estimate when litigation or investigatory matters such as these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91" w:name="page92"/>
    <w:bookmarkEnd w:id="91"/>
    <w:p>
      <w:pPr>
        <w:spacing w:after="0"/>
        <w:tabs>
          <w:tab w:leader="none" w:pos="102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2016.</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74"/>
        <w:spacing w:after="0"/>
        <w:tabs>
          <w:tab w:leader="none" w:pos="8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3"/>
        </w:numPr>
        <w:rPr>
          <w:rFonts w:ascii="Arial" w:cs="Arial" w:eastAsia="Arial" w:hAnsi="Arial"/>
          <w:sz w:val="21"/>
          <w:szCs w:val="21"/>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w w:val="93"/>
              </w:rPr>
              <w:t>Issuer Purchases of Equity Securities</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4"/>
                <w:szCs w:val="14"/>
                <w:color w:val="auto"/>
                <w:w w:val="97"/>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(c)Total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(or Units)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5"/>
              </w:rPr>
              <w:t>(a)Total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as Part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Number</w:t>
            </w:r>
          </w:p>
        </w:tc>
        <w:tc>
          <w:tcPr>
            <w:tcW w:w="2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(b)Average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Price Paid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per Share</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Plans or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61"/>
        </w:trPr>
        <w:tc>
          <w:tcPr>
            <w:tcW w:w="4820" w:type="dxa"/>
            <w:vAlign w:val="bottom"/>
            <w:gridSpan w:val="4"/>
          </w:tcPr>
          <w:p>
            <w:pPr>
              <w:spacing w:after="0" w:line="154" w:lineRule="exact"/>
              <w:rPr>
                <w:sz w:val="20"/>
                <w:szCs w:val="20"/>
                <w:color w:val="auto"/>
              </w:rPr>
            </w:pPr>
            <w:r>
              <w:rPr>
                <w:rFonts w:ascii="Arial" w:cs="Arial" w:eastAsia="Arial" w:hAnsi="Arial"/>
                <w:sz w:val="14"/>
                <w:szCs w:val="14"/>
                <w:color w:val="auto"/>
              </w:rPr>
              <w:t>Period</w:t>
            </w:r>
          </w:p>
        </w:tc>
        <w:tc>
          <w:tcPr>
            <w:tcW w:w="840" w:type="dxa"/>
            <w:vAlign w:val="bottom"/>
          </w:tcPr>
          <w:p>
            <w:pPr>
              <w:jc w:val="center"/>
              <w:spacing w:after="0" w:line="154" w:lineRule="exact"/>
              <w:rPr>
                <w:sz w:val="20"/>
                <w:szCs w:val="20"/>
                <w:color w:val="auto"/>
              </w:rPr>
            </w:pPr>
            <w:r>
              <w:rPr>
                <w:rFonts w:ascii="Arial" w:cs="Arial" w:eastAsia="Arial" w:hAnsi="Arial"/>
                <w:sz w:val="14"/>
                <w:szCs w:val="14"/>
                <w:color w:val="auto"/>
                <w:w w:val="90"/>
              </w:rPr>
              <w:t>Purchased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8"/>
              </w:rPr>
              <w:t>(or Unit)</w:t>
            </w:r>
          </w:p>
        </w:tc>
        <w:tc>
          <w:tcPr>
            <w:tcW w:w="110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2"/>
              </w:rPr>
              <w:t>Programs</w:t>
            </w:r>
          </w:p>
        </w:tc>
        <w:tc>
          <w:tcPr>
            <w:tcW w:w="110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July 1 — July 31, 2017</w:t>
            </w:r>
          </w:p>
        </w:tc>
        <w:tc>
          <w:tcPr>
            <w:tcW w:w="840" w:type="dxa"/>
            <w:vAlign w:val="bottom"/>
          </w:tcPr>
          <w:p>
            <w:pPr>
              <w:jc w:val="right"/>
              <w:spacing w:after="0"/>
              <w:rPr>
                <w:sz w:val="20"/>
                <w:szCs w:val="20"/>
                <w:color w:val="auto"/>
              </w:rPr>
            </w:pPr>
            <w:r>
              <w:rPr>
                <w:rFonts w:ascii="Arial" w:cs="Arial" w:eastAsia="Arial" w:hAnsi="Arial"/>
                <w:sz w:val="18"/>
                <w:szCs w:val="18"/>
                <w:color w:val="auto"/>
              </w:rPr>
              <w:t>600,005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161.59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$ 803,048,000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August 1 — August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778,806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163.32</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778,052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675,976,000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September 1 — September 30, 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7"/>
              </w:rPr>
              <w:t>675,276,000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1,383,505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162.52</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1,382,746</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54" w:lineRule="auto"/>
        <w:tabs>
          <w:tab w:leader="none" w:pos="5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20" w:hanging="512"/>
        <w:spacing w:after="0"/>
        <w:tabs>
          <w:tab w:leader="none" w:pos="5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On July 18, 2017, M&amp;T announced a program to purchase up to $900 million of its common stock through June 30, 2018.</w:t>
      </w:r>
    </w:p>
    <w:p>
      <w:pPr>
        <w:spacing w:after="0" w:line="200" w:lineRule="exact"/>
        <w:rPr>
          <w:sz w:val="20"/>
          <w:szCs w:val="20"/>
          <w:color w:val="auto"/>
        </w:rPr>
      </w:pP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460" w:type="dxa"/>
            <w:vAlign w:val="bottom"/>
            <w:gridSpan w:val="6"/>
          </w:tcPr>
          <w:p>
            <w:pPr>
              <w:ind w:left="80"/>
              <w:spacing w:after="0"/>
              <w:rPr>
                <w:sz w:val="20"/>
                <w:szCs w:val="20"/>
                <w:color w:val="auto"/>
              </w:rPr>
            </w:pPr>
            <w:r>
              <w:rPr>
                <w:rFonts w:ascii="Arial" w:cs="Arial" w:eastAsia="Arial" w:hAnsi="Arial"/>
                <w:sz w:val="21"/>
                <w:szCs w:val="21"/>
                <w:color w:val="auto"/>
              </w:rPr>
              <w:t>Exhibits.</w:t>
            </w:r>
          </w:p>
        </w:tc>
      </w:tr>
      <w:tr>
        <w:trPr>
          <w:trHeight w:val="351"/>
        </w:trPr>
        <w:tc>
          <w:tcPr>
            <w:tcW w:w="11420" w:type="dxa"/>
            <w:vAlign w:val="bottom"/>
            <w:gridSpan w:val="7"/>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8"/>
        </w:trPr>
        <w:tc>
          <w:tcPr>
            <w:tcW w:w="960" w:type="dxa"/>
            <w:vAlign w:val="bottom"/>
          </w:tcPr>
          <w:p>
            <w:pPr>
              <w:ind w:left="180"/>
              <w:spacing w:after="0"/>
              <w:rPr>
                <w:sz w:val="20"/>
                <w:szCs w:val="20"/>
                <w:color w:val="auto"/>
              </w:rPr>
            </w:pPr>
            <w:r>
              <w:rPr>
                <w:rFonts w:ascii="Arial" w:cs="Arial" w:eastAsia="Arial" w:hAnsi="Arial"/>
                <w:sz w:val="21"/>
                <w:szCs w:val="21"/>
                <w:color w:val="auto"/>
              </w:rPr>
              <w:t>Exhibit</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21"/>
                <w:szCs w:val="21"/>
                <w:color w:val="auto"/>
              </w:rPr>
              <w:t>No.</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682"/>
        </w:trPr>
        <w:tc>
          <w:tcPr>
            <w:tcW w:w="960" w:type="dxa"/>
            <w:vAlign w:val="bottom"/>
          </w:tcPr>
          <w:p>
            <w:pPr>
              <w:ind w:left="120"/>
              <w:spacing w:after="0"/>
              <w:rPr>
                <w:sz w:val="20"/>
                <w:szCs w:val="20"/>
                <w:color w:val="auto"/>
              </w:rPr>
            </w:pPr>
            <w:r>
              <w:rPr>
                <w:rFonts w:ascii="Arial" w:cs="Arial" w:eastAsia="Arial" w:hAnsi="Arial"/>
                <w:sz w:val="21"/>
                <w:szCs w:val="21"/>
                <w:color w:val="auto"/>
              </w:rPr>
              <w:t>31.1</w:t>
            </w:r>
          </w:p>
        </w:tc>
        <w:tc>
          <w:tcPr>
            <w:tcW w:w="200" w:type="dxa"/>
            <w:vAlign w:val="bottom"/>
          </w:tcPr>
          <w:p>
            <w:pPr>
              <w:spacing w:after="0"/>
              <w:rPr>
                <w:sz w:val="24"/>
                <w:szCs w:val="24"/>
                <w:color w:val="auto"/>
              </w:rPr>
            </w:pPr>
          </w:p>
        </w:tc>
        <w:tc>
          <w:tcPr>
            <w:tcW w:w="10260" w:type="dxa"/>
            <w:vAlign w:val="bottom"/>
            <w:gridSpan w:val="5"/>
          </w:tcPr>
          <w:p>
            <w:pPr>
              <w:spacing w:after="0"/>
              <w:rPr>
                <w:rFonts w:ascii="Arial" w:cs="Arial" w:eastAsia="Arial" w:hAnsi="Arial"/>
                <w:sz w:val="21"/>
                <w:szCs w:val="21"/>
                <w:color w:val="0000EE"/>
              </w:rPr>
            </w:pPr>
            <w:hyperlink w:anchor="page94">
              <w:r>
                <w:rPr>
                  <w:rFonts w:ascii="Arial" w:cs="Arial" w:eastAsia="Arial" w:hAnsi="Arial"/>
                  <w:sz w:val="21"/>
                  <w:szCs w:val="21"/>
                  <w:color w:val="0000EE"/>
                </w:rPr>
                <w:t>Certification of Chief Executive Officer under Section 302 of the Sarbanes-Oxley Act of 2002. Filed herewith.</w:t>
              </w:r>
            </w:hyperlink>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31.2</w:t>
            </w:r>
          </w:p>
        </w:tc>
        <w:tc>
          <w:tcPr>
            <w:tcW w:w="200" w:type="dxa"/>
            <w:vAlign w:val="bottom"/>
          </w:tcPr>
          <w:p>
            <w:pPr>
              <w:spacing w:after="0"/>
              <w:rPr>
                <w:sz w:val="24"/>
                <w:szCs w:val="24"/>
                <w:color w:val="auto"/>
              </w:rPr>
            </w:pPr>
          </w:p>
        </w:tc>
        <w:tc>
          <w:tcPr>
            <w:tcW w:w="9160" w:type="dxa"/>
            <w:vAlign w:val="bottom"/>
            <w:tcBorders>
              <w:top w:val="single" w:sz="8" w:color="0000EE"/>
            </w:tcBorders>
            <w:gridSpan w:val="4"/>
          </w:tcPr>
          <w:p>
            <w:pPr>
              <w:spacing w:after="0"/>
              <w:rPr>
                <w:rFonts w:ascii="Arial" w:cs="Arial" w:eastAsia="Arial" w:hAnsi="Arial"/>
                <w:sz w:val="21"/>
                <w:szCs w:val="21"/>
                <w:color w:val="0000EE"/>
                <w:w w:val="91"/>
              </w:rPr>
            </w:pPr>
            <w:hyperlink w:anchor="page95">
              <w:r>
                <w:rPr>
                  <w:rFonts w:ascii="Arial" w:cs="Arial" w:eastAsia="Arial" w:hAnsi="Arial"/>
                  <w:sz w:val="21"/>
                  <w:szCs w:val="21"/>
                  <w:color w:val="0000EE"/>
                  <w:w w:val="91"/>
                </w:rPr>
                <w:t>Certification of Chief Financial Officer under Section 302 of the Sarbanes-Oxley Act of 2002. Filed herewith.</w:t>
              </w:r>
            </w:hyperlink>
          </w:p>
        </w:tc>
        <w:tc>
          <w:tcPr>
            <w:tcW w:w="110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3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32.1</w:t>
            </w:r>
          </w:p>
        </w:tc>
        <w:tc>
          <w:tcPr>
            <w:tcW w:w="200" w:type="dxa"/>
            <w:vAlign w:val="bottom"/>
          </w:tcPr>
          <w:p>
            <w:pPr>
              <w:spacing w:after="0"/>
              <w:rPr>
                <w:sz w:val="24"/>
                <w:szCs w:val="24"/>
                <w:color w:val="auto"/>
              </w:rPr>
            </w:pPr>
          </w:p>
        </w:tc>
        <w:tc>
          <w:tcPr>
            <w:tcW w:w="10260" w:type="dxa"/>
            <w:vAlign w:val="bottom"/>
            <w:tcBorders>
              <w:bottom w:val="single" w:sz="8" w:color="0000EE"/>
            </w:tcBorders>
            <w:gridSpan w:val="5"/>
          </w:tcPr>
          <w:p>
            <w:pPr>
              <w:spacing w:after="0"/>
              <w:rPr>
                <w:rFonts w:ascii="Arial" w:cs="Arial" w:eastAsia="Arial" w:hAnsi="Arial"/>
                <w:sz w:val="21"/>
                <w:szCs w:val="21"/>
                <w:color w:val="0000EE"/>
                <w:w w:val="95"/>
              </w:rPr>
            </w:pPr>
            <w:hyperlink w:anchor="page96">
              <w:r>
                <w:rPr>
                  <w:rFonts w:ascii="Arial" w:cs="Arial" w:eastAsia="Arial" w:hAnsi="Arial"/>
                  <w:sz w:val="21"/>
                  <w:szCs w:val="21"/>
                  <w:color w:val="0000EE"/>
                  <w:w w:val="95"/>
                </w:rPr>
                <w:t>Certification of Chief Executive Officer under 18 U.S.C. §1350 pursuant to Section 906 of the Sarbanes-Oxley Act of</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5"/>
          </w:tcPr>
          <w:p>
            <w:pPr>
              <w:spacing w:after="0" w:line="223" w:lineRule="exact"/>
              <w:rPr>
                <w:rFonts w:ascii="Arial" w:cs="Arial" w:eastAsia="Arial" w:hAnsi="Arial"/>
                <w:sz w:val="21"/>
                <w:szCs w:val="21"/>
                <w:color w:val="0000EE"/>
              </w:rPr>
            </w:pPr>
            <w:hyperlink w:anchor="page96">
              <w:r>
                <w:rPr>
                  <w:rFonts w:ascii="Arial" w:cs="Arial" w:eastAsia="Arial" w:hAnsi="Arial"/>
                  <w:sz w:val="21"/>
                  <w:szCs w:val="21"/>
                  <w:color w:val="0000EE"/>
                </w:rPr>
                <w:t>2002. Filed herewith.</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500" w:type="dxa"/>
            <w:vAlign w:val="bottom"/>
            <w:gridSpan w:val="3"/>
          </w:tcPr>
          <w:p>
            <w:pPr>
              <w:spacing w:after="0" w:line="20" w:lineRule="exact"/>
              <w:rPr>
                <w:sz w:val="1"/>
                <w:szCs w:val="1"/>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32.2</w:t>
            </w:r>
          </w:p>
        </w:tc>
        <w:tc>
          <w:tcPr>
            <w:tcW w:w="200" w:type="dxa"/>
            <w:vAlign w:val="bottom"/>
          </w:tcPr>
          <w:p>
            <w:pPr>
              <w:spacing w:after="0"/>
              <w:rPr>
                <w:sz w:val="24"/>
                <w:szCs w:val="24"/>
                <w:color w:val="auto"/>
              </w:rPr>
            </w:pPr>
          </w:p>
        </w:tc>
        <w:tc>
          <w:tcPr>
            <w:tcW w:w="10260" w:type="dxa"/>
            <w:vAlign w:val="bottom"/>
            <w:tcBorders>
              <w:bottom w:val="single" w:sz="8" w:color="0000EE"/>
            </w:tcBorders>
            <w:gridSpan w:val="5"/>
          </w:tcPr>
          <w:p>
            <w:pPr>
              <w:spacing w:after="0"/>
              <w:rPr>
                <w:rFonts w:ascii="Arial" w:cs="Arial" w:eastAsia="Arial" w:hAnsi="Arial"/>
                <w:sz w:val="21"/>
                <w:szCs w:val="21"/>
                <w:color w:val="0000EE"/>
                <w:w w:val="90"/>
              </w:rPr>
            </w:pPr>
            <w:hyperlink w:anchor="page97">
              <w:r>
                <w:rPr>
                  <w:rFonts w:ascii="Arial" w:cs="Arial" w:eastAsia="Arial" w:hAnsi="Arial"/>
                  <w:sz w:val="21"/>
                  <w:szCs w:val="21"/>
                  <w:color w:val="0000EE"/>
                  <w:w w:val="90"/>
                </w:rPr>
                <w:t>Certification of Chief Financial Officer under 18 U.S.C. §1350 pursuant to Section 906 of the Sarbanes-Oxley Act of 2002.</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5"/>
          </w:tcPr>
          <w:p>
            <w:pPr>
              <w:spacing w:after="0" w:line="223" w:lineRule="exact"/>
              <w:rPr>
                <w:rFonts w:ascii="Arial" w:cs="Arial" w:eastAsia="Arial" w:hAnsi="Arial"/>
                <w:sz w:val="21"/>
                <w:szCs w:val="21"/>
                <w:color w:val="0000EE"/>
              </w:rPr>
            </w:pPr>
            <w:hyperlink w:anchor="page97">
              <w:r>
                <w:rPr>
                  <w:rFonts w:ascii="Arial" w:cs="Arial" w:eastAsia="Arial" w:hAnsi="Arial"/>
                  <w:sz w:val="21"/>
                  <w:szCs w:val="21"/>
                  <w:color w:val="0000EE"/>
                </w:rPr>
                <w:t>Filed herewith</w:t>
              </w:r>
              <w:r>
                <w:rPr>
                  <w:rFonts w:ascii="Arial" w:cs="Arial" w:eastAsia="Arial" w:hAnsi="Arial"/>
                  <w:sz w:val="21"/>
                  <w:szCs w:val="21"/>
                  <w:color w:val="000000"/>
                </w:rPr>
                <w:t>.</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060" w:type="dxa"/>
            <w:vAlign w:val="bottom"/>
            <w:gridSpan w:val="4"/>
          </w:tcPr>
          <w:p>
            <w:pPr>
              <w:spacing w:after="0" w:line="20" w:lineRule="exact"/>
              <w:rPr>
                <w:sz w:val="1"/>
                <w:szCs w:val="1"/>
                <w:color w:val="auto"/>
              </w:rPr>
            </w:pPr>
          </w:p>
        </w:tc>
      </w:tr>
      <w:tr>
        <w:trPr>
          <w:trHeight w:val="515"/>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Definition Linkbase.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7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680" w:val="left"/>
          <w:tab w:leader="none" w:pos="7140" w:val="left"/>
        </w:tabs>
        <w:rPr>
          <w:sz w:val="20"/>
          <w:szCs w:val="20"/>
          <w:color w:val="auto"/>
        </w:rPr>
      </w:pPr>
      <w:r>
        <w:rPr>
          <w:rFonts w:ascii="Arial" w:cs="Arial" w:eastAsia="Arial" w:hAnsi="Arial"/>
          <w:sz w:val="20"/>
          <w:szCs w:val="20"/>
          <w:color w:val="auto"/>
        </w:rPr>
        <w:t>Date: November 3, 2017</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10160</wp:posOffset>
            </wp:positionV>
            <wp:extent cx="2701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Executive Vice President</w:t>
      </w:r>
    </w:p>
    <w:p>
      <w:pPr>
        <w:ind w:left="71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342"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1"/>
          <w:szCs w:val="21"/>
          <w:color w:val="auto"/>
        </w:rPr>
        <w:t>EXHIBIT 31.1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Robert G. Wilmers, certify that:</w:t>
      </w:r>
    </w:p>
    <w:p>
      <w:pPr>
        <w:spacing w:after="0" w:line="83"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November 3, 2017</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5641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Arial" w:cs="Arial" w:eastAsia="Arial" w:hAnsi="Arial"/>
          <w:sz w:val="21"/>
          <w:szCs w:val="21"/>
          <w:color w:val="auto"/>
        </w:rPr>
        <w:t>Robert G. Wilmers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420"/>
          </w:cols>
          <w:pgMar w:left="240" w:top="8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4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November 3, 2017</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9525</wp:posOffset>
            </wp:positionV>
            <wp:extent cx="25984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420"/>
          </w:cols>
          <w:pgMar w:left="240" w:top="86" w:right="239" w:bottom="1440" w:gutter="0" w:footer="0" w:header="0"/>
        </w:sectPr>
      </w:pPr>
    </w:p>
    <w:bookmarkStart w:id="95" w:name="page96"/>
    <w:bookmarkEnd w:id="95"/>
    <w:p>
      <w:pPr>
        <w:ind w:left="1018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Robert G. Wilmers, Chairman of the Board and Chief Executive Officer of M&amp;T Bank Corporation, certify, pursuant to Section 906 of the Sarbanes-Oxley Act of 2002, 18 U.S.C. Section 1350, that:</w:t>
      </w:r>
    </w:p>
    <w:p>
      <w:pPr>
        <w:spacing w:after="0" w:line="169" w:lineRule="exact"/>
        <w:rPr>
          <w:sz w:val="20"/>
          <w:szCs w:val="20"/>
          <w:color w:val="auto"/>
        </w:rPr>
      </w:pPr>
    </w:p>
    <w:p>
      <w:pPr>
        <w:jc w:val="both"/>
        <w:ind w:left="1900" w:right="1900" w:hanging="947"/>
        <w:spacing w:after="0" w:line="262" w:lineRule="auto"/>
        <w:tabs>
          <w:tab w:leader="none" w:pos="19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2017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900" w:right="1900" w:hanging="947"/>
        <w:spacing w:after="0" w:line="238" w:lineRule="auto"/>
        <w:tabs>
          <w:tab w:leader="none" w:pos="19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Robert G. Wilmers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November 3,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96" w:name="page97"/>
    <w:bookmarkEnd w:id="96"/>
    <w:p>
      <w:pPr>
        <w:ind w:left="1018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900" w:right="1900" w:hanging="947"/>
        <w:spacing w:after="0" w:line="262" w:lineRule="auto"/>
        <w:tabs>
          <w:tab w:leader="none" w:pos="19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September 30, 2017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900" w:right="1900" w:hanging="947"/>
        <w:spacing w:after="0" w:line="238" w:lineRule="auto"/>
        <w:tabs>
          <w:tab w:leader="none" w:pos="190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Darren J. King</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November 3,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lvl w:ilvl="1">
      <w:lvlJc w:val="left"/>
      <w:lvlText w:val="-"/>
      <w:numFmt w:val="bullet"/>
      <w:start w:val="1"/>
    </w:lvl>
  </w:abstractNum>
  <w:abstractNum w:abstractNumId="3">
    <w:nsid w:val="75A2A8D4"/>
    <w:multiLevelType w:val="hybridMultilevel"/>
    <w:lvl w:ilvl="0">
      <w:lvlJc w:val="left"/>
      <w:lvlText w:val="(%1)"/>
      <w:numFmt w:val="lowerLetter"/>
      <w:start w:val="1"/>
    </w:lvl>
    <w:lvl w:ilvl="1">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lvl w:ilvl="1">
      <w:lvlJc w:val="left"/>
      <w:lvlText w:val="-"/>
      <w:numFmt w:val="bullet"/>
      <w:start w:val="1"/>
    </w:lvl>
  </w:abstractNum>
  <w:abstractNum w:abstractNumId="9">
    <w:nsid w:val="54E49EB4"/>
    <w:multiLevelType w:val="hybridMultilevel"/>
    <w:lvl w:ilvl="0">
      <w:lvlJc w:val="left"/>
      <w:lvlText w:val="(%1)"/>
      <w:numFmt w:val="lowerLetter"/>
      <w:start w:val="1"/>
    </w:lvl>
    <w:lvl w:ilvl="1">
      <w:lvlJc w:val="left"/>
      <w:lvlText w:val="-"/>
      <w:numFmt w:val="bullet"/>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lowerLetter"/>
      <w:start w:val="1"/>
    </w:lvl>
    <w:lvl w:ilvl="1">
      <w:lvlJc w:val="left"/>
      <w:lvlText w:val="-"/>
      <w:numFmt w:val="bullet"/>
      <w:start w:val="1"/>
    </w:lvl>
  </w:abstractNum>
  <w:abstractNum w:abstractNumId="13">
    <w:nsid w:val="2901D82"/>
    <w:multiLevelType w:val="hybridMultilevel"/>
    <w:lvl w:ilvl="0">
      <w:lvlJc w:val="left"/>
      <w:lvlText w:val="(%1)"/>
      <w:numFmt w:val="lowerLetter"/>
      <w:start w:val="1"/>
    </w:lvl>
    <w:lvl w:ilvl="1">
      <w:lvlJc w:val="left"/>
      <w:lvlText w:val="-"/>
      <w:numFmt w:val="bullet"/>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decimal"/>
      <w:start w:val="12"/>
    </w:lvl>
  </w:abstractNum>
  <w:abstractNum w:abstractNumId="16">
    <w:nsid w:val="1E7FF521"/>
    <w:multiLevelType w:val="hybridMultilevel"/>
    <w:lvl w:ilvl="0">
      <w:lvlJc w:val="left"/>
      <w:lvlText w:val="%1."/>
      <w:numFmt w:val="decimal"/>
      <w:start w:val="12"/>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lvl w:ilvl="1">
      <w:lvlJc w:val="left"/>
      <w:lvlText w:val="-"/>
      <w:numFmt w:val="bullet"/>
      <w:start w:val="1"/>
    </w:lvl>
  </w:abstractNum>
  <w:abstractNum w:abstractNumId="22">
    <w:nsid w:val="3006C83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3">
    <w:nsid w:val="614FD4A1"/>
    <w:multiLevelType w:val="hybridMultilevel"/>
    <w:lvl w:ilvl="0">
      <w:lvlJc w:val="left"/>
      <w:lvlText w:val="(%1)"/>
      <w:numFmt w:val="lowerRoman"/>
      <w:start w:val="5"/>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lowerLetter"/>
      <w:start w:val="1"/>
    </w:lvl>
    <w:lvl w:ilvl="1">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3"/>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2019-12-29T03:22:42Z</dcterms:created>
  <dcterms:modified xsi:type="dcterms:W3CDTF">2019-12-29T03:22:42Z</dcterms:modified>
</cp:coreProperties>
</file>